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Accounting</w:t>
      </w:r>
    </w:p>
    <w:bookmarkStart w:id="25" w:name="ariaid-title1"/>
    <w:p>
      <w:pPr>
        <w:pStyle w:val="Heading1"/>
      </w:pPr>
      <w:r>
        <w:t xml:space="preserve">Accounting</w:t>
      </w:r>
    </w:p>
    <w:bookmarkStart w:id="20" w:name="ariaid-title2"/>
    <w:p>
      <w:pPr>
        <w:pStyle w:val="Heading2"/>
      </w:pPr>
      <w:r>
        <w:t xml:space="preserve">The base principle</w:t>
      </w:r>
    </w:p>
    <w:p>
      <w:pPr>
        <w:pStyle w:val="FirstParagraph"/>
      </w:pPr>
      <w:r>
        <w:t xml:space="preserve">Any access, and subsequent activity, to any system or data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employ adequate accounting techniques to ensure events can be attributed to the authenticated entity.</w:t>
      </w:r>
    </w:p>
    <w:p>
      <w:pPr>
        <w:pStyle w:val="BodyText"/>
      </w:pPr>
      <w:r>
        <w:t xml:space="preserve">Accounting information must be stored in a way that it cannot be readily manipulated, particularly by the authenticated entity.</w:t>
      </w:r>
    </w:p>
    <w:bookmarkEnd w:id="20"/>
    <w:bookmarkStart w:id="21" w:name="ariaid-title3"/>
    <w:p>
      <w:pPr>
        <w:pStyle w:val="Heading2"/>
      </w:pPr>
      <w:r>
        <w:t xml:space="preserve">Log data security &amp; governance</w:t>
      </w:r>
    </w:p>
    <w:p>
      <w:pPr>
        <w:pStyle w:val="FirstParagraph"/>
      </w:pPr>
      <w:r>
        <w:t xml:space="preserve">Log data can include Personal Data or inadvertent sensitive data (when an application or system is unexpectedly verbose) and must be adequately protected and governed in a comparable way to the original system's data.</w:t>
      </w:r>
    </w:p>
    <w:bookmarkEnd w:id="21"/>
    <w:bookmarkStart w:id="22" w:name="ariaid-title4"/>
    <w:p>
      <w:pPr>
        <w:pStyle w:val="Heading2"/>
      </w:pPr>
      <w:r>
        <w:t xml:space="preserve">Security-related log data retention</w:t>
      </w:r>
    </w:p>
    <w:p>
      <w:pPr>
        <w:pStyle w:val="FirstParagraph"/>
      </w:pPr>
      <w:r>
        <w:t xml:space="preserve">Log data created and processed for information security purposes should be retained for no longer than 2 (two) years by default (this is subject to any legislative or regulative compliance requirements) but for a minimum of 6 months.</w:t>
      </w:r>
    </w:p>
    <w:p>
      <w:pPr>
        <w:pStyle w:val="BodyText"/>
      </w:pPr>
      <w:r>
        <w:t xml:space="preserve">These times are generalistic as a guide, and require contextual analysis particularly where Personal Data is involved.</w:t>
      </w:r>
    </w:p>
    <w:bookmarkEnd w:id="22"/>
    <w:bookmarkStart w:id="24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Accounting</dc:title>
  <dc:creator/>
  <dc:language>en</dc:language>
  <cp:keywords/>
  <dcterms:created xsi:type="dcterms:W3CDTF">2021-01-21T12:44:34Z</dcterms:created>
  <dcterms:modified xsi:type="dcterms:W3CDTF">2021-01-21T12:44:34Z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