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Assessing</w:t>
      </w:r>
      <w:r>
        <w:t xml:space="preserve"> </w:t>
      </w:r>
      <w:r>
        <w:t xml:space="preserve">suppliers</w:t>
      </w:r>
    </w:p>
    <w:bookmarkStart w:id="25" w:name="ariaid-title1"/>
    <w:p>
      <w:pPr>
        <w:pStyle w:val="Heading1"/>
      </w:pPr>
      <w:r>
        <w:t xml:space="preserve">Assessing suppliers</w:t>
      </w:r>
    </w:p>
    <w:p>
      <w:pPr>
        <w:pStyle w:val="FirstParagraph"/>
      </w:pPr>
      <w:r>
        <w:t xml:space="preserve">The</w:t>
      </w:r>
      <w:r>
        <w:t xml:space="preserve"> </w:t>
      </w:r>
      <w:r>
        <w:t xml:space="preserve">Ministry of Justice (MoJ)</w:t>
      </w:r>
      <w:r>
        <w:t xml:space="preserve"> </w:t>
      </w:r>
      <w:r>
        <w:t xml:space="preserve">assesses suppliers as a responsible public body managing public funds and data. These assessments range from commercial and legal for the purposes of contract through to risk assessments for the purposes of information security.</w:t>
      </w:r>
    </w:p>
    <w:p>
      <w:pPr>
        <w:pStyle w:val="BodyText"/>
      </w:pPr>
      <w:r>
        <w:t xml:space="preserve">The</w:t>
      </w:r>
      <w:r>
        <w:t xml:space="preserve"> </w:t>
      </w:r>
      <w:r>
        <w:t xml:space="preserve">MoJ</w:t>
      </w:r>
      <w:r>
        <w:t xml:space="preserve"> </w:t>
      </w:r>
      <w:r>
        <w:t xml:space="preserve">utilises a range of</w:t>
      </w:r>
      <w:r>
        <w:t xml:space="preserve"> </w:t>
      </w:r>
      <w:hyperlink r:id="rId20">
        <w:r>
          <w:rPr>
            <w:rStyle w:val="Hyperlink"/>
          </w:rPr>
          <w:t xml:space="preserve">risk management</w:t>
        </w:r>
      </w:hyperlink>
      <w:r>
        <w:t xml:space="preserve"> </w:t>
      </w:r>
      <w:r>
        <w:t xml:space="preserve">techniques including</w:t>
      </w:r>
      <w:r>
        <w:t xml:space="preserve"> </w:t>
      </w:r>
      <w:hyperlink r:id="rId21">
        <w:r>
          <w:rPr>
            <w:rStyle w:val="Hyperlink"/>
          </w:rPr>
          <w:t xml:space="preserve">information risk assessments</w:t>
        </w:r>
      </w:hyperlink>
      <w:r>
        <w:t xml:space="preserve">.</w:t>
      </w:r>
    </w:p>
    <w:p>
      <w:pPr>
        <w:pStyle w:val="BodyText"/>
      </w:pPr>
      <w:r>
        <w:t xml:space="preserve">Suppliers are expected to create, maintain and demonstrate a mature and considered approach to risk management when engaged with the</w:t>
      </w:r>
      <w:r>
        <w:t xml:space="preserve"> </w:t>
      </w:r>
      <w:r>
        <w:t xml:space="preserve">MoJ</w:t>
      </w:r>
      <w:r>
        <w:t xml:space="preserve">.</w:t>
      </w:r>
    </w:p>
    <w:bookmarkStart w:id="22" w:name="ariaid-title2"/>
    <w:p>
      <w:pPr>
        <w:pStyle w:val="Heading2"/>
      </w:pPr>
      <w:r>
        <w:t xml:space="preserve">Accreditation</w:t>
      </w:r>
    </w:p>
    <w:p>
      <w:pPr>
        <w:pStyle w:val="FirstParagraph"/>
      </w:pPr>
      <w:r>
        <w:t xml:space="preserve">The</w:t>
      </w:r>
      <w:r>
        <w:t xml:space="preserve"> </w:t>
      </w:r>
      <w:r>
        <w:t xml:space="preserve">MoJ</w:t>
      </w:r>
      <w:r>
        <w:t xml:space="preserve"> </w:t>
      </w:r>
      <w:r>
        <w:t xml:space="preserve">no longer accredits new systems or suppliers (as defined by CESG Information Assurance Standard 1&amp;2).</w:t>
      </w:r>
    </w:p>
    <w:p>
      <w:pPr>
        <w:pStyle w:val="BodyText"/>
      </w:pPr>
      <w:r>
        <w:t xml:space="preserve">The</w:t>
      </w:r>
      <w:r>
        <w:t xml:space="preserve"> </w:t>
      </w:r>
      <w:r>
        <w:t xml:space="preserve">MoJ</w:t>
      </w:r>
      <w:r>
        <w:t xml:space="preserve"> </w:t>
      </w:r>
      <w:r>
        <w:t xml:space="preserve">maintains accreditations where committed to by existing contract.</w:t>
      </w:r>
    </w:p>
    <w:bookmarkEnd w:id="22"/>
    <w:bookmarkStart w:id="24" w:name="ariaid-title3"/>
    <w:p>
      <w:pPr>
        <w:pStyle w:val="Heading2"/>
      </w:pPr>
      <w:r>
        <w:t xml:space="preserve">Commodity digital technology</w:t>
      </w:r>
    </w:p>
    <w:p>
      <w:pPr>
        <w:pStyle w:val="FirstParagraph"/>
      </w:pPr>
      <w:r>
        <w:t xml:space="preserve">MoJ</w:t>
      </w:r>
      <w:r>
        <w:t xml:space="preserve"> </w:t>
      </w:r>
      <w:r>
        <w:t xml:space="preserve">assesses commodity digital technology supply chain such as Software-as-a-Service (SaaS) tools such as</w:t>
      </w:r>
      <w:r>
        <w:t xml:space="preserve"> </w:t>
      </w:r>
      <w:r>
        <w:t xml:space="preserve">Google Workspace</w:t>
      </w:r>
      <w:r>
        <w:t xml:space="preserve">, Microsoft Office 365, Trello and AtlassianCloud based on the</w:t>
      </w:r>
      <w:r>
        <w:t xml:space="preserve"> </w:t>
      </w:r>
      <w:hyperlink r:id="rId23">
        <w:r>
          <w:rPr>
            <w:rStyle w:val="Hyperlink"/>
          </w:rPr>
          <w:t xml:space="preserve">Cloud Security Principles</w:t>
        </w:r>
      </w:hyperlink>
      <w:r>
        <w:t xml:space="preserve">, information risk assessment techniques and shared data within HMG.</w:t>
      </w:r>
    </w:p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www.ncsc.gov.uk/guidance/implementing-cloud-security-principles" TargetMode="External" /><Relationship Type="http://schemas.openxmlformats.org/officeDocument/2006/relationships/hyperlink" Id="rId20" Target="https://www.ncsc.gov.uk/guidance/risk-management-collection" TargetMode="External" /><Relationship Type="http://schemas.openxmlformats.org/officeDocument/2006/relationships/hyperlink" Id="rId21" Target="https://www.ncsc.gov.uk/guidance/summary-risk-methods-and-framework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s://www.ncsc.gov.uk/guidance/implementing-cloud-security-principles" TargetMode="External" /><Relationship Type="http://schemas.openxmlformats.org/officeDocument/2006/relationships/hyperlink" Id="rId20" Target="https://www.ncsc.gov.uk/guidance/risk-management-collection" TargetMode="External" /><Relationship Type="http://schemas.openxmlformats.org/officeDocument/2006/relationships/hyperlink" Id="rId21" Target="https://www.ncsc.gov.uk/guidance/summary-risk-methods-and-framework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Assessing suppliers</dc:title>
  <dc:creator/>
  <dc:language>en</dc:language>
  <cp:keywords/>
  <dcterms:created xsi:type="dcterms:W3CDTF">2020-12-15T10:33:20Z</dcterms:created>
  <dcterms:modified xsi:type="dcterms:W3CDTF">2020-12-15T10:33:20Z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C.format">
    <vt:lpwstr>HTML5</vt:lpwstr>
  </property>
  <property fmtid="{D5CDD505-2E9C-101B-9397-08002B2CF9AE}" pid="3" name="DC.identifier">
    <vt:lpwstr>assessing-suppliers</vt:lpwstr>
  </property>
  <property fmtid="{D5CDD505-2E9C-101B-9397-08002B2CF9AE}" pid="4" name="DC.rights.owner">
    <vt:lpwstr>(C) Copyright 2020</vt:lpwstr>
  </property>
  <property fmtid="{D5CDD505-2E9C-101B-9397-08002B2CF9AE}" pid="5" name="DC.type">
    <vt:lpwstr>topic</vt:lpwstr>
  </property>
  <property fmtid="{D5CDD505-2E9C-101B-9397-08002B2CF9AE}" pid="6" name="copyright">
    <vt:lpwstr>(C) Copyright 2020</vt:lpwstr>
  </property>
</Properties>
</file>