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Commercial</w:t>
      </w:r>
      <w:r>
        <w:t xml:space="preserve"> </w:t>
      </w:r>
      <w:r>
        <w:t xml:space="preserve">off-the-shelf</w:t>
      </w:r>
      <w:r>
        <w:t xml:space="preserve"> </w:t>
      </w:r>
      <w:r>
        <w:t xml:space="preserve">applications</w:t>
      </w:r>
    </w:p>
    <w:bookmarkStart w:id="26" w:name="ariaid-title1"/>
    <w:p>
      <w:pPr>
        <w:pStyle w:val="Heading1"/>
      </w:pPr>
      <w:r>
        <w:t xml:space="preserve">Commercial off-the-shelf applications</w:t>
      </w:r>
    </w:p>
    <w:p>
      <w:pPr>
        <w:pStyle w:val="FirstParagraph"/>
      </w:pPr>
      <w:r>
        <w:t xml:space="preserve">We have developed a series of logging requirements for Commercial off-the-shelf (COTS) applications, such as Software-as-a-Service (SaaS) solutions or where applications are not so customised that they can reasonably be considered bespoke/custom for the</w:t>
      </w:r>
      <w:r>
        <w:t xml:space="preserve"> </w:t>
      </w:r>
      <w:r>
        <w:t xml:space="preserve">Ministry of Justice (MoJ)</w:t>
      </w:r>
      <w:r>
        <w:t xml:space="preserve">.</w:t>
      </w:r>
    </w:p>
    <w:bookmarkStart w:id="22" w:name="ariaid-title2"/>
    <w:p>
      <w:pPr>
        <w:pStyle w:val="Heading2"/>
      </w:pPr>
      <w:r>
        <w:t xml:space="preserve">Baseline Maturity Tier</w:t>
      </w:r>
    </w:p>
    <w:bookmarkStart w:id="20" w:name="ariaid-title3"/>
    <w:p>
      <w:pPr>
        <w:pStyle w:val="Heading3"/>
      </w:pPr>
      <w:r>
        <w:t xml:space="preserve">1. User directory services</w:t>
      </w:r>
    </w:p>
    <w:p>
      <w:pPr>
        <w:pStyle w:val="FirstParagraph"/>
      </w:pPr>
      <w:r>
        <w:t xml:space="preserve">Log Collection Principle(s): 1, 2</w:t>
      </w:r>
    </w:p>
    <w:p>
      <w:pPr>
        <w:pStyle w:val="BodyText"/>
      </w:pPr>
      <w:r>
        <w:t xml:space="preserve">User directory services, or interactions with them, must create and forward Authentication and Authorisation events.</w:t>
      </w:r>
    </w:p>
    <w:p>
      <w:pPr>
        <w:pStyle w:val="BodyText"/>
      </w:pPr>
      <w:r>
        <w:t xml:space="preserve">User directories within application environments can be rich and diverse, such technologies include:</w:t>
      </w:r>
    </w:p>
    <w:p>
      <w:pPr>
        <w:numPr>
          <w:ilvl w:val="0"/>
          <w:numId w:val="1001"/>
        </w:numPr>
        <w:pStyle w:val="Compact"/>
      </w:pPr>
      <w:r>
        <w:t xml:space="preserve">Active Directory (AD)</w:t>
      </w:r>
    </w:p>
    <w:p>
      <w:pPr>
        <w:numPr>
          <w:ilvl w:val="0"/>
          <w:numId w:val="1001"/>
        </w:numPr>
        <w:pStyle w:val="Compact"/>
      </w:pPr>
      <w:r>
        <w:t xml:space="preserve">Azure Active Directory</w:t>
      </w:r>
    </w:p>
    <w:p>
      <w:pPr>
        <w:numPr>
          <w:ilvl w:val="0"/>
          <w:numId w:val="1001"/>
        </w:numPr>
        <w:pStyle w:val="Compact"/>
      </w:pPr>
      <w:r>
        <w:t xml:space="preserve">OpenLDAP</w:t>
      </w:r>
    </w:p>
    <w:p>
      <w:pPr>
        <w:numPr>
          <w:ilvl w:val="0"/>
          <w:numId w:val="1001"/>
        </w:numPr>
        <w:pStyle w:val="Compact"/>
      </w:pPr>
      <w:r>
        <w:t xml:space="preserve">Amazon Web Services (Accounts and Incognito)</w:t>
      </w:r>
    </w:p>
    <w:p>
      <w:pPr>
        <w:numPr>
          <w:ilvl w:val="0"/>
          <w:numId w:val="1001"/>
        </w:numPr>
        <w:pStyle w:val="Compact"/>
      </w:pPr>
      <w:r>
        <w:t xml:space="preserve">Okta</w:t>
      </w:r>
    </w:p>
    <w:p>
      <w:pPr>
        <w:numPr>
          <w:ilvl w:val="0"/>
          <w:numId w:val="1001"/>
        </w:numPr>
        <w:pStyle w:val="Compact"/>
      </w:pPr>
      <w:r>
        <w:t xml:space="preserve">Auth0</w:t>
      </w:r>
    </w:p>
    <w:p>
      <w:pPr>
        <w:numPr>
          <w:ilvl w:val="0"/>
          <w:numId w:val="1001"/>
        </w:numPr>
        <w:pStyle w:val="Compact"/>
      </w:pPr>
      <w:r>
        <w:t xml:space="preserve">Github.com (acting as an identity provider)</w:t>
      </w:r>
    </w:p>
    <w:p>
      <w:pPr>
        <w:numPr>
          <w:ilvl w:val="0"/>
          <w:numId w:val="1001"/>
        </w:numPr>
        <w:pStyle w:val="Compact"/>
      </w:pPr>
      <w:r>
        <w:t xml:space="preserve">Google Workspace</w:t>
      </w:r>
      <w:r>
        <w:t xml:space="preserve"> </w:t>
      </w:r>
      <w:r>
        <w:t xml:space="preserve">(acting as an identity provider)</w:t>
      </w:r>
    </w:p>
    <w:p>
      <w:pPr>
        <w:numPr>
          <w:ilvl w:val="0"/>
          <w:numId w:val="1001"/>
        </w:numPr>
        <w:pStyle w:val="Compact"/>
      </w:pPr>
      <w:r>
        <w:t xml:space="preserve">Oracle identity stores</w:t>
      </w:r>
    </w:p>
    <w:p>
      <w:pPr>
        <w:numPr>
          <w:ilvl w:val="0"/>
          <w:numId w:val="1001"/>
        </w:numPr>
        <w:pStyle w:val="Compact"/>
      </w:pPr>
      <w:r>
        <w:t xml:space="preserve">Local user stores within operating systems leveraged by tenant applications</w:t>
      </w:r>
    </w:p>
    <w:p>
      <w:pPr>
        <w:pStyle w:val="FirstParagraph"/>
      </w:pPr>
      <w:r>
        <w:t xml:space="preserve">These event types must be logged and forward:</w:t>
      </w:r>
    </w:p>
    <w:p>
      <w:pPr>
        <w:numPr>
          <w:ilvl w:val="0"/>
          <w:numId w:val="1002"/>
        </w:numPr>
        <w:pStyle w:val="Compact"/>
      </w:pPr>
      <w:r>
        <w:t xml:space="preserve">Account creation</w:t>
      </w:r>
    </w:p>
    <w:p>
      <w:pPr>
        <w:numPr>
          <w:ilvl w:val="0"/>
          <w:numId w:val="1002"/>
        </w:numPr>
        <w:pStyle w:val="Compact"/>
      </w:pPr>
      <w:r>
        <w:t xml:space="preserve">Account lockout</w:t>
      </w:r>
    </w:p>
    <w:p>
      <w:pPr>
        <w:numPr>
          <w:ilvl w:val="0"/>
          <w:numId w:val="1002"/>
        </w:numPr>
        <w:pStyle w:val="Compact"/>
      </w:pPr>
      <w:r>
        <w:t xml:space="preserve">Account reinstatement</w:t>
      </w:r>
    </w:p>
    <w:p>
      <w:pPr>
        <w:numPr>
          <w:ilvl w:val="0"/>
          <w:numId w:val="1002"/>
        </w:numPr>
        <w:pStyle w:val="Compact"/>
      </w:pPr>
      <w:r>
        <w:t xml:space="preserve">Account authentication failures</w:t>
      </w:r>
    </w:p>
    <w:p>
      <w:pPr>
        <w:numPr>
          <w:ilvl w:val="0"/>
          <w:numId w:val="1002"/>
        </w:numPr>
        <w:pStyle w:val="Compact"/>
      </w:pPr>
      <w:r>
        <w:t xml:space="preserve">Account authentication successes after 1 or more failures</w:t>
      </w:r>
    </w:p>
    <w:p>
      <w:pPr>
        <w:numPr>
          <w:ilvl w:val="0"/>
          <w:numId w:val="1002"/>
        </w:numPr>
        <w:pStyle w:val="Compact"/>
      </w:pPr>
      <w:r>
        <w:t xml:space="preserve">Account password changes</w:t>
      </w:r>
    </w:p>
    <w:p>
      <w:pPr>
        <w:numPr>
          <w:ilvl w:val="0"/>
          <w:numId w:val="1002"/>
        </w:numPr>
        <w:pStyle w:val="Compact"/>
      </w:pPr>
      <w:r>
        <w:t xml:space="preserve">Group membership addition / deletion (in particular, any group that gives admin access)</w:t>
      </w:r>
    </w:p>
    <w:p>
      <w:pPr>
        <w:numPr>
          <w:ilvl w:val="0"/>
          <w:numId w:val="1002"/>
        </w:numPr>
        <w:pStyle w:val="Compact"/>
      </w:pPr>
      <w:r>
        <w:t xml:space="preserve">Group creation</w:t>
      </w:r>
    </w:p>
    <w:p>
      <w:pPr>
        <w:numPr>
          <w:ilvl w:val="0"/>
          <w:numId w:val="1002"/>
        </w:numPr>
        <w:pStyle w:val="Compact"/>
      </w:pPr>
      <w:r>
        <w:t xml:space="preserve">Privilege modification for users (for example, role delegation through AWS IAM)</w:t>
      </w:r>
    </w:p>
    <w:p>
      <w:pPr>
        <w:numPr>
          <w:ilvl w:val="0"/>
          <w:numId w:val="1002"/>
        </w:numPr>
        <w:pStyle w:val="Compact"/>
      </w:pPr>
      <w:r>
        <w:t xml:space="preserve">Multi-factor authentication state, such as:</w:t>
      </w:r>
    </w:p>
    <w:p>
      <w:pPr>
        <w:numPr>
          <w:ilvl w:val="1"/>
          <w:numId w:val="1003"/>
        </w:numPr>
        <w:pStyle w:val="Compact"/>
      </w:pPr>
      <w:r>
        <w:t xml:space="preserve">Enabled</w:t>
      </w:r>
    </w:p>
    <w:p>
      <w:pPr>
        <w:numPr>
          <w:ilvl w:val="1"/>
          <w:numId w:val="1003"/>
        </w:numPr>
        <w:pStyle w:val="Compact"/>
      </w:pPr>
      <w:r>
        <w:t xml:space="preserve">Disabled</w:t>
      </w:r>
    </w:p>
    <w:p>
      <w:pPr>
        <w:numPr>
          <w:ilvl w:val="1"/>
          <w:numId w:val="1003"/>
        </w:numPr>
        <w:pStyle w:val="Compact"/>
      </w:pPr>
      <w:r>
        <w:t xml:space="preserve">Reset/rotation</w:t>
      </w:r>
    </w:p>
    <w:p>
      <w:pPr>
        <w:numPr>
          <w:ilvl w:val="1"/>
          <w:numId w:val="1003"/>
        </w:numPr>
        <w:pStyle w:val="Compact"/>
      </w:pPr>
      <w:r>
        <w:t xml:space="preserve">Recovery method used</w:t>
      </w:r>
    </w:p>
    <w:bookmarkEnd w:id="20"/>
    <w:bookmarkStart w:id="21" w:name="ariaid-title4"/>
    <w:p>
      <w:pPr>
        <w:pStyle w:val="Heading3"/>
      </w:pPr>
      <w:r>
        <w:t xml:space="preserve">2. Authenticated user activity events</w:t>
      </w:r>
    </w:p>
    <w:p>
      <w:pPr>
        <w:pStyle w:val="FirstParagraph"/>
      </w:pPr>
      <w:r>
        <w:t xml:space="preserve">Log Collection Principle(s): 6</w:t>
      </w:r>
    </w:p>
    <w:p>
      <w:pPr>
        <w:pStyle w:val="BodyText"/>
      </w:pPr>
      <w:r>
        <w:t xml:space="preserve">Applications should create viable user activity audit information for authenticated users to reasonably identify which authenticated user took which action.</w:t>
      </w:r>
    </w:p>
    <w:p>
      <w:pPr>
        <w:numPr>
          <w:ilvl w:val="0"/>
          <w:numId w:val="1004"/>
        </w:numPr>
        <w:pStyle w:val="Compact"/>
      </w:pPr>
      <w:r>
        <w:t xml:space="preserve">User/group identifier(s)</w:t>
      </w:r>
    </w:p>
    <w:p>
      <w:pPr>
        <w:numPr>
          <w:ilvl w:val="0"/>
          <w:numId w:val="1004"/>
        </w:numPr>
        <w:pStyle w:val="Compact"/>
      </w:pPr>
      <w:r>
        <w:t xml:space="preserve">Action/query</w:t>
      </w:r>
    </w:p>
    <w:p>
      <w:pPr>
        <w:numPr>
          <w:ilvl w:val="0"/>
          <w:numId w:val="1004"/>
        </w:numPr>
        <w:pStyle w:val="Compact"/>
      </w:pPr>
      <w:r>
        <w:t xml:space="preserve">Response size</w:t>
      </w:r>
    </w:p>
    <w:p>
      <w:pPr>
        <w:numPr>
          <w:ilvl w:val="0"/>
          <w:numId w:val="1004"/>
        </w:numPr>
        <w:pStyle w:val="Compact"/>
      </w:pPr>
      <w:r>
        <w:t xml:space="preserve">Response time</w:t>
      </w:r>
    </w:p>
    <w:bookmarkEnd w:id="21"/>
    <w:bookmarkEnd w:id="22"/>
    <w:bookmarkStart w:id="25" w:name="ariaid-title5"/>
    <w:p>
      <w:pPr>
        <w:pStyle w:val="Heading2"/>
      </w:pPr>
      <w:r>
        <w:t xml:space="preserve">Enhanced Maturity Tier</w:t>
      </w:r>
    </w:p>
    <w:bookmarkStart w:id="23" w:name="ariaid-title6"/>
    <w:p>
      <w:pPr>
        <w:pStyle w:val="Heading3"/>
      </w:pPr>
      <w:r>
        <w:t xml:space="preserve">1. Data store events</w:t>
      </w:r>
    </w:p>
    <w:p>
      <w:pPr>
        <w:pStyle w:val="FirstParagraph"/>
      </w:pPr>
      <w:r>
        <w:t xml:space="preserve">Log Collection Principle(s): 6</w:t>
      </w:r>
    </w:p>
    <w:p>
      <w:pPr>
        <w:pStyle w:val="BodyText"/>
      </w:pPr>
      <w:r>
        <w:t xml:space="preserve">Temporary data stores (such as intermediate queues) and permanent data store (such as databases) are key data locations and all interactions should be highly auditable.</w:t>
      </w:r>
    </w:p>
    <w:p>
      <w:pPr>
        <w:numPr>
          <w:ilvl w:val="0"/>
          <w:numId w:val="1005"/>
        </w:numPr>
        <w:pStyle w:val="Compact"/>
      </w:pPr>
      <w:r>
        <w:t xml:space="preserve">Data store identifier(s)</w:t>
      </w:r>
    </w:p>
    <w:p>
      <w:pPr>
        <w:numPr>
          <w:ilvl w:val="0"/>
          <w:numId w:val="1005"/>
        </w:numPr>
        <w:pStyle w:val="Compact"/>
      </w:pPr>
      <w:r>
        <w:t xml:space="preserve">Credential identifier(s)</w:t>
      </w:r>
    </w:p>
    <w:p>
      <w:pPr>
        <w:numPr>
          <w:ilvl w:val="0"/>
          <w:numId w:val="1005"/>
        </w:numPr>
        <w:pStyle w:val="Compact"/>
      </w:pPr>
      <w:r>
        <w:t xml:space="preserve">Query</w:t>
      </w:r>
    </w:p>
    <w:p>
      <w:pPr>
        <w:numPr>
          <w:ilvl w:val="0"/>
          <w:numId w:val="1005"/>
        </w:numPr>
        <w:pStyle w:val="Compact"/>
      </w:pPr>
      <w:r>
        <w:t xml:space="preserve">Query response size</w:t>
      </w:r>
    </w:p>
    <w:p>
      <w:pPr>
        <w:numPr>
          <w:ilvl w:val="0"/>
          <w:numId w:val="1005"/>
        </w:numPr>
        <w:pStyle w:val="Compact"/>
      </w:pPr>
      <w:r>
        <w:t xml:space="preserve">Query response time</w:t>
      </w:r>
    </w:p>
    <w:bookmarkEnd w:id="23"/>
    <w:bookmarkStart w:id="24" w:name="ariaid-title7"/>
    <w:p>
      <w:pPr>
        <w:pStyle w:val="Heading3"/>
      </w:pPr>
      <w:r>
        <w:t xml:space="preserve">2. Unauthenticated user activity events</w:t>
      </w:r>
    </w:p>
    <w:p>
      <w:pPr>
        <w:pStyle w:val="FirstParagraph"/>
      </w:pPr>
      <w:r>
        <w:t xml:space="preserve">Log Collection Principle(s): 6</w:t>
      </w:r>
    </w:p>
    <w:p>
      <w:pPr>
        <w:pStyle w:val="BodyText"/>
      </w:pPr>
      <w:r>
        <w:t xml:space="preserve">Where unauthenticated users interact with applications (for example, a</w:t>
      </w:r>
      <w:r>
        <w:t xml:space="preserve"> </w:t>
      </w:r>
      <w:r>
        <w:t xml:space="preserve">MoJ</w:t>
      </w:r>
      <w:r>
        <w:t xml:space="preserve"> </w:t>
      </w:r>
      <w:r>
        <w:t xml:space="preserve">Google Workspace</w:t>
      </w:r>
      <w:r>
        <w:t xml:space="preserve"> </w:t>
      </w:r>
      <w:r>
        <w:t xml:space="preserve">document available on the general Internet through relaxed access controls), associated audit information must be created.</w:t>
      </w:r>
    </w:p>
    <w:p>
      <w:pPr>
        <w:numPr>
          <w:ilvl w:val="0"/>
          <w:numId w:val="1006"/>
        </w:numPr>
        <w:pStyle w:val="Compact"/>
      </w:pPr>
      <w:r>
        <w:t xml:space="preserve">End-client identifier(s)</w:t>
      </w:r>
    </w:p>
    <w:p>
      <w:pPr>
        <w:numPr>
          <w:ilvl w:val="0"/>
          <w:numId w:val="1006"/>
        </w:numPr>
        <w:pStyle w:val="Compact"/>
      </w:pPr>
      <w:r>
        <w:t xml:space="preserve">Query metadata:</w:t>
      </w:r>
    </w:p>
    <w:p>
      <w:pPr>
        <w:numPr>
          <w:ilvl w:val="1"/>
          <w:numId w:val="1007"/>
        </w:numPr>
        <w:pStyle w:val="Compact"/>
      </w:pPr>
      <w:r>
        <w:t xml:space="preserve">Destination identifier (such as target hostname, TCP/UDP port and/or full URI)</w:t>
      </w:r>
    </w:p>
    <w:p>
      <w:pPr>
        <w:numPr>
          <w:ilvl w:val="1"/>
          <w:numId w:val="1007"/>
        </w:numPr>
        <w:pStyle w:val="Compact"/>
      </w:pPr>
      <w:r>
        <w:t xml:space="preserve">Query type (for example,</w:t>
      </w:r>
      <w:r>
        <w:t xml:space="preserve"> </w:t>
      </w:r>
      <w:r>
        <w:rPr>
          <w:rStyle w:val="VerbatimChar"/>
        </w:rPr>
        <w:t xml:space="preserve">HTTP GET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HTTP POST</w:t>
      </w:r>
      <w:r>
        <w:t xml:space="preserve">)</w:t>
      </w:r>
    </w:p>
    <w:p>
      <w:pPr>
        <w:numPr>
          <w:ilvl w:val="1"/>
          <w:numId w:val="1007"/>
        </w:numPr>
        <w:pStyle w:val="Compact"/>
      </w:pPr>
      <w:r>
        <w:t xml:space="preserve">Query size</w:t>
      </w:r>
    </w:p>
    <w:p>
      <w:pPr>
        <w:numPr>
          <w:ilvl w:val="0"/>
          <w:numId w:val="1006"/>
        </w:numPr>
        <w:pStyle w:val="Compact"/>
      </w:pPr>
      <w:r>
        <w:t xml:space="preserve">Response size</w:t>
      </w:r>
    </w:p>
    <w:p>
      <w:pPr>
        <w:numPr>
          <w:ilvl w:val="0"/>
          <w:numId w:val="1006"/>
        </w:numPr>
        <w:pStyle w:val="Compact"/>
      </w:pPr>
      <w:r>
        <w:t xml:space="preserve">Response time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0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Commercial off-the-shelf applications</dc:title>
  <dc:creator/>
  <dc:language>en</dc:language>
  <cp:keywords/>
  <dcterms:created xsi:type="dcterms:W3CDTF">2020-12-17T15:32:50Z</dcterms:created>
  <dcterms:modified xsi:type="dcterms:W3CDTF">2020-12-17T15:32:50Z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cots-applications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