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Applications</w:t>
      </w:r>
    </w:p>
    <w:bookmarkStart w:id="27" w:name="ariaid-title1"/>
    <w:p>
      <w:pPr>
        <w:pStyle w:val="Heading1"/>
      </w:pPr>
      <w:r>
        <w:t xml:space="preserve">Custom Applications</w:t>
      </w:r>
    </w:p>
    <w:p>
      <w:pPr>
        <w:pStyle w:val="FirstParagraph"/>
      </w:pPr>
      <w:r>
        <w:t xml:space="preserve">We have developed a series of logging requirements for custom applications, such as digital services, applications materially customised that they can reasonably be considered bespoke/custom for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line of business applications at different maturity tiers in order to support defensive cyber security, such as detecting breaches.</w:t>
      </w:r>
    </w:p>
    <w:bookmarkStart w:id="23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services, or interactions with them, must create and forward Authentication and Authorisation events.</w:t>
      </w:r>
    </w:p>
    <w:p>
      <w:pPr>
        <w:pStyle w:val="BodyText"/>
      </w:pPr>
      <w:r>
        <w:t xml:space="preserve">User directories within application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Oracle identity stores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 leveraged by tenant applications</w:t>
      </w:r>
    </w:p>
    <w:p>
      <w:pPr>
        <w:pStyle w:val="FirstParagraph"/>
      </w:pPr>
      <w:r>
        <w:t xml:space="preserve">These event types must be logged and forward: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Applications should create viable user activity audit information for authenticated users so it is reasonably possible to understand retrospectively which actions the user took or attempted.</w:t>
      </w:r>
    </w:p>
    <w:p>
      <w:pPr>
        <w:numPr>
          <w:ilvl w:val="0"/>
          <w:numId w:val="1004"/>
        </w:numPr>
        <w:pStyle w:val="Compact"/>
      </w:pPr>
      <w:r>
        <w:t xml:space="preserve">User/group identifier(s)</w:t>
      </w:r>
    </w:p>
    <w:p>
      <w:pPr>
        <w:numPr>
          <w:ilvl w:val="0"/>
          <w:numId w:val="1004"/>
        </w:numPr>
        <w:pStyle w:val="Compact"/>
      </w:pPr>
      <w:r>
        <w:t xml:space="preserve">Action/query</w:t>
      </w:r>
    </w:p>
    <w:p>
      <w:pPr>
        <w:numPr>
          <w:ilvl w:val="0"/>
          <w:numId w:val="1004"/>
        </w:numPr>
        <w:pStyle w:val="Compact"/>
      </w:pPr>
      <w:r>
        <w:t xml:space="preserve">Response size</w:t>
      </w:r>
    </w:p>
    <w:p>
      <w:pPr>
        <w:numPr>
          <w:ilvl w:val="0"/>
          <w:numId w:val="1004"/>
        </w:numPr>
        <w:pStyle w:val="Compact"/>
      </w:pPr>
      <w:r>
        <w:t xml:space="preserve">Response time</w:t>
      </w:r>
    </w:p>
    <w:bookmarkEnd w:id="21"/>
    <w:bookmarkStart w:id="22" w:name="ariaid-title5"/>
    <w:p>
      <w:pPr>
        <w:pStyle w:val="Heading3"/>
      </w:pPr>
      <w:r>
        <w:t xml:space="preserve">3. Unauthenticated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Where unauthenticated users interact with applications (for example, a digital service published and available on the general Internet), associated audit information must be created.</w:t>
      </w:r>
    </w:p>
    <w:p>
      <w:pPr>
        <w:numPr>
          <w:ilvl w:val="0"/>
          <w:numId w:val="1005"/>
        </w:numPr>
        <w:pStyle w:val="Compact"/>
      </w:pPr>
      <w:r>
        <w:t xml:space="preserve">End-client identifier(s)</w:t>
      </w:r>
    </w:p>
    <w:p>
      <w:pPr>
        <w:numPr>
          <w:ilvl w:val="0"/>
          <w:numId w:val="1005"/>
        </w:numPr>
        <w:pStyle w:val="Compact"/>
      </w:pPr>
      <w:r>
        <w:t xml:space="preserve">Query metadata:</w:t>
      </w:r>
    </w:p>
    <w:p>
      <w:pPr>
        <w:numPr>
          <w:ilvl w:val="1"/>
          <w:numId w:val="1006"/>
        </w:numPr>
        <w:pStyle w:val="Compact"/>
      </w:pPr>
      <w:r>
        <w:t xml:space="preserve">Destination identifier (such as target hostname, TCP/UDP port and/or full URI)</w:t>
      </w:r>
    </w:p>
    <w:p>
      <w:pPr>
        <w:numPr>
          <w:ilvl w:val="1"/>
          <w:numId w:val="1006"/>
        </w:numPr>
        <w:pStyle w:val="Compact"/>
      </w:pPr>
      <w:r>
        <w:t xml:space="preserve">Query type (for example,</w:t>
      </w:r>
      <w:r>
        <w:t xml:space="preserve"> </w:t>
      </w:r>
      <w:r>
        <w:rPr>
          <w:rStyle w:val="VerbatimChar"/>
        </w:rPr>
        <w:t xml:space="preserve">HTTP 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 POST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Query size</w:t>
      </w:r>
    </w:p>
    <w:p>
      <w:pPr>
        <w:numPr>
          <w:ilvl w:val="0"/>
          <w:numId w:val="1005"/>
        </w:numPr>
        <w:pStyle w:val="Compact"/>
      </w:pPr>
      <w:r>
        <w:t xml:space="preserve">Response size</w:t>
      </w:r>
    </w:p>
    <w:p>
      <w:pPr>
        <w:numPr>
          <w:ilvl w:val="0"/>
          <w:numId w:val="1005"/>
        </w:numPr>
        <w:pStyle w:val="Compact"/>
      </w:pPr>
      <w:r>
        <w:t xml:space="preserve">Response time</w:t>
      </w:r>
    </w:p>
    <w:bookmarkEnd w:id="22"/>
    <w:bookmarkEnd w:id="23"/>
    <w:bookmarkStart w:id="26" w:name="ariaid-title6"/>
    <w:p>
      <w:pPr>
        <w:pStyle w:val="Heading2"/>
      </w:pPr>
      <w:r>
        <w:t xml:space="preserve">Enhanced Maturity Tier</w:t>
      </w:r>
    </w:p>
    <w:bookmarkStart w:id="24" w:name="ariaid-title7"/>
    <w:p>
      <w:pPr>
        <w:pStyle w:val="Heading3"/>
      </w:pPr>
      <w:r>
        <w:t xml:space="preserve">1. Pipeline events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Continuous integration and continuous deployment pipelines obey instructions to manage applications and are a privileged position to oversee all associated resources, they must be highly auditable to clarify activity and attribute the same.</w:t>
      </w:r>
    </w:p>
    <w:p>
      <w:pPr>
        <w:numPr>
          <w:ilvl w:val="0"/>
          <w:numId w:val="1007"/>
        </w:numPr>
        <w:pStyle w:val="Compact"/>
      </w:pPr>
      <w:r>
        <w:t xml:space="preserve">Source identifier(s)</w:t>
      </w:r>
    </w:p>
    <w:p>
      <w:pPr>
        <w:numPr>
          <w:ilvl w:val="1"/>
          <w:numId w:val="1008"/>
        </w:numPr>
        <w:pStyle w:val="Compact"/>
      </w:pPr>
      <w:r>
        <w:t xml:space="preserve">User(s)</w:t>
      </w:r>
    </w:p>
    <w:p>
      <w:pPr>
        <w:numPr>
          <w:ilvl w:val="1"/>
          <w:numId w:val="1008"/>
        </w:numPr>
        <w:pStyle w:val="Compact"/>
      </w:pPr>
      <w:r>
        <w:t xml:space="preserve">Repository</w:t>
      </w:r>
    </w:p>
    <w:p>
      <w:pPr>
        <w:numPr>
          <w:ilvl w:val="0"/>
          <w:numId w:val="1007"/>
        </w:numPr>
        <w:pStyle w:val="Compact"/>
      </w:pPr>
      <w:r>
        <w:t xml:space="preserve">Activity events</w:t>
      </w:r>
    </w:p>
    <w:p>
      <w:pPr>
        <w:numPr>
          <w:ilvl w:val="1"/>
          <w:numId w:val="1009"/>
        </w:numPr>
        <w:pStyle w:val="Compact"/>
      </w:pPr>
      <w:r>
        <w:t xml:space="preserve">Resource creation</w:t>
      </w:r>
    </w:p>
    <w:p>
      <w:pPr>
        <w:numPr>
          <w:ilvl w:val="1"/>
          <w:numId w:val="1009"/>
        </w:numPr>
        <w:pStyle w:val="Compact"/>
      </w:pPr>
      <w:r>
        <w:t xml:space="preserve">Resource destruction</w:t>
      </w:r>
    </w:p>
    <w:p>
      <w:pPr>
        <w:numPr>
          <w:ilvl w:val="1"/>
          <w:numId w:val="1009"/>
        </w:numPr>
        <w:pStyle w:val="Compact"/>
      </w:pPr>
      <w:r>
        <w:t xml:space="preserve">Target environment</w:t>
      </w:r>
    </w:p>
    <w:bookmarkEnd w:id="24"/>
    <w:bookmarkStart w:id="25" w:name="ariaid-title8"/>
    <w:p>
      <w:pPr>
        <w:pStyle w:val="Heading3"/>
      </w:pPr>
      <w:r>
        <w:t xml:space="preserve">2. Data store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Temporary data stores (such as intermediate queues) and permanent data store (such as databases) are key data locations and all interactions should be highly auditable.</w:t>
      </w:r>
    </w:p>
    <w:p>
      <w:pPr>
        <w:numPr>
          <w:ilvl w:val="0"/>
          <w:numId w:val="1010"/>
        </w:numPr>
        <w:pStyle w:val="Compact"/>
      </w:pPr>
      <w:r>
        <w:t xml:space="preserve">Data store identifier(s)</w:t>
      </w:r>
    </w:p>
    <w:p>
      <w:pPr>
        <w:numPr>
          <w:ilvl w:val="0"/>
          <w:numId w:val="1010"/>
        </w:numPr>
        <w:pStyle w:val="Compact"/>
      </w:pPr>
      <w:r>
        <w:t xml:space="preserve">Credential identifier(s)</w:t>
      </w:r>
    </w:p>
    <w:p>
      <w:pPr>
        <w:numPr>
          <w:ilvl w:val="0"/>
          <w:numId w:val="1010"/>
        </w:numPr>
        <w:pStyle w:val="Compact"/>
      </w:pPr>
      <w:r>
        <w:t xml:space="preserve">Query</w:t>
      </w:r>
    </w:p>
    <w:p>
      <w:pPr>
        <w:numPr>
          <w:ilvl w:val="0"/>
          <w:numId w:val="1010"/>
        </w:numPr>
        <w:pStyle w:val="Compact"/>
      </w:pPr>
      <w:r>
        <w:t xml:space="preserve">Query response size</w:t>
      </w:r>
    </w:p>
    <w:p>
      <w:pPr>
        <w:numPr>
          <w:ilvl w:val="0"/>
          <w:numId w:val="1010"/>
        </w:numPr>
        <w:pStyle w:val="Compact"/>
      </w:pPr>
      <w:r>
        <w:t xml:space="preserve">Query response time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Applications</dc:title>
  <dc:creator/>
  <dc:language>en</dc:language>
  <cp:keywords/>
  <dcterms:created xsi:type="dcterms:W3CDTF">2020-12-17T15:32:51Z</dcterms:created>
  <dcterms:modified xsi:type="dcterms:W3CDTF">2020-12-17T15:32:51Z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custom-applications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