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</w:t>
      </w:r>
      <w:r>
        <w:t xml:space="preserve"> </w:t>
      </w:r>
      <w:r>
        <w:t xml:space="preserve">format</w:t>
      </w:r>
      <w:r>
        <w:t xml:space="preserve"> </w:t>
      </w:r>
      <w:r>
        <w:t xml:space="preserve">appendix</w:t>
      </w:r>
    </w:p>
    <w:bookmarkStart w:id="26" w:name="ariaid-title1"/>
    <w:p>
      <w:pPr>
        <w:pStyle w:val="Heading1"/>
      </w:pPr>
      <w:r>
        <w:t xml:space="preserve">Long format appendix</w:t>
      </w:r>
    </w:p>
    <w:p>
      <w:pPr>
        <w:pStyle w:val="FirstParagraph"/>
      </w:pPr>
      <w:r>
        <w:t xml:space="preserve">The current draft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commodity long format data destruction appendix. The appendix is a dependancy of the long format clause itself.</w:t>
      </w:r>
    </w:p>
    <w:p>
      <w:pPr>
        <w:pStyle w:val="BodyText"/>
      </w:pPr>
      <w:r>
        <w:rPr>
          <w:rStyle w:val="VerbatimChar"/>
        </w:rPr>
        <w:t xml:space="preserve">Highlighted</w:t>
      </w:r>
      <w:r>
        <w:t xml:space="preserve"> </w:t>
      </w:r>
      <w:r>
        <w:t xml:space="preserve">words indicate potential requirement for contextual change, requirement of definition and so on.</w:t>
      </w:r>
    </w:p>
    <w:bookmarkStart w:id="25" w:name="ariaid-title2"/>
    <w:p>
      <w:pPr>
        <w:pStyle w:val="Heading2"/>
      </w:pPr>
      <w:r>
        <w:t xml:space="preserve">Appendix</w:t>
      </w:r>
    </w:p>
    <w:p>
      <w:pPr>
        <w:pStyle w:val="FirstParagraph"/>
      </w:pPr>
      <w:r>
        <w:t xml:space="preserve">The following standards and guidelines are the</w:t>
      </w:r>
      <w:r>
        <w:t xml:space="preserve"> </w:t>
      </w:r>
      <w:r>
        <w:rPr>
          <w:i/>
        </w:rPr>
        <w:t xml:space="preserve">minimum</w:t>
      </w:r>
      <w:r>
        <w:t xml:space="preserve"> </w:t>
      </w:r>
      <w:r>
        <w:t xml:space="preserve">basis for data decommissioning or destruction. Follow and apply them as appropriate. There might also be extra steps specific to a data set or system.</w:t>
      </w:r>
    </w:p>
    <w:p>
      <w:pPr>
        <w:numPr>
          <w:ilvl w:val="0"/>
          <w:numId w:val="1001"/>
        </w:numPr>
      </w:pPr>
      <w:r>
        <w:t xml:space="preserve">National Cyber Security Centre (NCSC) guidance on end-user device reset procedures:</w:t>
      </w:r>
      <w:r>
        <w:t xml:space="preserve"> </w:t>
      </w:r>
      <w:hyperlink r:id="rId20">
        <w:r>
          <w:rPr>
            <w:rStyle w:val="Hyperlink"/>
          </w:rPr>
          <w:t xml:space="preserve">https://www.ncsc.gov.uk/guidance/end-user-device-guidance-factory-reset-and-reprovisioning</w:t>
        </w:r>
      </w:hyperlink>
    </w:p>
    <w:p>
      <w:pPr>
        <w:numPr>
          <w:ilvl w:val="0"/>
          <w:numId w:val="1001"/>
        </w:numPr>
      </w:pPr>
      <w:r>
        <w:t xml:space="preserve">NCSC guidance on secure sanitisation of storage media:</w:t>
      </w:r>
      <w:r>
        <w:t xml:space="preserve"> </w:t>
      </w:r>
      <w:hyperlink r:id="rId21">
        <w:r>
          <w:rPr>
            <w:rStyle w:val="Hyperlink"/>
          </w:rPr>
          <w:t xml:space="preserve">https://www.ncsc.gov.uk/guidance/secure-sanitisation-storage-media</w:t>
        </w:r>
      </w:hyperlink>
    </w:p>
    <w:p>
      <w:pPr>
        <w:numPr>
          <w:ilvl w:val="0"/>
          <w:numId w:val="1001"/>
        </w:numPr>
      </w:pPr>
      <w:r>
        <w:t xml:space="preserve">NCSC Cloud Security Principle 2: Asset Protection and Resilience (Data Destruction):</w:t>
      </w:r>
      <w:r>
        <w:t xml:space="preserve"> </w:t>
      </w:r>
      <w:hyperlink r:id="rId22">
        <w:r>
          <w:rPr>
            <w:rStyle w:val="Hyperlink"/>
          </w:rPr>
          <w:t xml:space="preserve">https://www.ncsc.gov.uk/guidance/cloud-security-principle-2-asset-protection-and-resilience#sanitisation</w:t>
        </w:r>
      </w:hyperlink>
    </w:p>
    <w:p>
      <w:pPr>
        <w:numPr>
          <w:ilvl w:val="0"/>
          <w:numId w:val="1001"/>
        </w:numPr>
      </w:pPr>
      <w:r>
        <w:t xml:space="preserve">Payment Card Industry Data Security Standard (Data Destruction):</w:t>
      </w:r>
      <w:r>
        <w:t xml:space="preserve"> </w:t>
      </w:r>
      <w:hyperlink r:id="rId23">
        <w:r>
          <w:rPr>
            <w:rStyle w:val="Hyperlink"/>
          </w:rPr>
          <w:t xml:space="preserve">https://www.pcisecuritystandards.org</w:t>
        </w:r>
      </w:hyperlink>
    </w:p>
    <w:p>
      <w:pPr>
        <w:numPr>
          <w:ilvl w:val="0"/>
          <w:numId w:val="1001"/>
        </w:numPr>
      </w:pPr>
      <w:r>
        <w:t xml:space="preserve">DIN:</w:t>
      </w:r>
      <w:r>
        <w:t xml:space="preserve"> </w:t>
      </w:r>
      <w:hyperlink r:id="rId24">
        <w:r>
          <w:rPr>
            <w:rStyle w:val="Hyperlink"/>
          </w:rPr>
          <w:t xml:space="preserve">http://www.din-66399.com/index.php/en/securitylevels</w:t>
        </w:r>
      </w:hyperlink>
    </w:p>
    <w:p>
      <w:pPr>
        <w:pStyle w:val="FirstParagraph"/>
      </w:pPr>
      <w:r>
        <w:t xml:space="preserve">Data Destruction for electronic/magnetic storage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include, unless otherwise superseded by NCSC, PCI-DSS or specific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 </w:t>
      </w:r>
      <w:r>
        <w:t xml:space="preserve">guidance:</w:t>
      </w:r>
    </w:p>
    <w:p>
      <w:pPr>
        <w:numPr>
          <w:ilvl w:val="0"/>
          <w:numId w:val="1002"/>
        </w:numPr>
      </w:pPr>
      <w:r>
        <w:t xml:space="preserve">the revocation or otherwise destruction of decryption keys and/or mechanisms to render data inaccessible or otherwise void through the use of modern cryptography; AND/OR</w:t>
      </w:r>
    </w:p>
    <w:p>
      <w:pPr>
        <w:numPr>
          <w:ilvl w:val="0"/>
          <w:numId w:val="1002"/>
        </w:numPr>
      </w:pPr>
      <w:r>
        <w:t xml:space="preserve">data overwriting methods consisting of at least 3 (three) complete overwrite passes of random data.</w:t>
      </w:r>
    </w:p>
    <w:p>
      <w:pPr>
        <w:pStyle w:val="FirstParagraph"/>
      </w:pPr>
      <w:r>
        <w:t xml:space="preserve">Data Destruction for printed materials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include, unless otherwise superseded by NCSC or specific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 </w:t>
      </w:r>
      <w:r>
        <w:t xml:space="preserve">guidance:</w:t>
      </w:r>
    </w:p>
    <w:p>
      <w:pPr>
        <w:numPr>
          <w:ilvl w:val="0"/>
          <w:numId w:val="1003"/>
        </w:numPr>
      </w:pPr>
      <w:r>
        <w:t xml:space="preserve">paper cross-shredding methods to satisfy at least the DIN 66399 Level 4 standard with a maximum cross cut particle surface area 160 (one hundred and sixty) millimeters squared with a maximum strip width of 6 (six) millimeters</w:t>
      </w:r>
    </w:p>
    <w:p>
      <w:pPr>
        <w:pStyle w:val="FirstParagraph"/>
      </w:pPr>
      <w:r>
        <w:t xml:space="preserve">The required outcome is to ensure that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 </w:t>
      </w:r>
      <w:r>
        <w:t xml:space="preserve">data is inaccessible by any reasonable commercial and resourced means (such as commercially available data recovery services).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din-66399.com/index.php/en/securitylevels" TargetMode="External" /><Relationship Type="http://schemas.openxmlformats.org/officeDocument/2006/relationships/hyperlink" Id="rId22" Target="https://www.ncsc.gov.uk/guidance/cloud-security-principle-2-asset-protection-and-resilience#sanitisation" TargetMode="External" /><Relationship Type="http://schemas.openxmlformats.org/officeDocument/2006/relationships/hyperlink" Id="rId20" Target="https://www.ncsc.gov.uk/guidance/end-user-device-guidance-factory-reset-and-reprovisioning" TargetMode="External" /><Relationship Type="http://schemas.openxmlformats.org/officeDocument/2006/relationships/hyperlink" Id="rId21" Target="https://www.ncsc.gov.uk/guidance/secure-sanitisation-storage-media" TargetMode="External" /><Relationship Type="http://schemas.openxmlformats.org/officeDocument/2006/relationships/hyperlink" Id="rId23" Target="https://www.pcisecuritystandards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din-66399.com/index.php/en/securitylevels" TargetMode="External" /><Relationship Type="http://schemas.openxmlformats.org/officeDocument/2006/relationships/hyperlink" Id="rId22" Target="https://www.ncsc.gov.uk/guidance/cloud-security-principle-2-asset-protection-and-resilience#sanitisation" TargetMode="External" /><Relationship Type="http://schemas.openxmlformats.org/officeDocument/2006/relationships/hyperlink" Id="rId20" Target="https://www.ncsc.gov.uk/guidance/end-user-device-guidance-factory-reset-and-reprovisioning" TargetMode="External" /><Relationship Type="http://schemas.openxmlformats.org/officeDocument/2006/relationships/hyperlink" Id="rId21" Target="https://www.ncsc.gov.uk/guidance/secure-sanitisation-storage-media" TargetMode="External" /><Relationship Type="http://schemas.openxmlformats.org/officeDocument/2006/relationships/hyperlink" Id="rId23" Target="https://www.pcisecuritystandard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 format appendix</dc:title>
  <dc:creator/>
  <dc:language>en</dc:language>
  <cp:keywords/>
  <dcterms:created xsi:type="dcterms:W3CDTF">2020-12-17T16:48:20Z</dcterms:created>
  <dcterms:modified xsi:type="dcterms:W3CDTF">2020-12-17T16:48:20Z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long-format-appendix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