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Security</w:t>
      </w:r>
      <w:r>
        <w:t xml:space="preserve"> </w:t>
      </w:r>
      <w:r>
        <w:t xml:space="preserve">and</w:t>
      </w:r>
      <w:r>
        <w:t xml:space="preserve"> </w:t>
      </w:r>
      <w:r>
        <w:t xml:space="preserve">Privacy</w:t>
      </w:r>
    </w:p>
    <w:bookmarkStart w:id="27" w:name="ariaid-title1"/>
    <w:p>
      <w:pPr>
        <w:pStyle w:val="Heading1"/>
      </w:pPr>
      <w:r>
        <w:t xml:space="preserve">Data Security and Privacy</w:t>
      </w:r>
    </w:p>
    <w:p>
      <w:pPr>
        <w:pStyle w:val="FirstParagraph"/>
      </w:pPr>
      <w:r>
        <w:t xml:space="preserve">We believe that our technology must keep data safe and protect user privacy.</w:t>
      </w:r>
    </w:p>
    <w:p>
      <w:pPr>
        <w:pStyle w:val="BodyText"/>
      </w:pPr>
      <w:r>
        <w:t xml:space="preserve">Our digital projects contain important information. Serious data breaches might result if we fail to:</w:t>
      </w:r>
    </w:p>
    <w:p>
      <w:pPr>
        <w:numPr>
          <w:ilvl w:val="0"/>
          <w:numId w:val="1001"/>
        </w:numPr>
        <w:pStyle w:val="Compact"/>
      </w:pPr>
      <w:r>
        <w:t xml:space="preserve">protect information</w:t>
      </w:r>
    </w:p>
    <w:p>
      <w:pPr>
        <w:numPr>
          <w:ilvl w:val="0"/>
          <w:numId w:val="1001"/>
        </w:numPr>
        <w:pStyle w:val="Compact"/>
      </w:pPr>
      <w:r>
        <w:t xml:space="preserve">handle it correctly at all times</w:t>
      </w:r>
    </w:p>
    <w:p>
      <w:pPr>
        <w:numPr>
          <w:ilvl w:val="0"/>
          <w:numId w:val="1001"/>
        </w:numPr>
        <w:pStyle w:val="Compact"/>
      </w:pPr>
      <w:r>
        <w:t xml:space="preserve">dispose of it safely when it is no longer required</w:t>
      </w:r>
    </w:p>
    <w:p>
      <w:pPr>
        <w:pStyle w:val="FirstParagraph"/>
      </w:pPr>
      <w:r>
        <w:t xml:space="preserve">Breaches might cause:</w:t>
      </w:r>
    </w:p>
    <w:p>
      <w:pPr>
        <w:numPr>
          <w:ilvl w:val="0"/>
          <w:numId w:val="1002"/>
        </w:numPr>
        <w:pStyle w:val="Compact"/>
      </w:pPr>
      <w:r>
        <w:t xml:space="preserve">harm to individuals</w:t>
      </w:r>
    </w:p>
    <w:p>
      <w:pPr>
        <w:numPr>
          <w:ilvl w:val="0"/>
          <w:numId w:val="1002"/>
        </w:numPr>
        <w:pStyle w:val="Compact"/>
      </w:pPr>
      <w:r>
        <w:t xml:space="preserve">financial loss to the</w:t>
      </w:r>
      <w:r>
        <w:t xml:space="preserve"> </w:t>
      </w:r>
      <w:r>
        <w:t xml:space="preserve">Ministry of Justice (MoJ)</w:t>
      </w:r>
    </w:p>
    <w:p>
      <w:pPr>
        <w:numPr>
          <w:ilvl w:val="0"/>
          <w:numId w:val="1002"/>
        </w:numPr>
        <w:pStyle w:val="Compact"/>
      </w:pPr>
      <w:r>
        <w:t xml:space="preserve">a loss of confidence in us as an organisation</w:t>
      </w:r>
    </w:p>
    <w:p>
      <w:pPr>
        <w:pStyle w:val="FirstParagraph"/>
      </w:pPr>
      <w:r>
        <w:t xml:space="preserve">For personal data, the EU General Data Protection Regulation (GDPR) and UK Data Protection Act (2018) apply. These make the consequences of data breaches very clear.</w:t>
      </w:r>
    </w:p>
    <w:p>
      <w:pPr>
        <w:pStyle w:val="BodyText"/>
      </w:pPr>
      <w:r>
        <w:t xml:space="preserve">To follow the data regulation/legislation, we</w:t>
      </w:r>
      <w:r>
        <w:t xml:space="preserve"> </w:t>
      </w:r>
      <w:r>
        <w:rPr>
          <w:bCs/>
          <w:b/>
        </w:rPr>
        <w:t xml:space="preserve">must</w:t>
      </w:r>
      <w:r>
        <w:t xml:space="preserve"> </w:t>
      </w:r>
      <w:r>
        <w:t xml:space="preserve">ensure that:</w:t>
      </w:r>
    </w:p>
    <w:p>
      <w:pPr>
        <w:numPr>
          <w:ilvl w:val="0"/>
          <w:numId w:val="1003"/>
        </w:numPr>
        <w:pStyle w:val="Compact"/>
      </w:pPr>
      <w:r>
        <w:t xml:space="preserve">we protect data to the best of our organisation's capabilities</w:t>
      </w:r>
    </w:p>
    <w:p>
      <w:pPr>
        <w:numPr>
          <w:ilvl w:val="0"/>
          <w:numId w:val="1003"/>
        </w:numPr>
        <w:pStyle w:val="Compact"/>
      </w:pPr>
      <w:r>
        <w:t xml:space="preserve">we collect data only for described, lawful purposes</w:t>
      </w:r>
    </w:p>
    <w:p>
      <w:pPr>
        <w:numPr>
          <w:ilvl w:val="0"/>
          <w:numId w:val="1003"/>
        </w:numPr>
        <w:pStyle w:val="Compact"/>
      </w:pPr>
      <w:r>
        <w:t xml:space="preserve">we use data only for the described, lawful purposes</w:t>
      </w:r>
    </w:p>
    <w:bookmarkStart w:id="20" w:name="ariaid-title2"/>
    <w:p>
      <w:pPr>
        <w:pStyle w:val="Heading2"/>
      </w:pPr>
      <w:r>
        <w:t xml:space="preserve">Why are security and privacy important?</w:t>
      </w:r>
    </w:p>
    <w:p>
      <w:pPr>
        <w:pStyle w:val="FirstParagraph"/>
      </w:pPr>
      <w:r>
        <w:t xml:space="preserve">Breaches can have an adverse effect the relationship between citizen and government.</w:t>
      </w:r>
    </w:p>
    <w:p>
      <w:pPr>
        <w:pStyle w:val="BodyText"/>
      </w:pPr>
      <w:r>
        <w:t xml:space="preserve">Not only do we have a duty to protect citizens data, but the penalties for violations are also severe. Under the GDPR, serious infringements can result in fines of up to €20M.</w:t>
      </w:r>
    </w:p>
    <w:p>
      <w:pPr>
        <w:pStyle w:val="BodyText"/>
      </w:pPr>
      <w:r>
        <w:t xml:space="preserve">We must apply appropriate security and privacy protection to all the information we hold and process, at all times.</w:t>
      </w:r>
    </w:p>
    <w:p>
      <w:pPr>
        <w:pStyle w:val="BodyText"/>
      </w:pPr>
      <w:r>
        <w:t xml:space="preserve">We should treat all data as sensitive unless proven otherwise.</w:t>
      </w:r>
    </w:p>
    <w:p>
      <w:pPr>
        <w:pStyle w:val="BodyText"/>
      </w:pPr>
      <w:r>
        <w:t xml:space="preserve">All our work must follow this ethos.</w:t>
      </w:r>
    </w:p>
    <w:bookmarkEnd w:id="20"/>
    <w:bookmarkStart w:id="24" w:name="ariaid-title3"/>
    <w:p>
      <w:pPr>
        <w:pStyle w:val="Heading2"/>
      </w:pPr>
      <w:r>
        <w:t xml:space="preserve">When this applies</w:t>
      </w:r>
    </w:p>
    <w:p>
      <w:pPr>
        <w:pStyle w:val="FirstParagraph"/>
      </w:pPr>
      <w:r>
        <w:t xml:space="preserve">This principle applies to</w:t>
      </w:r>
      <w:r>
        <w:t xml:space="preserve"> </w:t>
      </w:r>
      <w:r>
        <w:rPr>
          <w:bCs/>
          <w:b/>
        </w:rPr>
        <w:t xml:space="preserve">all</w:t>
      </w:r>
      <w:r>
        <w:t xml:space="preserve"> </w:t>
      </w:r>
      <w:r>
        <w:t xml:space="preserve">MoJ</w:t>
      </w:r>
      <w:r>
        <w:t xml:space="preserve"> </w:t>
      </w:r>
      <w:r>
        <w:t xml:space="preserve">technology projects and business actitivies.</w:t>
      </w:r>
    </w:p>
    <w:p>
      <w:pPr>
        <w:pStyle w:val="BodyText"/>
      </w:pPr>
      <w:r>
        <w:t xml:space="preserve">While GDPR applies only to personal information, all</w:t>
      </w:r>
      <w:r>
        <w:t xml:space="preserve"> </w:t>
      </w:r>
      <w:r>
        <w:t xml:space="preserve">MoJ</w:t>
      </w:r>
      <w:r>
        <w:t xml:space="preserve"> </w:t>
      </w:r>
      <w:r>
        <w:t xml:space="preserve">projects and tasks must have excellent data security and privacy characteristics. If they handle personal data, they must do so correctly. Projects must follow</w:t>
      </w:r>
      <w:r>
        <w:t xml:space="preserve"> </w:t>
      </w:r>
      <w:r>
        <w:t xml:space="preserve">MoJ</w:t>
      </w:r>
      <w:r>
        <w:t xml:space="preserve"> </w:t>
      </w:r>
      <w:r>
        <w:t xml:space="preserve">guidelines unless exceptional and approved circumstances apply.</w:t>
      </w:r>
    </w:p>
    <w:p>
      <w:pPr>
        <w:pStyle w:val="BodyText"/>
      </w:pPr>
      <w:r>
        <w:t xml:space="preserve">You can design your product to handle personal information correctly. There are a small number of extra steps you will have to take. Remember that personal data includes anything which might identify an individual. Even online identifiers, such as cookies, are personal data.</w:t>
      </w:r>
    </w:p>
    <w:p>
      <w:pPr>
        <w:pStyle w:val="BodyText"/>
      </w:pPr>
      <w:r>
        <w:t xml:space="preserve">The</w:t>
      </w:r>
      <w:r>
        <w:t xml:space="preserve"> </w:t>
      </w:r>
      <w:hyperlink r:id="rId21">
        <w:r>
          <w:rPr>
            <w:rStyle w:val="Hyperlink"/>
          </w:rPr>
          <w:t xml:space="preserve">Information Commissioner's Office (ICO)</w:t>
        </w:r>
      </w:hyperlink>
      <w:r>
        <w:t xml:space="preserve"> </w:t>
      </w:r>
      <w:r>
        <w:t xml:space="preserve">- the UK's independent regulatory office for data protection - has published</w:t>
      </w:r>
      <w:r>
        <w:t xml:space="preserve"> </w:t>
      </w:r>
      <w:hyperlink r:id="rId22">
        <w:r>
          <w:rPr>
            <w:rStyle w:val="Hyperlink"/>
          </w:rPr>
          <w:t xml:space="preserve">guidance on how to determine what is personal data</w:t>
        </w:r>
      </w:hyperlink>
      <w:r>
        <w:t xml:space="preserve">.</w:t>
      </w:r>
    </w:p>
    <w:p>
      <w:pPr>
        <w:pStyle w:val="BodyText"/>
      </w:pPr>
      <w:r>
        <w:t xml:space="preserve">A Data Protection Impact Assessment (DPIA, formerly commonly known as a Privacy Impact Assessment or PIA) is required for all projects. There are some</w:t>
      </w:r>
      <w:r>
        <w:t xml:space="preserve"> </w:t>
      </w:r>
      <w:hyperlink r:id="rId23">
        <w:r>
          <w:rPr>
            <w:rStyle w:val="Hyperlink"/>
          </w:rPr>
          <w:t xml:space="preserve">exceptions described by the ICO</w:t>
        </w:r>
      </w:hyperlink>
      <w:r>
        <w:t xml:space="preserve">.</w:t>
      </w:r>
    </w:p>
    <w:bookmarkEnd w:id="24"/>
    <w:bookmarkStart w:id="26" w:name="ariaid-title4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5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ico.org.uk" TargetMode="External" /><Relationship Type="http://schemas.openxmlformats.org/officeDocument/2006/relationships/hyperlink" Id="rId23" Target="https://ico.org.uk/for-organisations/guide-to-data-protection/guide-to-the-general-data-protection-regulation-gdpr/exemptions/" TargetMode="External" /><Relationship Type="http://schemas.openxmlformats.org/officeDocument/2006/relationships/hyperlink" Id="rId22" Target="https://ico.org.uk/media/for-organisations/documents/1554/determining-what-is-personal-data.pdf" TargetMode="External" /><Relationship Type="http://schemas.openxmlformats.org/officeDocument/2006/relationships/hyperlink" Id="rId25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ico.org.uk" TargetMode="External" /><Relationship Type="http://schemas.openxmlformats.org/officeDocument/2006/relationships/hyperlink" Id="rId23" Target="https://ico.org.uk/for-organisations/guide-to-data-protection/guide-to-the-general-data-protection-regulation-gdpr/exemptions/" TargetMode="External" /><Relationship Type="http://schemas.openxmlformats.org/officeDocument/2006/relationships/hyperlink" Id="rId22" Target="https://ico.org.uk/media/for-organisations/documents/1554/determining-what-is-personal-data.pdf" TargetMode="External" /><Relationship Type="http://schemas.openxmlformats.org/officeDocument/2006/relationships/hyperlink" Id="rId25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Security and Privacy</dc:title>
  <dc:creator/>
  <dc:language>en</dc:language>
  <cp:keywords/>
  <dcterms:created xsi:type="dcterms:W3CDTF">2021-01-08T15:26:51Z</dcterms:created>
  <dcterms:modified xsi:type="dcterms:W3CDTF">2021-01-08T15:26:51Z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