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Enterprise</w:t>
      </w:r>
      <w:r>
        <w:t xml:space="preserve"> </w:t>
      </w:r>
      <w:r>
        <w:t xml:space="preserve">IT</w:t>
      </w:r>
      <w:r>
        <w:t xml:space="preserve"> </w:t>
      </w:r>
      <w:r>
        <w:t xml:space="preserve">-</w:t>
      </w:r>
      <w:r>
        <w:t xml:space="preserve"> </w:t>
      </w:r>
      <w:r>
        <w:t xml:space="preserve">Mobile</w:t>
      </w:r>
      <w:r>
        <w:t xml:space="preserve"> </w:t>
      </w:r>
      <w:r>
        <w:t xml:space="preserve">Devices</w:t>
      </w:r>
    </w:p>
    <w:bookmarkStart w:id="33" w:name="ariaid-title1"/>
    <w:p>
      <w:pPr>
        <w:pStyle w:val="Heading1"/>
      </w:pPr>
      <w:r>
        <w:t xml:space="preserve">Enterprise IT - Mobile Devices</w:t>
      </w:r>
    </w:p>
    <w:p>
      <w:pPr>
        <w:pStyle w:val="FirstParagraph"/>
      </w:pPr>
      <w:r>
        <w:t xml:space="preserve">We have developed a series of logging requirements for Mobile Devices (also known as End-user Devices), such as thin-clients, desktops, laptops, tablets and mobile smart phones at different maturity tiers in order to support defenisve cyber security, such as detecting breaches.</w:t>
      </w:r>
    </w:p>
    <w:bookmarkStart w:id="28" w:name="ariaid-title2"/>
    <w:p>
      <w:pPr>
        <w:pStyle w:val="Heading2"/>
      </w:pPr>
      <w:r>
        <w:t xml:space="preserve">Baseline Maturity Tier</w:t>
      </w:r>
    </w:p>
    <w:bookmarkStart w:id="20" w:name="ariaid-title3"/>
    <w:p>
      <w:pPr>
        <w:pStyle w:val="Heading3"/>
      </w:pPr>
      <w:r>
        <w:t xml:space="preserve">1. Device power events</w:t>
      </w:r>
    </w:p>
    <w:p>
      <w:pPr>
        <w:pStyle w:val="FirstParagraph"/>
      </w:pPr>
      <w:r>
        <w:t xml:space="preserve">Log Collection Principle(s): 1</w:t>
      </w:r>
    </w:p>
    <w:p>
      <w:pPr>
        <w:pStyle w:val="BodyText"/>
      </w:pPr>
      <w:r>
        <w:t xml:space="preserve">Devices must create and forward local power events.</w:t>
      </w:r>
    </w:p>
    <w:p>
      <w:pPr>
        <w:numPr>
          <w:ilvl w:val="0"/>
          <w:numId w:val="1001"/>
        </w:numPr>
      </w:pPr>
      <w:r>
        <w:t xml:space="preserve">a: power on (including good or bad state)</w:t>
      </w:r>
    </w:p>
    <w:p>
      <w:pPr>
        <w:numPr>
          <w:ilvl w:val="0"/>
          <w:numId w:val="1001"/>
        </w:numPr>
      </w:pPr>
      <w:r>
        <w:t xml:space="preserve">b: power off (including if restart)</w:t>
      </w:r>
    </w:p>
    <w:p>
      <w:pPr>
        <w:numPr>
          <w:ilvl w:val="0"/>
          <w:numId w:val="1001"/>
        </w:numPr>
      </w:pPr>
      <w:r>
        <w:t xml:space="preserve">c: disk encryption state</w:t>
      </w:r>
    </w:p>
    <w:bookmarkEnd w:id="20"/>
    <w:bookmarkStart w:id="21" w:name="ariaid-title4"/>
    <w:p>
      <w:pPr>
        <w:pStyle w:val="Heading3"/>
      </w:pPr>
      <w:r>
        <w:t xml:space="preserve">2. User identification activity</w:t>
      </w:r>
    </w:p>
    <w:p>
      <w:pPr>
        <w:pStyle w:val="FirstParagraph"/>
      </w:pPr>
      <w:r>
        <w:t xml:space="preserve">Log Collection Principle(s): 1, 2</w:t>
      </w:r>
    </w:p>
    <w:p>
      <w:pPr>
        <w:pStyle w:val="BodyText"/>
      </w:pPr>
      <w:r>
        <w:t xml:space="preserve">Devices must create and forward local Authentication and Authorisation events.</w:t>
      </w:r>
    </w:p>
    <w:p>
      <w:pPr>
        <w:pStyle w:val="BodyText"/>
      </w:pPr>
      <w:r>
        <w:t xml:space="preserve">These event types must be logged and forward:</w:t>
      </w:r>
    </w:p>
    <w:p>
      <w:pPr>
        <w:numPr>
          <w:ilvl w:val="0"/>
          <w:numId w:val="1002"/>
        </w:numPr>
      </w:pPr>
      <w:r>
        <w:t xml:space="preserve">a: account creation</w:t>
      </w:r>
    </w:p>
    <w:p>
      <w:pPr>
        <w:numPr>
          <w:ilvl w:val="0"/>
          <w:numId w:val="1002"/>
        </w:numPr>
      </w:pPr>
      <w:r>
        <w:t xml:space="preserve">b: account lockout</w:t>
      </w:r>
    </w:p>
    <w:p>
      <w:pPr>
        <w:numPr>
          <w:ilvl w:val="0"/>
          <w:numId w:val="1002"/>
        </w:numPr>
      </w:pPr>
      <w:r>
        <w:t xml:space="preserve">c: account unlock</w:t>
      </w:r>
    </w:p>
    <w:p>
      <w:pPr>
        <w:numPr>
          <w:ilvl w:val="0"/>
          <w:numId w:val="1002"/>
        </w:numPr>
      </w:pPr>
      <w:r>
        <w:t xml:space="preserve">d: account authentication failures</w:t>
      </w:r>
    </w:p>
    <w:p>
      <w:pPr>
        <w:numPr>
          <w:ilvl w:val="0"/>
          <w:numId w:val="1002"/>
        </w:numPr>
      </w:pPr>
      <w:r>
        <w:t xml:space="preserve">e: account authentication successes after 3 or more failures</w:t>
      </w:r>
    </w:p>
    <w:p>
      <w:pPr>
        <w:numPr>
          <w:ilvl w:val="0"/>
          <w:numId w:val="1002"/>
        </w:numPr>
      </w:pPr>
      <w:r>
        <w:t xml:space="preserve">f: account password changes</w:t>
      </w:r>
    </w:p>
    <w:p>
      <w:pPr>
        <w:numPr>
          <w:ilvl w:val="0"/>
          <w:numId w:val="1002"/>
        </w:numPr>
      </w:pPr>
      <w:r>
        <w:t xml:space="preserve">g, group membership addition / deletion (in particular, any group that gives admin access)</w:t>
      </w:r>
    </w:p>
    <w:p>
      <w:pPr>
        <w:numPr>
          <w:ilvl w:val="0"/>
          <w:numId w:val="1002"/>
        </w:numPr>
      </w:pPr>
      <w:r>
        <w:t xml:space="preserve">h: group creation</w:t>
      </w:r>
    </w:p>
    <w:p>
      <w:pPr>
        <w:numPr>
          <w:ilvl w:val="0"/>
          <w:numId w:val="1002"/>
        </w:numPr>
      </w:pPr>
      <w:r>
        <w:t xml:space="preserve">i: privilege modification for users (changes to ACL's, granting of new roles in RBAC models)</w:t>
      </w:r>
    </w:p>
    <w:p>
      <w:pPr>
        <w:numPr>
          <w:ilvl w:val="0"/>
          <w:numId w:val="1002"/>
        </w:numPr>
      </w:pPr>
      <w:r>
        <w:t xml:space="preserve">j: privilege escalation events (use of sudo, UAC)</w:t>
      </w:r>
    </w:p>
    <w:p>
      <w:pPr>
        <w:numPr>
          <w:ilvl w:val="0"/>
          <w:numId w:val="1002"/>
        </w:numPr>
      </w:pPr>
      <w:r>
        <w:t xml:space="preserve">k: multi-factor authentication state, such as:</w:t>
      </w:r>
    </w:p>
    <w:p>
      <w:pPr>
        <w:numPr>
          <w:ilvl w:val="1"/>
          <w:numId w:val="1003"/>
        </w:numPr>
      </w:pPr>
      <w:r>
        <w:t xml:space="preserve">1: enabled</w:t>
      </w:r>
    </w:p>
    <w:p>
      <w:pPr>
        <w:numPr>
          <w:ilvl w:val="1"/>
          <w:numId w:val="1003"/>
        </w:numPr>
      </w:pPr>
      <w:r>
        <w:t xml:space="preserve">2: disabled</w:t>
      </w:r>
    </w:p>
    <w:p>
      <w:pPr>
        <w:numPr>
          <w:ilvl w:val="1"/>
          <w:numId w:val="1003"/>
        </w:numPr>
      </w:pPr>
      <w:r>
        <w:t xml:space="preserve">3: reset/rotation</w:t>
      </w:r>
    </w:p>
    <w:p>
      <w:pPr>
        <w:numPr>
          <w:ilvl w:val="1"/>
          <w:numId w:val="1003"/>
        </w:numPr>
      </w:pPr>
      <w:r>
        <w:t xml:space="preserve">4: recovery method used</w:t>
      </w:r>
    </w:p>
    <w:bookmarkEnd w:id="21"/>
    <w:bookmarkStart w:id="22" w:name="ariaid-title5"/>
    <w:p>
      <w:pPr>
        <w:pStyle w:val="Heading3"/>
      </w:pPr>
      <w:r>
        <w:t xml:space="preserve">3. Domain name service query logs</w:t>
      </w:r>
    </w:p>
    <w:p>
      <w:pPr>
        <w:pStyle w:val="FirstParagraph"/>
      </w:pPr>
      <w:r>
        <w:t xml:space="preserve">Log Collection Principle(s): 4</w:t>
      </w:r>
    </w:p>
    <w:p>
      <w:pPr>
        <w:pStyle w:val="BodyText"/>
      </w:pPr>
      <w:r>
        <w:t xml:space="preserve">DNS query logs must be created and forwarded, even where they are captively routed through central enterprise IT DNS services that forward comparable log data.</w:t>
      </w:r>
    </w:p>
    <w:p>
      <w:pPr>
        <w:numPr>
          <w:ilvl w:val="0"/>
          <w:numId w:val="1004"/>
        </w:numPr>
      </w:pPr>
      <w:r>
        <w:t xml:space="preserve">a: device IP addresses (local and public, if known/applicable)</w:t>
      </w:r>
    </w:p>
    <w:p>
      <w:pPr>
        <w:numPr>
          <w:ilvl w:val="0"/>
          <w:numId w:val="1004"/>
        </w:numPr>
      </w:pPr>
      <w:r>
        <w:t xml:space="preserve">b: VLAN tag for associated network interface (if known)</w:t>
      </w:r>
    </w:p>
    <w:p>
      <w:pPr>
        <w:numPr>
          <w:ilvl w:val="0"/>
          <w:numId w:val="1004"/>
        </w:numPr>
      </w:pPr>
      <w:r>
        <w:t xml:space="preserve">d: query</w:t>
      </w:r>
    </w:p>
    <w:p>
      <w:pPr>
        <w:numPr>
          <w:ilvl w:val="0"/>
          <w:numId w:val="1004"/>
        </w:numPr>
      </w:pPr>
      <w:r>
        <w:t xml:space="preserve">e: query response content including</w:t>
      </w:r>
    </w:p>
    <w:p>
      <w:pPr>
        <w:numPr>
          <w:ilvl w:val="1"/>
          <w:numId w:val="1005"/>
        </w:numPr>
      </w:pPr>
      <w:r>
        <w:t xml:space="preserve">1: returned record(s) or NXDOMAIN</w:t>
      </w:r>
    </w:p>
    <w:p>
      <w:pPr>
        <w:numPr>
          <w:ilvl w:val="1"/>
          <w:numId w:val="1005"/>
        </w:numPr>
      </w:pPr>
      <w:r>
        <w:t xml:space="preserve">2: authoritative nameserver</w:t>
      </w:r>
    </w:p>
    <w:p>
      <w:pPr>
        <w:numPr>
          <w:ilvl w:val="0"/>
          <w:numId w:val="1004"/>
        </w:numPr>
      </w:pPr>
      <w:r>
        <w:t xml:space="preserve">e: query response code</w:t>
      </w:r>
    </w:p>
    <w:bookmarkEnd w:id="22"/>
    <w:bookmarkStart w:id="24" w:name="ariaid-title6"/>
    <w:p>
      <w:pPr>
        <w:pStyle w:val="Heading3"/>
      </w:pPr>
      <w:r>
        <w:t xml:space="preserve">4. Security-related operating system event data</w:t>
      </w:r>
    </w:p>
    <w:p>
      <w:pPr>
        <w:pStyle w:val="FirstParagraph"/>
      </w:pPr>
      <w:r>
        <w:t xml:space="preserve">Log Collection Principle(s): 6</w:t>
      </w:r>
    </w:p>
    <w:p>
      <w:pPr>
        <w:pStyle w:val="BodyText"/>
      </w:pPr>
      <w:r>
        <w:t xml:space="preserve">Any additional security-related logs, as defined by</w:t>
      </w:r>
      <w:r>
        <w:t xml:space="preserve"> </w:t>
      </w:r>
      <w:hyperlink r:id="rId23">
        <w:r>
          <w:rPr>
            <w:rStyle w:val="Hyperlink"/>
          </w:rPr>
          <w:t xml:space="preserve">NCSC's Logging Made Easy template</w:t>
        </w:r>
      </w:hyperlink>
      <w:r>
        <w:t xml:space="preserve">, from all end-user devices operating a Microsoft Windows operating system must be created and forwarded.</w:t>
      </w:r>
    </w:p>
    <w:p>
      <w:pPr>
        <w:pStyle w:val="BodyText"/>
      </w:pPr>
      <w:r>
        <w:t xml:space="preserve">Comparable events from other operating systems (for example, Apple macOS or QubesOS) to that described by NCSC's Logging Made Easy template must also be created and forwarded.</w:t>
      </w:r>
    </w:p>
    <w:bookmarkEnd w:id="24"/>
    <w:bookmarkStart w:id="25" w:name="ariaid-title7"/>
    <w:p>
      <w:pPr>
        <w:pStyle w:val="Heading3"/>
      </w:pPr>
      <w:r>
        <w:t xml:space="preserve">5. Security-related software event logs</w:t>
      </w:r>
    </w:p>
    <w:p>
      <w:pPr>
        <w:pStyle w:val="FirstParagraph"/>
      </w:pPr>
      <w:r>
        <w:t xml:space="preserve">Log Collection Principle(s): 6</w:t>
      </w:r>
    </w:p>
    <w:p>
      <w:pPr>
        <w:pStyle w:val="BodyText"/>
      </w:pPr>
      <w:r>
        <w:t xml:space="preserve">Security-related logs from any local endpoint protection software (for example, anti-virus) should be forwarded.</w:t>
      </w:r>
    </w:p>
    <w:p>
      <w:pPr>
        <w:numPr>
          <w:ilvl w:val="0"/>
          <w:numId w:val="1006"/>
        </w:numPr>
      </w:pPr>
      <w:r>
        <w:t xml:space="preserve">a: detection information</w:t>
      </w:r>
    </w:p>
    <w:p>
      <w:pPr>
        <w:numPr>
          <w:ilvl w:val="1"/>
          <w:numId w:val="1007"/>
        </w:numPr>
      </w:pPr>
      <w:r>
        <w:t xml:space="preserve">1: process/binaries</w:t>
      </w:r>
    </w:p>
    <w:p>
      <w:pPr>
        <w:numPr>
          <w:ilvl w:val="1"/>
          <w:numId w:val="1007"/>
        </w:numPr>
      </w:pPr>
      <w:r>
        <w:t xml:space="preserve">2: detection criteria (for example, malware type)</w:t>
      </w:r>
    </w:p>
    <w:p>
      <w:pPr>
        <w:numPr>
          <w:ilvl w:val="0"/>
          <w:numId w:val="1006"/>
        </w:numPr>
      </w:pPr>
      <w:r>
        <w:t xml:space="preserve">b: reaction information (for example, quarantine)</w:t>
      </w:r>
    </w:p>
    <w:p>
      <w:pPr>
        <w:numPr>
          <w:ilvl w:val="0"/>
          <w:numId w:val="1006"/>
        </w:numPr>
      </w:pPr>
      <w:r>
        <w:t xml:space="preserve">c: 'last scan' information</w:t>
      </w:r>
    </w:p>
    <w:p>
      <w:pPr>
        <w:numPr>
          <w:ilvl w:val="0"/>
          <w:numId w:val="1006"/>
        </w:numPr>
      </w:pPr>
      <w:r>
        <w:t xml:space="preserve">d: signature information</w:t>
      </w:r>
    </w:p>
    <w:bookmarkEnd w:id="25"/>
    <w:bookmarkStart w:id="26" w:name="ariaid-title8"/>
    <w:p>
      <w:pPr>
        <w:pStyle w:val="Heading3"/>
      </w:pPr>
      <w:r>
        <w:t xml:space="preserve">6. Network information</w:t>
      </w:r>
    </w:p>
    <w:p>
      <w:pPr>
        <w:pStyle w:val="FirstParagraph"/>
      </w:pPr>
      <w:r>
        <w:t xml:space="preserve">Log Collection Principle(s): 5</w:t>
      </w:r>
    </w:p>
    <w:p>
      <w:pPr>
        <w:pStyle w:val="BodyText"/>
      </w:pPr>
      <w:r>
        <w:t xml:space="preserve">Devices must create and forward sufficient data to record the network posture around the device.</w:t>
      </w:r>
    </w:p>
    <w:p>
      <w:pPr>
        <w:numPr>
          <w:ilvl w:val="0"/>
          <w:numId w:val="1008"/>
        </w:numPr>
      </w:pPr>
      <w:r>
        <w:t xml:space="preserve">a: IP address of DHCP server</w:t>
      </w:r>
    </w:p>
    <w:p>
      <w:pPr>
        <w:numPr>
          <w:ilvl w:val="0"/>
          <w:numId w:val="1008"/>
        </w:numPr>
      </w:pPr>
      <w:r>
        <w:t xml:space="preserve">b: IP address leased</w:t>
      </w:r>
    </w:p>
    <w:p>
      <w:pPr>
        <w:numPr>
          <w:ilvl w:val="0"/>
          <w:numId w:val="1008"/>
        </w:numPr>
      </w:pPr>
      <w:r>
        <w:t xml:space="preserve">c: IP address subnet leased</w:t>
      </w:r>
    </w:p>
    <w:p>
      <w:pPr>
        <w:numPr>
          <w:ilvl w:val="0"/>
          <w:numId w:val="1008"/>
        </w:numPr>
      </w:pPr>
      <w:r>
        <w:t xml:space="preserve">d: IP address lease duration</w:t>
      </w:r>
    </w:p>
    <w:p>
      <w:pPr>
        <w:numPr>
          <w:ilvl w:val="0"/>
          <w:numId w:val="1008"/>
        </w:numPr>
      </w:pPr>
      <w:r>
        <w:t xml:space="preserve">e: Network interface identifier</w:t>
      </w:r>
    </w:p>
    <w:p>
      <w:pPr>
        <w:numPr>
          <w:ilvl w:val="0"/>
          <w:numId w:val="1008"/>
        </w:numPr>
      </w:pPr>
      <w:r>
        <w:t xml:space="preserve">f: DHCP response instructions, for example:</w:t>
      </w:r>
    </w:p>
    <w:p>
      <w:pPr>
        <w:numPr>
          <w:ilvl w:val="1"/>
          <w:numId w:val="1009"/>
        </w:numPr>
      </w:pPr>
      <w:r>
        <w:t xml:space="preserve">1: DNS servers</w:t>
      </w:r>
    </w:p>
    <w:p>
      <w:pPr>
        <w:numPr>
          <w:ilvl w:val="1"/>
          <w:numId w:val="1009"/>
        </w:numPr>
      </w:pPr>
      <w:r>
        <w:t xml:space="preserve">2: Proxy servers</w:t>
      </w:r>
    </w:p>
    <w:bookmarkEnd w:id="26"/>
    <w:bookmarkStart w:id="27" w:name="ariaid-title9"/>
    <w:p>
      <w:pPr>
        <w:pStyle w:val="Heading3"/>
      </w:pPr>
      <w:r>
        <w:t xml:space="preserve">7. VPN dial-up activity</w:t>
      </w:r>
    </w:p>
    <w:p>
      <w:pPr>
        <w:pStyle w:val="FirstParagraph"/>
      </w:pPr>
      <w:r>
        <w:t xml:space="preserve">Log Collection Principle(s): 5</w:t>
      </w:r>
    </w:p>
    <w:p>
      <w:pPr>
        <w:pStyle w:val="BodyText"/>
      </w:pPr>
      <w:r>
        <w:t xml:space="preserve">Where dial-up VPN is in use, connection-related log data must be created and forwarded.</w:t>
      </w:r>
    </w:p>
    <w:p>
      <w:pPr>
        <w:numPr>
          <w:ilvl w:val="0"/>
          <w:numId w:val="1010"/>
        </w:numPr>
      </w:pPr>
      <w:r>
        <w:t xml:space="preserve">a: success or unsuccess status</w:t>
      </w:r>
    </w:p>
    <w:p>
      <w:pPr>
        <w:numPr>
          <w:ilvl w:val="0"/>
          <w:numId w:val="1010"/>
        </w:numPr>
      </w:pPr>
      <w:r>
        <w:t xml:space="preserve">b: VPN concentrator domain name and IP address</w:t>
      </w:r>
    </w:p>
    <w:p>
      <w:pPr>
        <w:numPr>
          <w:ilvl w:val="0"/>
          <w:numId w:val="1010"/>
        </w:numPr>
      </w:pPr>
      <w:r>
        <w:t xml:space="preserve">c: user/certificate identifier(s) used</w:t>
      </w:r>
    </w:p>
    <w:p>
      <w:pPr>
        <w:numPr>
          <w:ilvl w:val="0"/>
          <w:numId w:val="1010"/>
        </w:numPr>
      </w:pPr>
      <w:r>
        <w:t xml:space="preserve">d: network interface identifier</w:t>
      </w:r>
    </w:p>
    <w:bookmarkEnd w:id="27"/>
    <w:bookmarkEnd w:id="28"/>
    <w:bookmarkStart w:id="32" w:name="ariaid-title10"/>
    <w:p>
      <w:pPr>
        <w:pStyle w:val="Heading2"/>
      </w:pPr>
      <w:r>
        <w:t xml:space="preserve">Enhanced Maturity Tier</w:t>
      </w:r>
    </w:p>
    <w:bookmarkStart w:id="29" w:name="ariaid-title11"/>
    <w:p>
      <w:pPr>
        <w:pStyle w:val="Heading3"/>
      </w:pPr>
      <w:r>
        <w:t xml:space="preserve">1. Firewall log data for denied network traffic</w:t>
      </w:r>
    </w:p>
    <w:p>
      <w:pPr>
        <w:pStyle w:val="FirstParagraph"/>
      </w:pPr>
      <w:r>
        <w:t xml:space="preserve">Log Collection Principle(s): 5</w:t>
      </w:r>
    </w:p>
    <w:p>
      <w:pPr>
        <w:pStyle w:val="BodyText"/>
      </w:pPr>
      <w:r>
        <w:t xml:space="preserve">All firewall</w:t>
      </w:r>
      <w:r>
        <w:t xml:space="preserve"> </w:t>
      </w:r>
      <w:r>
        <w:rPr>
          <w:rStyle w:val="VerbatimChar"/>
        </w:rPr>
        <w:t xml:space="preserve">DENY</w:t>
      </w:r>
      <w:r>
        <w:t xml:space="preserve"> </w:t>
      </w:r>
      <w:r>
        <w:t xml:space="preserve">log data must be forwarded.</w:t>
      </w:r>
    </w:p>
    <w:p>
      <w:pPr>
        <w:numPr>
          <w:ilvl w:val="0"/>
          <w:numId w:val="1011"/>
        </w:numPr>
      </w:pPr>
      <w:r>
        <w:t xml:space="preserve">a: client IP address</w:t>
      </w:r>
    </w:p>
    <w:p>
      <w:pPr>
        <w:numPr>
          <w:ilvl w:val="0"/>
          <w:numId w:val="1011"/>
        </w:numPr>
      </w:pPr>
      <w:r>
        <w:t xml:space="preserve">b: network interface identifier(s)</w:t>
      </w:r>
    </w:p>
    <w:p>
      <w:pPr>
        <w:numPr>
          <w:ilvl w:val="0"/>
          <w:numId w:val="1011"/>
        </w:numPr>
      </w:pPr>
      <w:r>
        <w:t xml:space="preserve">c: request response code</w:t>
      </w:r>
    </w:p>
    <w:p>
      <w:pPr>
        <w:numPr>
          <w:ilvl w:val="0"/>
          <w:numId w:val="1011"/>
        </w:numPr>
      </w:pPr>
      <w:r>
        <w:t xml:space="preserve">d: request content, including:</w:t>
      </w:r>
    </w:p>
    <w:p>
      <w:pPr>
        <w:numPr>
          <w:ilvl w:val="1"/>
          <w:numId w:val="1012"/>
        </w:numPr>
      </w:pPr>
      <w:r>
        <w:t xml:space="preserve">1: IP protocol (for example, ICMP)</w:t>
      </w:r>
    </w:p>
    <w:p>
      <w:pPr>
        <w:numPr>
          <w:ilvl w:val="1"/>
          <w:numId w:val="1012"/>
        </w:numPr>
      </w:pPr>
      <w:r>
        <w:t xml:space="preserve">2: destination/target port</w:t>
      </w:r>
    </w:p>
    <w:p>
      <w:pPr>
        <w:numPr>
          <w:ilvl w:val="1"/>
          <w:numId w:val="1012"/>
        </w:numPr>
      </w:pPr>
      <w:r>
        <w:t xml:space="preserve">3: destination/target IP address</w:t>
      </w:r>
    </w:p>
    <w:p>
      <w:pPr>
        <w:numPr>
          <w:ilvl w:val="1"/>
          <w:numId w:val="1012"/>
        </w:numPr>
      </w:pPr>
      <w:r>
        <w:t xml:space="preserve">4: destination/target hostname address (if reverse lookup performed)</w:t>
      </w:r>
    </w:p>
    <w:bookmarkEnd w:id="29"/>
    <w:bookmarkStart w:id="30" w:name="ariaid-title12"/>
    <w:p>
      <w:pPr>
        <w:pStyle w:val="Heading3"/>
      </w:pPr>
      <w:r>
        <w:t xml:space="preserve">2. Command/executable runtime information</w:t>
      </w:r>
    </w:p>
    <w:p>
      <w:pPr>
        <w:pStyle w:val="FirstParagraph"/>
      </w:pPr>
      <w:r>
        <w:t xml:space="preserve">Log Collection Principle(s): 6</w:t>
      </w:r>
    </w:p>
    <w:p>
      <w:pPr>
        <w:pStyle w:val="BodyText"/>
      </w:pPr>
      <w:r>
        <w:t xml:space="preserve">Log data to reflect the launching and subsequent processing activity stemming from user, or user profile, triggered commands/executables.</w:t>
      </w:r>
    </w:p>
    <w:p>
      <w:pPr>
        <w:numPr>
          <w:ilvl w:val="0"/>
          <w:numId w:val="1013"/>
        </w:numPr>
      </w:pPr>
      <w:r>
        <w:t xml:space="preserve">a: user identifier(s)</w:t>
      </w:r>
    </w:p>
    <w:p>
      <w:pPr>
        <w:numPr>
          <w:ilvl w:val="0"/>
          <w:numId w:val="1013"/>
        </w:numPr>
      </w:pPr>
      <w:r>
        <w:t xml:space="preserve">b: device identifier(s)</w:t>
      </w:r>
    </w:p>
    <w:p>
      <w:pPr>
        <w:numPr>
          <w:ilvl w:val="0"/>
          <w:numId w:val="1013"/>
        </w:numPr>
      </w:pPr>
      <w:r>
        <w:t xml:space="preserve">c: command executed</w:t>
      </w:r>
    </w:p>
    <w:p>
      <w:pPr>
        <w:numPr>
          <w:ilvl w:val="0"/>
          <w:numId w:val="1013"/>
        </w:numPr>
      </w:pPr>
      <w:r>
        <w:t xml:space="preserve">d: executable launched</w:t>
      </w:r>
    </w:p>
    <w:bookmarkEnd w:id="30"/>
    <w:bookmarkStart w:id="31" w:name="ariaid-title13"/>
    <w:p>
      <w:pPr>
        <w:pStyle w:val="Heading3"/>
      </w:pPr>
      <w:r>
        <w:t xml:space="preserve">3. Configuration information</w:t>
      </w:r>
    </w:p>
    <w:p>
      <w:pPr>
        <w:pStyle w:val="FirstParagraph"/>
      </w:pPr>
      <w:r>
        <w:t xml:space="preserve">Log Collection Principle(s): 6</w:t>
      </w:r>
    </w:p>
    <w:p>
      <w:pPr>
        <w:pStyle w:val="BodyText"/>
      </w:pPr>
      <w:r>
        <w:t xml:space="preserve">Devices must create and forward sufficient data to record the changing state of device configurations.</w:t>
      </w:r>
    </w:p>
    <w:p>
      <w:pPr>
        <w:numPr>
          <w:ilvl w:val="0"/>
          <w:numId w:val="1014"/>
        </w:numPr>
      </w:pPr>
      <w:r>
        <w:t xml:space="preserve">a: profile or GPO changes</w:t>
      </w:r>
    </w:p>
    <w:p>
      <w:pPr>
        <w:numPr>
          <w:ilvl w:val="0"/>
          <w:numId w:val="1014"/>
        </w:numPr>
      </w:pPr>
      <w:r>
        <w:t xml:space="preserve">b: conflict detection</w:t>
      </w:r>
    </w:p>
    <w:bookmarkEnd w:id="31"/>
    <w:bookmarkEnd w:id="32"/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github.com/ukncsc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s://github.com/ukncsc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Enterprise IT - Mobile Devices</dc:title>
  <dc:creator/>
  <dc:language>en</dc:language>
  <cp:keywords/>
  <dcterms:created xsi:type="dcterms:W3CDTF">2020-12-15T10:33:27Z</dcterms:created>
  <dcterms:modified xsi:type="dcterms:W3CDTF">2020-12-15T10:33:27Z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C.format">
    <vt:lpwstr>HTML5</vt:lpwstr>
  </property>
  <property fmtid="{D5CDD505-2E9C-101B-9397-08002B2CF9AE}" pid="3" name="DC.identifier">
    <vt:lpwstr>enterprise-it-mobile-devices</vt:lpwstr>
  </property>
  <property fmtid="{D5CDD505-2E9C-101B-9397-08002B2CF9AE}" pid="4" name="DC.rights.owner">
    <vt:lpwstr>(C) Copyright 2020</vt:lpwstr>
  </property>
  <property fmtid="{D5CDD505-2E9C-101B-9397-08002B2CF9AE}" pid="5" name="DC.type">
    <vt:lpwstr>topic</vt:lpwstr>
  </property>
  <property fmtid="{D5CDD505-2E9C-101B-9397-08002B2CF9AE}" pid="6" name="copyright">
    <vt:lpwstr>(C) Copyright 2020</vt:lpwstr>
  </property>
</Properties>
</file>