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9" w:name="ariaid-title1"/>
    <w:p>
      <w:pPr>
        <w:pStyle w:val="Heading1"/>
      </w:pPr>
      <w:r>
        <w:t xml:space="preserve">Guidance for using Open Internet Tools</w:t>
      </w:r>
    </w:p>
    <w:p>
      <w:pPr>
        <w:pStyle w:val="FirstParagraph"/>
      </w:pPr>
      <w:r>
        <w:rPr>
          <w:bCs/>
          <w:b/>
        </w:rPr>
        <w:t xml:space="preserve">This information applies to all staff and contractors who work for the</w:t>
      </w:r>
      <w:r>
        <w:rPr>
          <w:bCs/>
          <w:b/>
        </w:rPr>
        <w:t xml:space="preserve"> </w:t>
      </w:r>
      <w:r>
        <w:rPr>
          <w:bCs/>
          <w:b/>
        </w:rPr>
        <w:t xml:space="preserve">Ministry of Justice (MoJ)</w:t>
      </w:r>
      <w:r>
        <w:rPr>
          <w:bCs/>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bookmarkEnd w:id="46"/>
    <w:bookmarkStart w:id="48" w:name="ariaid-title1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itpolicycontent@digital.justice.gov.uk</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2021-01-21T12:53:03Z</dcterms:created>
  <dcterms:modified xsi:type="dcterms:W3CDTF">2021-01-21T12:53:03Z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