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Hosting</w:t>
      </w:r>
      <w:r>
        <w:t xml:space="preserve"> </w:t>
      </w:r>
      <w:r>
        <w:t xml:space="preserve">Platforms</w:t>
      </w:r>
    </w:p>
    <w:bookmarkStart w:id="39" w:name="ariaid-title1"/>
    <w:p>
      <w:pPr>
        <w:pStyle w:val="Heading1"/>
      </w:pPr>
      <w:r>
        <w:t xml:space="preserve">Hosting Platforms</w:t>
      </w:r>
    </w:p>
    <w:p>
      <w:pPr>
        <w:pStyle w:val="FirstParagraph"/>
      </w:pPr>
      <w:r>
        <w:t xml:space="preserve">We have developed a series of logging requirements for hosting platforms, such as virtualised and/or containered compute with associated supporting services such as database and queuing services at different maturity tiers in order to support defenisve cyber security, such as detecting breaches.</w:t>
      </w:r>
    </w:p>
    <w:bookmarkStart w:id="27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 must create and forward Authentication and Authorisation events from the directory service itself.</w:t>
      </w:r>
    </w:p>
    <w:p>
      <w:pPr>
        <w:pStyle w:val="BodyText"/>
      </w:pPr>
      <w:r>
        <w:t xml:space="preserve">User directories within hosting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</w:t>
      </w:r>
    </w:p>
    <w:p>
      <w:pPr>
        <w:pStyle w:val="FirstParagraph"/>
      </w:pPr>
      <w:r>
        <w:t xml:space="preserve">These event types must be logged and forwarded: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Bastion/Jump/Action-proxy services</w:t>
      </w:r>
    </w:p>
    <w:p>
      <w:pPr>
        <w:pStyle w:val="FirstParagraph"/>
      </w:pPr>
      <w:r>
        <w:t xml:space="preserve">Log Collection Principle(s): 1, 2, 6</w:t>
      </w:r>
    </w:p>
    <w:p>
      <w:pPr>
        <w:pStyle w:val="BodyText"/>
      </w:pPr>
      <w:r>
        <w:t xml:space="preserve">Bastion/jump boxes that act as a management consolidation route and should be highly auditable therefore must create and forward security-related event data:</w:t>
      </w:r>
    </w:p>
    <w:p>
      <w:pPr>
        <w:numPr>
          <w:ilvl w:val="0"/>
          <w:numId w:val="1004"/>
        </w:numPr>
        <w:pStyle w:val="Compact"/>
      </w:pPr>
      <w:r>
        <w:t xml:space="preserve">SSH keypair generation/revocation, including:</w:t>
      </w:r>
    </w:p>
    <w:p>
      <w:pPr>
        <w:numPr>
          <w:ilvl w:val="1"/>
          <w:numId w:val="1005"/>
        </w:numPr>
        <w:pStyle w:val="Compact"/>
      </w:pPr>
      <w:r>
        <w:t xml:space="preserve">Public key</w:t>
      </w:r>
    </w:p>
    <w:p>
      <w:pPr>
        <w:numPr>
          <w:ilvl w:val="1"/>
          <w:numId w:val="1005"/>
        </w:numPr>
        <w:pStyle w:val="Compact"/>
      </w:pPr>
      <w:r>
        <w:t xml:space="preserve">Keypair 'friendly name' / identifier</w:t>
      </w:r>
    </w:p>
    <w:p>
      <w:pPr>
        <w:numPr>
          <w:ilvl w:val="0"/>
          <w:numId w:val="1004"/>
        </w:numPr>
        <w:pStyle w:val="Compact"/>
      </w:pPr>
      <w:r>
        <w:t xml:space="preserve">Account login attempts:</w:t>
      </w:r>
    </w:p>
    <w:p>
      <w:pPr>
        <w:numPr>
          <w:ilvl w:val="1"/>
          <w:numId w:val="1006"/>
        </w:numPr>
        <w:pStyle w:val="Compact"/>
      </w:pPr>
      <w:r>
        <w:t xml:space="preserve">Public key</w:t>
      </w:r>
    </w:p>
    <w:p>
      <w:pPr>
        <w:numPr>
          <w:ilvl w:val="1"/>
          <w:numId w:val="1006"/>
        </w:numPr>
        <w:pStyle w:val="Compact"/>
      </w:pPr>
      <w:r>
        <w:t xml:space="preserve">Username</w:t>
      </w:r>
    </w:p>
    <w:bookmarkEnd w:id="21"/>
    <w:bookmarkStart w:id="22" w:name="ariaid-title5"/>
    <w:p>
      <w:pPr>
        <w:pStyle w:val="Heading3"/>
      </w:pPr>
      <w:r>
        <w:t xml:space="preserve">3. Domain name service query logs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DNS query logs must be created and forwarded:</w:t>
      </w:r>
    </w:p>
    <w:p>
      <w:pPr>
        <w:numPr>
          <w:ilvl w:val="0"/>
          <w:numId w:val="1007"/>
        </w:numPr>
        <w:pStyle w:val="Compact"/>
      </w:pPr>
      <w:r>
        <w:t xml:space="preserve">Client IP address</w:t>
      </w:r>
    </w:p>
    <w:p>
      <w:pPr>
        <w:numPr>
          <w:ilvl w:val="0"/>
          <w:numId w:val="1007"/>
        </w:numPr>
        <w:pStyle w:val="Compact"/>
      </w:pPr>
      <w:r>
        <w:t xml:space="preserve">Query</w:t>
      </w:r>
    </w:p>
    <w:p>
      <w:pPr>
        <w:numPr>
          <w:ilvl w:val="0"/>
          <w:numId w:val="1007"/>
        </w:numPr>
        <w:pStyle w:val="Compact"/>
      </w:pPr>
      <w:r>
        <w:t xml:space="preserve">Query response content including:</w:t>
      </w:r>
    </w:p>
    <w:p>
      <w:pPr>
        <w:numPr>
          <w:ilvl w:val="1"/>
          <w:numId w:val="1008"/>
        </w:numPr>
        <w:pStyle w:val="Compact"/>
      </w:pPr>
      <w:r>
        <w:t xml:space="preserve">Returned record(s) or NXDOMAIN</w:t>
      </w:r>
    </w:p>
    <w:p>
      <w:pPr>
        <w:numPr>
          <w:ilvl w:val="1"/>
          <w:numId w:val="1008"/>
        </w:numPr>
        <w:pStyle w:val="Compact"/>
      </w:pPr>
      <w:r>
        <w:t xml:space="preserve">Authoritative nameserver</w:t>
      </w:r>
    </w:p>
    <w:p>
      <w:pPr>
        <w:numPr>
          <w:ilvl w:val="0"/>
          <w:numId w:val="1007"/>
        </w:numPr>
        <w:pStyle w:val="Compact"/>
      </w:pPr>
      <w:r>
        <w:t xml:space="preserve">Query response code</w:t>
      </w:r>
    </w:p>
    <w:p>
      <w:pPr>
        <w:numPr>
          <w:ilvl w:val="0"/>
          <w:numId w:val="1007"/>
        </w:numPr>
        <w:pStyle w:val="Compact"/>
      </w:pPr>
      <w:r>
        <w:t xml:space="preserve">Zone and/or view identifier (if local zone response and/or multiview)</w:t>
      </w:r>
    </w:p>
    <w:p>
      <w:pPr>
        <w:pStyle w:val="FirstParagraph"/>
      </w:pPr>
      <w:r>
        <w:t xml:space="preserve">This remains true for where nodes (for example, servers) may bypass internal DNS services.</w:t>
      </w:r>
    </w:p>
    <w:bookmarkEnd w:id="22"/>
    <w:bookmarkStart w:id="23" w:name="ariaid-title6"/>
    <w:p>
      <w:pPr>
        <w:pStyle w:val="Heading3"/>
      </w:pPr>
      <w:r>
        <w:t xml:space="preserve">4. Web proxy access logs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Where web traffic proxies exist, access logs should be created and forward and must, include the following variables:</w:t>
      </w:r>
    </w:p>
    <w:p>
      <w:pPr>
        <w:numPr>
          <w:ilvl w:val="0"/>
          <w:numId w:val="1009"/>
        </w:numPr>
        <w:pStyle w:val="Compact"/>
      </w:pPr>
      <w:r>
        <w:t xml:space="preserve">Authenticated user name (if applicable)</w:t>
      </w:r>
    </w:p>
    <w:p>
      <w:pPr>
        <w:numPr>
          <w:ilvl w:val="0"/>
          <w:numId w:val="1009"/>
        </w:numPr>
        <w:pStyle w:val="Compact"/>
      </w:pPr>
      <w:r>
        <w:t xml:space="preserve">Client identifiers:</w:t>
      </w:r>
    </w:p>
    <w:p>
      <w:pPr>
        <w:numPr>
          <w:ilvl w:val="1"/>
          <w:numId w:val="1010"/>
        </w:numPr>
        <w:pStyle w:val="Compact"/>
      </w:pPr>
      <w:r>
        <w:t xml:space="preserve">IP address</w:t>
      </w:r>
    </w:p>
    <w:p>
      <w:pPr>
        <w:numPr>
          <w:ilvl w:val="1"/>
          <w:numId w:val="1010"/>
        </w:numPr>
        <w:pStyle w:val="Compact"/>
      </w:pPr>
      <w:r>
        <w:t xml:space="preserve">Reverse lookup client name (if applicable)</w:t>
      </w:r>
    </w:p>
    <w:p>
      <w:pPr>
        <w:numPr>
          <w:ilvl w:val="0"/>
          <w:numId w:val="1009"/>
        </w:numPr>
        <w:pStyle w:val="Compact"/>
      </w:pPr>
      <w:r>
        <w:t xml:space="preserve">HTTP method (for example, CONNECT GET)</w:t>
      </w:r>
    </w:p>
    <w:p>
      <w:pPr>
        <w:numPr>
          <w:ilvl w:val="0"/>
          <w:numId w:val="1009"/>
        </w:numPr>
        <w:pStyle w:val="Compact"/>
      </w:pPr>
      <w:r>
        <w:t xml:space="preserve">Where available, full destination/target URL or SNI value</w:t>
      </w:r>
    </w:p>
    <w:p>
      <w:pPr>
        <w:numPr>
          <w:ilvl w:val="0"/>
          <w:numId w:val="1009"/>
        </w:numPr>
        <w:pStyle w:val="Compact"/>
      </w:pPr>
      <w:r>
        <w:t xml:space="preserve">Connection return status code (for example, 200 or 403)</w:t>
      </w:r>
    </w:p>
    <w:p>
      <w:pPr>
        <w:numPr>
          <w:ilvl w:val="0"/>
          <w:numId w:val="1009"/>
        </w:numPr>
        <w:pStyle w:val="Compact"/>
      </w:pPr>
      <w:r>
        <w:t xml:space="preserve">Size of response</w:t>
      </w:r>
    </w:p>
    <w:bookmarkEnd w:id="23"/>
    <w:bookmarkStart w:id="24" w:name="ariaid-title7"/>
    <w:p>
      <w:pPr>
        <w:pStyle w:val="Heading3"/>
      </w:pPr>
      <w:r>
        <w:t xml:space="preserve">5. Hypervisor events</w:t>
      </w:r>
    </w:p>
    <w:p>
      <w:pPr>
        <w:pStyle w:val="FirstParagraph"/>
      </w:pPr>
      <w:r>
        <w:t xml:space="preserve">Log Collection Principle(s): 3, 6</w:t>
      </w:r>
    </w:p>
    <w:p>
      <w:pPr>
        <w:pStyle w:val="BodyText"/>
      </w:pPr>
      <w:r>
        <w:t xml:space="preserve">Hypervisors manage virtualised compute resources and are entrusted to segregate the same. All instructions to hypervisors should be highly auditable.</w:t>
      </w:r>
    </w:p>
    <w:p>
      <w:pPr>
        <w:numPr>
          <w:ilvl w:val="0"/>
          <w:numId w:val="1011"/>
        </w:numPr>
        <w:pStyle w:val="Compact"/>
      </w:pPr>
      <w:r>
        <w:t xml:space="preserve">Virtual machine creation (including templates)</w:t>
      </w:r>
    </w:p>
    <w:p>
      <w:pPr>
        <w:numPr>
          <w:ilvl w:val="1"/>
          <w:numId w:val="1012"/>
        </w:numPr>
        <w:pStyle w:val="Compact"/>
      </w:pPr>
      <w:r>
        <w:t xml:space="preserve">Identifier(s)</w:t>
      </w:r>
    </w:p>
    <w:p>
      <w:pPr>
        <w:numPr>
          <w:ilvl w:val="1"/>
          <w:numId w:val="1012"/>
        </w:numPr>
        <w:pStyle w:val="Compact"/>
      </w:pPr>
      <w:r>
        <w:t xml:space="preserve">Operating system image information</w:t>
      </w:r>
    </w:p>
    <w:p>
      <w:pPr>
        <w:numPr>
          <w:ilvl w:val="0"/>
          <w:numId w:val="1011"/>
        </w:numPr>
        <w:pStyle w:val="Compact"/>
      </w:pPr>
      <w:r>
        <w:t xml:space="preserve">Virtual machine 'power' events:</w:t>
      </w:r>
    </w:p>
    <w:p>
      <w:pPr>
        <w:numPr>
          <w:ilvl w:val="1"/>
          <w:numId w:val="1013"/>
        </w:numPr>
        <w:pStyle w:val="Compact"/>
      </w:pPr>
      <w:r>
        <w:t xml:space="preserve">Identifier(s)</w:t>
      </w:r>
    </w:p>
    <w:p>
      <w:pPr>
        <w:numPr>
          <w:ilvl w:val="1"/>
          <w:numId w:val="1013"/>
        </w:numPr>
        <w:pStyle w:val="Compact"/>
      </w:pPr>
      <w:r>
        <w:t xml:space="preserve">'Power' on</w:t>
      </w:r>
    </w:p>
    <w:p>
      <w:pPr>
        <w:numPr>
          <w:ilvl w:val="1"/>
          <w:numId w:val="1013"/>
        </w:numPr>
        <w:pStyle w:val="Compact"/>
      </w:pPr>
      <w:r>
        <w:t xml:space="preserve">'Power' off (including restart flag)</w:t>
      </w:r>
    </w:p>
    <w:p>
      <w:pPr>
        <w:numPr>
          <w:ilvl w:val="0"/>
          <w:numId w:val="1011"/>
        </w:numPr>
        <w:pStyle w:val="Compact"/>
      </w:pPr>
      <w:r>
        <w:t xml:space="preserve">Virtual machine deletion</w:t>
      </w:r>
    </w:p>
    <w:p>
      <w:pPr>
        <w:numPr>
          <w:ilvl w:val="1"/>
          <w:numId w:val="1014"/>
        </w:numPr>
        <w:pStyle w:val="Compact"/>
      </w:pPr>
      <w:r>
        <w:t xml:space="preserve">Identifier(s)</w:t>
      </w:r>
    </w:p>
    <w:p>
      <w:pPr>
        <w:numPr>
          <w:ilvl w:val="0"/>
          <w:numId w:val="1011"/>
        </w:numPr>
        <w:pStyle w:val="Compact"/>
      </w:pPr>
      <w:r>
        <w:t xml:space="preserve">Virtual machine resource modification events:</w:t>
      </w:r>
    </w:p>
    <w:p>
      <w:pPr>
        <w:numPr>
          <w:ilvl w:val="1"/>
          <w:numId w:val="1015"/>
        </w:numPr>
        <w:pStyle w:val="Compact"/>
      </w:pPr>
      <w:r>
        <w:t xml:space="preserve">CPU addition/removal</w:t>
      </w:r>
    </w:p>
    <w:p>
      <w:pPr>
        <w:numPr>
          <w:ilvl w:val="1"/>
          <w:numId w:val="1015"/>
        </w:numPr>
        <w:pStyle w:val="Compact"/>
      </w:pPr>
      <w:r>
        <w:t xml:space="preserve">RAM addition/removal</w:t>
      </w:r>
    </w:p>
    <w:p>
      <w:pPr>
        <w:numPr>
          <w:ilvl w:val="1"/>
          <w:numId w:val="1015"/>
        </w:numPr>
        <w:pStyle w:val="Compact"/>
      </w:pPr>
      <w:r>
        <w:t xml:space="preserve">Networking additional/removal</w:t>
      </w:r>
    </w:p>
    <w:p>
      <w:pPr>
        <w:numPr>
          <w:ilvl w:val="1"/>
          <w:numId w:val="1015"/>
        </w:numPr>
        <w:pStyle w:val="Compact"/>
      </w:pPr>
      <w:r>
        <w:t xml:space="preserve">Storage mount/dismount/resize</w:t>
      </w:r>
    </w:p>
    <w:bookmarkEnd w:id="24"/>
    <w:bookmarkStart w:id="25" w:name="ariaid-title8"/>
    <w:p>
      <w:pPr>
        <w:pStyle w:val="Heading3"/>
      </w:pPr>
      <w:r>
        <w:t xml:space="preserve">6. Orchestrator events</w:t>
      </w:r>
    </w:p>
    <w:p>
      <w:pPr>
        <w:pStyle w:val="FirstParagraph"/>
      </w:pPr>
      <w:r>
        <w:t xml:space="preserve">Log Collection Principle(s): 3, 6</w:t>
      </w:r>
    </w:p>
    <w:p>
      <w:pPr>
        <w:pStyle w:val="BodyText"/>
      </w:pPr>
      <w:r>
        <w:t xml:space="preserve">Orchestrators such as Cloud Foundry and Kubernetes create and manage a variety of technology resources to facilitate an application environment.</w:t>
      </w:r>
    </w:p>
    <w:p>
      <w:pPr>
        <w:numPr>
          <w:ilvl w:val="0"/>
          <w:numId w:val="1016"/>
        </w:numPr>
        <w:pStyle w:val="Compact"/>
      </w:pPr>
      <w:r>
        <w:t xml:space="preserve">Resource creation (including templates)</w:t>
      </w:r>
    </w:p>
    <w:p>
      <w:pPr>
        <w:numPr>
          <w:ilvl w:val="1"/>
          <w:numId w:val="1017"/>
        </w:numPr>
        <w:pStyle w:val="Compact"/>
      </w:pPr>
      <w:r>
        <w:t xml:space="preserve">Identifier(s)</w:t>
      </w:r>
    </w:p>
    <w:p>
      <w:pPr>
        <w:numPr>
          <w:ilvl w:val="1"/>
          <w:numId w:val="1017"/>
        </w:numPr>
        <w:pStyle w:val="Compact"/>
      </w:pPr>
      <w:r>
        <w:t xml:space="preserve">Resource type</w:t>
      </w:r>
    </w:p>
    <w:p>
      <w:pPr>
        <w:numPr>
          <w:ilvl w:val="1"/>
          <w:numId w:val="1017"/>
        </w:numPr>
        <w:pStyle w:val="Compact"/>
      </w:pPr>
      <w:r>
        <w:t xml:space="preserve">Operating system image information (if applicable)</w:t>
      </w:r>
    </w:p>
    <w:p>
      <w:pPr>
        <w:numPr>
          <w:ilvl w:val="0"/>
          <w:numId w:val="1016"/>
        </w:numPr>
        <w:pStyle w:val="Compact"/>
      </w:pPr>
      <w:r>
        <w:t xml:space="preserve">Container 'power' events</w:t>
      </w:r>
    </w:p>
    <w:p>
      <w:pPr>
        <w:numPr>
          <w:ilvl w:val="1"/>
          <w:numId w:val="1018"/>
        </w:numPr>
        <w:pStyle w:val="Compact"/>
      </w:pPr>
      <w:r>
        <w:t xml:space="preserve">Identifier(s)</w:t>
      </w:r>
    </w:p>
    <w:p>
      <w:pPr>
        <w:numPr>
          <w:ilvl w:val="1"/>
          <w:numId w:val="1018"/>
        </w:numPr>
        <w:pStyle w:val="Compact"/>
      </w:pPr>
      <w:r>
        <w:t xml:space="preserve">'Power' on</w:t>
      </w:r>
    </w:p>
    <w:p>
      <w:pPr>
        <w:numPr>
          <w:ilvl w:val="1"/>
          <w:numId w:val="1018"/>
        </w:numPr>
        <w:pStyle w:val="Compact"/>
      </w:pPr>
      <w:r>
        <w:t xml:space="preserve">'Power' off (including restart flag)</w:t>
      </w:r>
    </w:p>
    <w:p>
      <w:pPr>
        <w:numPr>
          <w:ilvl w:val="0"/>
          <w:numId w:val="1016"/>
        </w:numPr>
        <w:pStyle w:val="Compact"/>
      </w:pPr>
      <w:r>
        <w:t xml:space="preserve">Resource deletion</w:t>
      </w:r>
    </w:p>
    <w:p>
      <w:pPr>
        <w:numPr>
          <w:ilvl w:val="1"/>
          <w:numId w:val="1019"/>
        </w:numPr>
        <w:pStyle w:val="Compact"/>
      </w:pPr>
      <w:r>
        <w:t xml:space="preserve">Identifier(s)</w:t>
      </w:r>
    </w:p>
    <w:p>
      <w:pPr>
        <w:numPr>
          <w:ilvl w:val="0"/>
          <w:numId w:val="1016"/>
        </w:numPr>
        <w:pStyle w:val="Compact"/>
      </w:pPr>
      <w:r>
        <w:t xml:space="preserve">Resource modification events:</w:t>
      </w:r>
    </w:p>
    <w:p>
      <w:pPr>
        <w:numPr>
          <w:ilvl w:val="1"/>
          <w:numId w:val="1020"/>
        </w:numPr>
        <w:pStyle w:val="Compact"/>
      </w:pPr>
      <w:r>
        <w:t xml:space="preserve">Identifier(s)</w:t>
      </w:r>
    </w:p>
    <w:bookmarkEnd w:id="25"/>
    <w:bookmarkStart w:id="26" w:name="ariaid-title9"/>
    <w:p>
      <w:pPr>
        <w:pStyle w:val="Heading3"/>
      </w:pPr>
      <w:r>
        <w:t xml:space="preserve">7. Allocation of IP address leases from DHCP services</w:t>
      </w:r>
    </w:p>
    <w:p>
      <w:pPr>
        <w:pStyle w:val="FirstParagraph"/>
      </w:pPr>
      <w:r>
        <w:t xml:space="preserve">Log Collection Principle(s): 3, 5</w:t>
      </w:r>
    </w:p>
    <w:p>
      <w:pPr>
        <w:pStyle w:val="BodyText"/>
      </w:pPr>
      <w:r>
        <w:t xml:space="preserve">DHCP services must be configured to create and forward the following:</w:t>
      </w:r>
    </w:p>
    <w:p>
      <w:pPr>
        <w:numPr>
          <w:ilvl w:val="0"/>
          <w:numId w:val="1021"/>
        </w:numPr>
        <w:pStyle w:val="Compact"/>
      </w:pPr>
      <w:r>
        <w:t xml:space="preserve">Successful client DHCP requests, including:</w:t>
      </w:r>
    </w:p>
    <w:p>
      <w:pPr>
        <w:numPr>
          <w:ilvl w:val="1"/>
          <w:numId w:val="1022"/>
        </w:numPr>
        <w:pStyle w:val="Compact"/>
      </w:pPr>
      <w:r>
        <w:t xml:space="preserve">Requesting client MAC address</w:t>
      </w:r>
    </w:p>
    <w:p>
      <w:pPr>
        <w:numPr>
          <w:ilvl w:val="1"/>
          <w:numId w:val="1022"/>
        </w:numPr>
        <w:pStyle w:val="Compact"/>
      </w:pPr>
      <w:r>
        <w:t xml:space="preserve">DHCP scope identifier</w:t>
      </w:r>
    </w:p>
    <w:p>
      <w:pPr>
        <w:numPr>
          <w:ilvl w:val="1"/>
          <w:numId w:val="1022"/>
        </w:numPr>
        <w:pStyle w:val="Compact"/>
      </w:pPr>
      <w:r>
        <w:t xml:space="preserve">IP address leased</w:t>
      </w:r>
    </w:p>
    <w:p>
      <w:pPr>
        <w:numPr>
          <w:ilvl w:val="1"/>
          <w:numId w:val="1022"/>
        </w:numPr>
        <w:pStyle w:val="Compact"/>
      </w:pPr>
      <w:r>
        <w:t xml:space="preserve">IP address lease duration</w:t>
      </w:r>
    </w:p>
    <w:p>
      <w:pPr>
        <w:numPr>
          <w:ilvl w:val="0"/>
          <w:numId w:val="1021"/>
        </w:numPr>
        <w:pStyle w:val="Compact"/>
      </w:pPr>
      <w:r>
        <w:t xml:space="preserve">Unsuccessful client DHCP requests, including:</w:t>
      </w:r>
    </w:p>
    <w:p>
      <w:pPr>
        <w:numPr>
          <w:ilvl w:val="1"/>
          <w:numId w:val="1023"/>
        </w:numPr>
        <w:pStyle w:val="Compact"/>
      </w:pPr>
      <w:r>
        <w:t xml:space="preserve">Requesting client MAC address</w:t>
      </w:r>
    </w:p>
    <w:p>
      <w:pPr>
        <w:numPr>
          <w:ilvl w:val="1"/>
          <w:numId w:val="1023"/>
        </w:numPr>
        <w:pStyle w:val="Compact"/>
      </w:pPr>
      <w:r>
        <w:t xml:space="preserve">DHCP scope identifier (if applicable for unsuccessful request)</w:t>
      </w:r>
    </w:p>
    <w:bookmarkEnd w:id="26"/>
    <w:bookmarkEnd w:id="27"/>
    <w:bookmarkStart w:id="38" w:name="ariaid-title10"/>
    <w:p>
      <w:pPr>
        <w:pStyle w:val="Heading2"/>
      </w:pPr>
      <w:r>
        <w:t xml:space="preserve">Enhanced Maturity Tier</w:t>
      </w:r>
    </w:p>
    <w:bookmarkStart w:id="28" w:name="ariaid-title11"/>
    <w:p>
      <w:pPr>
        <w:pStyle w:val="Heading3"/>
      </w:pPr>
      <w:r>
        <w:t xml:space="preserve">1. Firewall log data for denied network traffic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All firewall</w:t>
      </w:r>
      <w:r>
        <w:t xml:space="preserve"> </w:t>
      </w:r>
      <w:r>
        <w:rPr>
          <w:rStyle w:val="VerbatimChar"/>
        </w:rPr>
        <w:t xml:space="preserve">DENY</w:t>
      </w:r>
      <w:r>
        <w:t xml:space="preserve"> </w:t>
      </w:r>
      <w:r>
        <w:t xml:space="preserve">log data must be forwarded.</w:t>
      </w:r>
    </w:p>
    <w:p>
      <w:pPr>
        <w:numPr>
          <w:ilvl w:val="0"/>
          <w:numId w:val="1024"/>
        </w:numPr>
        <w:pStyle w:val="Compact"/>
      </w:pPr>
      <w:r>
        <w:t xml:space="preserve">Client IP address</w:t>
      </w:r>
    </w:p>
    <w:p>
      <w:pPr>
        <w:numPr>
          <w:ilvl w:val="0"/>
          <w:numId w:val="1024"/>
        </w:numPr>
        <w:pStyle w:val="Compact"/>
      </w:pPr>
      <w:r>
        <w:t xml:space="preserve">Firewall/router identifier</w:t>
      </w:r>
    </w:p>
    <w:p>
      <w:pPr>
        <w:numPr>
          <w:ilvl w:val="0"/>
          <w:numId w:val="1024"/>
        </w:numPr>
        <w:pStyle w:val="Compact"/>
      </w:pPr>
      <w:r>
        <w:t xml:space="preserve">Request response code</w:t>
      </w:r>
    </w:p>
    <w:p>
      <w:pPr>
        <w:numPr>
          <w:ilvl w:val="0"/>
          <w:numId w:val="1024"/>
        </w:numPr>
        <w:pStyle w:val="Compact"/>
      </w:pPr>
      <w:r>
        <w:t xml:space="preserve">Request content, including:</w:t>
      </w:r>
    </w:p>
    <w:p>
      <w:pPr>
        <w:numPr>
          <w:ilvl w:val="1"/>
          <w:numId w:val="1025"/>
        </w:numPr>
        <w:pStyle w:val="Compact"/>
      </w:pPr>
      <w:r>
        <w:t xml:space="preserve">IP protocol (for example, ICMP)</w:t>
      </w:r>
    </w:p>
    <w:p>
      <w:pPr>
        <w:numPr>
          <w:ilvl w:val="1"/>
          <w:numId w:val="1025"/>
        </w:numPr>
        <w:pStyle w:val="Compact"/>
      </w:pPr>
      <w:r>
        <w:t xml:space="preserve">Destination/target port</w:t>
      </w:r>
    </w:p>
    <w:p>
      <w:pPr>
        <w:numPr>
          <w:ilvl w:val="1"/>
          <w:numId w:val="1025"/>
        </w:numPr>
        <w:pStyle w:val="Compact"/>
      </w:pPr>
      <w:r>
        <w:t xml:space="preserve">Destination/target IP address</w:t>
      </w:r>
    </w:p>
    <w:p>
      <w:pPr>
        <w:numPr>
          <w:ilvl w:val="1"/>
          <w:numId w:val="1025"/>
        </w:numPr>
        <w:pStyle w:val="Compact"/>
      </w:pPr>
      <w:r>
        <w:t xml:space="preserve">Destination/target hostname address (if reverse lookup performed)</w:t>
      </w:r>
    </w:p>
    <w:bookmarkEnd w:id="28"/>
    <w:bookmarkStart w:id="30" w:name="ariaid-title12"/>
    <w:p>
      <w:pPr>
        <w:pStyle w:val="Heading3"/>
      </w:pPr>
      <w:r>
        <w:t xml:space="preserve">2. Internal DNS namespace zone content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Internal domain name spaces must ultimate forward, in an</w:t>
      </w:r>
      <w:r>
        <w:t xml:space="preserve"> </w:t>
      </w:r>
      <w:hyperlink r:id="rId29">
        <w:r>
          <w:rPr>
            <w:rStyle w:val="Hyperlink"/>
          </w:rPr>
          <w:t xml:space="preserve">RFC5936 (DNS Zone Transfer Protocol (AXFR)</w:t>
        </w:r>
      </w:hyperlink>
      <w:r>
        <w:t xml:space="preserve"> </w:t>
      </w:r>
      <w:r>
        <w:t xml:space="preserve">compatible format including all information described in the RFC.</w:t>
      </w:r>
    </w:p>
    <w:bookmarkEnd w:id="30"/>
    <w:bookmarkStart w:id="31" w:name="ariaid-title13"/>
    <w:p>
      <w:pPr>
        <w:pStyle w:val="Heading3"/>
      </w:pPr>
      <w:r>
        <w:t xml:space="preserve">3. DHCP scopes (and the functional segmentation of each)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Machine-readable DHCP scope exports (and surrounding metadata/description of the purpose of each scope) must be created and forwarded.</w:t>
      </w:r>
    </w:p>
    <w:bookmarkEnd w:id="31"/>
    <w:bookmarkStart w:id="32" w:name="ariaid-title14"/>
    <w:p>
      <w:pPr>
        <w:pStyle w:val="Heading3"/>
      </w:pPr>
      <w:r>
        <w:t xml:space="preserve">4. Endpoint protection security logs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 log data (as defined by the vendor) must be created and forwarded.</w:t>
      </w:r>
    </w:p>
    <w:bookmarkEnd w:id="32"/>
    <w:bookmarkStart w:id="34" w:name="ariaid-title15"/>
    <w:p>
      <w:pPr>
        <w:pStyle w:val="Heading3"/>
      </w:pPr>
      <w:r>
        <w:t xml:space="preserve">5. Security-related logs for all Windows-based end-user devices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Security-related logs, as defined by</w:t>
      </w:r>
      <w:r>
        <w:t xml:space="preserve"> </w:t>
      </w:r>
      <w:hyperlink r:id="rId33">
        <w:r>
          <w:rPr>
            <w:rStyle w:val="Hyperlink"/>
          </w:rPr>
          <w:t xml:space="preserve">NCSC's Logging Made Easy template</w:t>
        </w:r>
      </w:hyperlink>
      <w:r>
        <w:t xml:space="preserve">, from all end-user devices operating a Microsoft Windows operating system must be created and forwarded.</w:t>
      </w:r>
    </w:p>
    <w:bookmarkEnd w:id="34"/>
    <w:bookmarkStart w:id="35" w:name="ariaid-title16"/>
    <w:p>
      <w:pPr>
        <w:pStyle w:val="Heading3"/>
      </w:pPr>
      <w:r>
        <w:t xml:space="preserve">6. Mobile device enrollment activity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Where a mobile device management solution is used and end-user devices register/enrol and de-register/de-enrol with it, enrollment data should be created in and forwarded.</w:t>
      </w:r>
    </w:p>
    <w:p>
      <w:pPr>
        <w:numPr>
          <w:ilvl w:val="0"/>
          <w:numId w:val="1026"/>
        </w:numPr>
        <w:pStyle w:val="Compact"/>
      </w:pPr>
      <w:r>
        <w:t xml:space="preserve">Enrolment or un-enrolment event type</w:t>
      </w:r>
    </w:p>
    <w:p>
      <w:pPr>
        <w:numPr>
          <w:ilvl w:val="0"/>
          <w:numId w:val="1026"/>
        </w:numPr>
        <w:pStyle w:val="Compact"/>
      </w:pPr>
      <w:r>
        <w:t xml:space="preserve">End-user device identifier(s), such as client IP address and/or MAC address and/or assigned DHCP name</w:t>
      </w:r>
    </w:p>
    <w:p>
      <w:pPr>
        <w:numPr>
          <w:ilvl w:val="0"/>
          <w:numId w:val="1026"/>
        </w:numPr>
        <w:pStyle w:val="Compact"/>
      </w:pPr>
      <w:r>
        <w:t xml:space="preserve">End-user account name (if applicable)</w:t>
      </w:r>
    </w:p>
    <w:bookmarkEnd w:id="35"/>
    <w:bookmarkStart w:id="36" w:name="ariaid-title17"/>
    <w:p>
      <w:pPr>
        <w:pStyle w:val="Heading3"/>
      </w:pPr>
      <w:r>
        <w:t xml:space="preserve">7. VPN concentrator activity data</w:t>
      </w:r>
    </w:p>
    <w:p>
      <w:pPr>
        <w:pStyle w:val="FirstParagraph"/>
      </w:pPr>
      <w:r>
        <w:t xml:space="preserve">Log Collection Principle(s): 3, 5</w:t>
      </w:r>
    </w:p>
    <w:p>
      <w:pPr>
        <w:pStyle w:val="BodyText"/>
      </w:pPr>
      <w:r>
        <w:t xml:space="preserve">Where VPN services are in use, connection-related log data must be created and forwarded.</w:t>
      </w:r>
    </w:p>
    <w:p>
      <w:pPr>
        <w:numPr>
          <w:ilvl w:val="0"/>
          <w:numId w:val="1027"/>
        </w:numPr>
        <w:pStyle w:val="Compact"/>
      </w:pPr>
      <w:r>
        <w:t xml:space="preserve">Success or unsuccess status</w:t>
      </w:r>
    </w:p>
    <w:p>
      <w:pPr>
        <w:numPr>
          <w:ilvl w:val="0"/>
          <w:numId w:val="1027"/>
        </w:numPr>
        <w:pStyle w:val="Compact"/>
      </w:pPr>
      <w:r>
        <w:t xml:space="preserve">User/certificate identifier</w:t>
      </w:r>
    </w:p>
    <w:p>
      <w:pPr>
        <w:numPr>
          <w:ilvl w:val="0"/>
          <w:numId w:val="1027"/>
        </w:numPr>
        <w:pStyle w:val="Compact"/>
      </w:pPr>
      <w:r>
        <w:t xml:space="preserve">Client IP address</w:t>
      </w:r>
    </w:p>
    <w:p>
      <w:pPr>
        <w:numPr>
          <w:ilvl w:val="0"/>
          <w:numId w:val="1027"/>
        </w:numPr>
        <w:pStyle w:val="Compact"/>
      </w:pPr>
      <w:r>
        <w:t xml:space="preserve">Concentrator identifier</w:t>
      </w:r>
    </w:p>
    <w:bookmarkEnd w:id="36"/>
    <w:bookmarkStart w:id="37" w:name="ariaid-title18"/>
    <w:p>
      <w:pPr>
        <w:pStyle w:val="Heading3"/>
      </w:pPr>
      <w:r>
        <w:t xml:space="preserve">8. Pipeline events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Continuous integration and continuous deployment pipelines obey instructions to manage hosting environments and are a privileged position to oversee all tenant resources, they must be highly auditable to clarify activity and attribute the same.</w:t>
      </w:r>
    </w:p>
    <w:p>
      <w:pPr>
        <w:numPr>
          <w:ilvl w:val="0"/>
          <w:numId w:val="1028"/>
        </w:numPr>
        <w:pStyle w:val="Compact"/>
      </w:pPr>
      <w:r>
        <w:t xml:space="preserve">Source identifier(s)</w:t>
      </w:r>
    </w:p>
    <w:p>
      <w:pPr>
        <w:numPr>
          <w:ilvl w:val="1"/>
          <w:numId w:val="1029"/>
        </w:numPr>
        <w:pStyle w:val="Compact"/>
      </w:pPr>
      <w:r>
        <w:t xml:space="preserve">User(s)</w:t>
      </w:r>
    </w:p>
    <w:p>
      <w:pPr>
        <w:numPr>
          <w:ilvl w:val="1"/>
          <w:numId w:val="1029"/>
        </w:numPr>
        <w:pStyle w:val="Compact"/>
      </w:pPr>
      <w:r>
        <w:t xml:space="preserve">Repository</w:t>
      </w:r>
    </w:p>
    <w:p>
      <w:pPr>
        <w:numPr>
          <w:ilvl w:val="0"/>
          <w:numId w:val="1028"/>
        </w:numPr>
        <w:pStyle w:val="Compact"/>
      </w:pPr>
      <w:r>
        <w:t xml:space="preserve">Activity events</w:t>
      </w:r>
    </w:p>
    <w:p>
      <w:pPr>
        <w:numPr>
          <w:ilvl w:val="1"/>
          <w:numId w:val="1030"/>
        </w:numPr>
        <w:pStyle w:val="Compact"/>
      </w:pPr>
      <w:r>
        <w:t xml:space="preserve">Resource creation</w:t>
      </w:r>
    </w:p>
    <w:p>
      <w:pPr>
        <w:numPr>
          <w:ilvl w:val="1"/>
          <w:numId w:val="1030"/>
        </w:numPr>
        <w:pStyle w:val="Compact"/>
      </w:pPr>
      <w:r>
        <w:t xml:space="preserve">Resource destruction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ukncsc/" TargetMode="External" /><Relationship Type="http://schemas.openxmlformats.org/officeDocument/2006/relationships/hyperlink" Id="rId29" Target="https://tools.ietf.org/html/rfc59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ukncsc/" TargetMode="External" /><Relationship Type="http://schemas.openxmlformats.org/officeDocument/2006/relationships/hyperlink" Id="rId29" Target="https://tools.ietf.org/html/rfc59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Hosting Platforms</dc:title>
  <dc:creator/>
  <dc:language>en</dc:language>
  <cp:keywords/>
  <dcterms:created xsi:type="dcterms:W3CDTF">2020-12-17T15:32:57Z</dcterms:created>
  <dcterms:modified xsi:type="dcterms:W3CDTF">2020-12-17T15:32:57Z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hosting-platforms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