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Networks</w:t>
      </w:r>
      <w:r>
        <w:t xml:space="preserve"> </w:t>
      </w:r>
      <w:r>
        <w:t xml:space="preserve">are</w:t>
      </w:r>
      <w:r>
        <w:t xml:space="preserve"> </w:t>
      </w:r>
      <w:r>
        <w:t xml:space="preserve">just</w:t>
      </w:r>
      <w:r>
        <w:t xml:space="preserve"> </w:t>
      </w:r>
      <w:r>
        <w:t xml:space="preserve">bearers</w:t>
      </w:r>
    </w:p>
    <w:bookmarkStart w:id="22" w:name="ariaid-title1"/>
    <w:p>
      <w:pPr>
        <w:pStyle w:val="Heading1"/>
      </w:pPr>
      <w:r>
        <w:t xml:space="preserve">Networks are just bearers</w:t>
      </w:r>
    </w:p>
    <w:bookmarkStart w:id="21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IP networks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considered commodity bearers for technical connectivity to faciliate the movement of data.</w:t>
      </w:r>
    </w:p>
    <w:p>
      <w:pPr>
        <w:pStyle w:val="BodyText"/>
      </w:pPr>
      <w:r>
        <w:t xml:space="preserve">Network characteristics (such as hardware port, VLAN tag or IP address) should not be solely relied upon as part of authorisation to confer trust or privilege.</w:t>
      </w:r>
    </w:p>
    <w:p>
      <w:pPr>
        <w:pStyle w:val="BodyText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https://medium.com/@joelgsamuel/ip-address-access-control-lists-are-not-as-great-as-you-think-they-are-4176b7d68f20</w:t>
        </w:r>
      </w:hyperlink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medium.com/@joelgsamuel/ip-address-access-control-lists-are-not-as-great-as-you-think-they-are-4176b7d68f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medium.com/@joelgsamuel/ip-address-access-control-lists-are-not-as-great-as-you-think-they-are-4176b7d68f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Networks are just bearers</dc:title>
  <dc:creator/>
  <dc:language>en</dc:language>
  <cp:keywords/>
  <dcterms:created xsi:type="dcterms:W3CDTF">2020-12-17T15:33:03Z</dcterms:created>
  <dcterms:modified xsi:type="dcterms:W3CDTF">2020-12-17T15:33:03Z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networks-bearers-not-trust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