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OFFICIAL,</w:t>
      </w:r>
      <w:r>
        <w:t xml:space="preserve"> </w:t>
      </w:r>
      <w:r>
        <w:t xml:space="preserve">OFFICIAL-SENSITIVE</w:t>
      </w:r>
    </w:p>
    <w:bookmarkStart w:id="25" w:name="ariaid-title1"/>
    <w:p>
      <w:pPr>
        <w:pStyle w:val="Heading1"/>
      </w:pPr>
      <w:r>
        <w:t xml:space="preserve">OFFICIAL, OFFICIAL-SENSITIVE</w:t>
      </w:r>
    </w:p>
    <w:p>
      <w:pPr>
        <w:pStyle w:val="FirstParagraph"/>
      </w:pPr>
      <w:r>
        <w:t xml:space="preserve">h/t</w:t>
      </w:r>
      <w:r>
        <w:t xml:space="preserve"> </w:t>
      </w:r>
      <w:hyperlink r:id="rId20">
        <w:r>
          <w:rPr>
            <w:rStyle w:val="Hyperlink"/>
          </w:rPr>
          <w:t xml:space="preserve">https://www.gov.uk/guidance/official-sensitive-data-and-it</w:t>
        </w:r>
      </w:hyperlink>
    </w:p>
    <w:bookmarkStart w:id="22" w:name="ariaid-title2"/>
    <w:p>
      <w:pPr>
        <w:pStyle w:val="Heading2"/>
      </w:pPr>
      <w:r>
        <w:t xml:space="preserve">OFFICIAL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is a UK HM Government information asset classification under the</w:t>
      </w:r>
      <w:r>
        <w:t xml:space="preserve"> </w:t>
      </w:r>
      <w:hyperlink r:id="rId21">
        <w:r>
          <w:rPr>
            <w:rStyle w:val="Hyperlink"/>
          </w:rPr>
          <w:t xml:space="preserve">Government Security Classifications Policy (GSCP)</w:t>
        </w:r>
      </w:hyperlink>
      <w:r>
        <w:t xml:space="preserve">.</w:t>
      </w:r>
    </w:p>
    <w:bookmarkEnd w:id="22"/>
    <w:bookmarkStart w:id="24" w:name="ariaid-title3"/>
    <w:p>
      <w:pPr>
        <w:pStyle w:val="Heading2"/>
      </w:pPr>
      <w:r>
        <w:t xml:space="preserve">OFFICIAL-SENSITIVE</w:t>
      </w:r>
    </w:p>
    <w:p>
      <w:pPr>
        <w:pStyle w:val="FirstParagraph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 OFFICIAL that require</w:t>
      </w:r>
      <w:r>
        <w:t xml:space="preserve"> </w:t>
      </w:r>
      <w:r>
        <w:rPr>
          <w:i/>
        </w:rPr>
        <w:t xml:space="preserve">special</w:t>
      </w:r>
      <w:r>
        <w:t xml:space="preserve"> </w:t>
      </w:r>
      <w:r>
        <w:t xml:space="preserve">handling by staff above and beyond the decribed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baseline.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is a</w:t>
      </w:r>
      <w:r>
        <w:t xml:space="preserve"> </w:t>
      </w:r>
      <w:r>
        <w:rPr>
          <w:i/>
        </w:rPr>
        <w:t xml:space="preserve">reminder</w:t>
      </w:r>
      <w:r>
        <w:t xml:space="preserve"> </w:t>
      </w:r>
      <w:r>
        <w:t xml:space="preserve">as opposed to a requirement for additional controls nor a description of a minimum set of controls.</w:t>
      </w:r>
    </w:p>
    <w:bookmarkStart w:id="23" w:name="ariaid-title4"/>
    <w:p>
      <w:pPr>
        <w:pStyle w:val="Heading3"/>
      </w:pPr>
      <w:r>
        <w:t xml:space="preserve">DESCRIPTORS</w:t>
      </w:r>
    </w:p>
    <w:p>
      <w:pPr>
        <w:pStyle w:val="FirstParagraph"/>
      </w:pPr>
      <w:r>
        <w:t xml:space="preserve">Descriptors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be applied (but they do not need to be) to help identify certain categories of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Descriptors should be applied in the format</w:t>
      </w:r>
      <w:r>
        <w:t xml:space="preserve"> </w:t>
      </w:r>
      <w:r>
        <w:rPr>
          <w:rStyle w:val="VerbatimChar"/>
        </w:rPr>
        <w:t xml:space="preserve">OFFICIAL-SENSITIVE [DESCRIPTOR]</w:t>
      </w:r>
    </w:p>
    <w:p>
      <w:pPr>
        <w:pStyle w:val="BodyText"/>
      </w:pPr>
      <w:r>
        <w:t xml:space="preserve">The Cabinet Office maintains the following list of core descriptors to ensure a consistent</w:t>
      </w:r>
      <w:r>
        <w:t xml:space="preserve"> </w:t>
      </w:r>
      <w:r>
        <w:t xml:space="preserve">approach is adopted across all departments: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COMMERCIAL</w:t>
      </w:r>
      <w:r>
        <w:t xml:space="preserve">: Commercial- or market-sensitive information, including that subject to statutory or regulatory obligations, that may be damaging to HMG or to a commercial partner if improperly accessed.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LOCSEN</w:t>
      </w:r>
      <w:r>
        <w:t xml:space="preserve">: Sensitive information that locally engaged staff overseas cannot access.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PERSONAL</w:t>
      </w:r>
      <w:r>
        <w:t xml:space="preserve">: Particularly sensitive information relating to an identifiable individual, where inappropriate access could have damaging consequences. For example, where relating to investigations, vulnerable individuals, or the personal / medical records of people in sensitive posts (e.g. military, SIA).</w:t>
      </w:r>
    </w:p>
    <w:p>
      <w:pPr>
        <w:pStyle w:val="FirstParagraph"/>
      </w:pPr>
      <w:r>
        <w:t xml:space="preserve">Descriptors are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codewords.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OFFICIAL, OFFICIAL-SENSITIVE</dc:title>
  <dc:creator/>
  <dc:language>en</dc:language>
  <cp:keywords/>
  <dcterms:created xsi:type="dcterms:W3CDTF">2020-12-21T15:17:12Z</dcterms:created>
  <dcterms:modified xsi:type="dcterms:W3CDTF">2020-12-21T15:17:12Z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official-official-sensitive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