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Shared</w:t>
      </w:r>
      <w:r>
        <w:t xml:space="preserve"> </w:t>
      </w:r>
      <w:r>
        <w:t xml:space="preserve">Responsibility</w:t>
      </w:r>
      <w:r>
        <w:t xml:space="preserve"> </w:t>
      </w:r>
      <w:r>
        <w:t xml:space="preserve">Models</w:t>
      </w:r>
    </w:p>
    <w:bookmarkStart w:id="25" w:name="ariaid-title1"/>
    <w:p>
      <w:pPr>
        <w:pStyle w:val="Heading1"/>
      </w:pPr>
      <w:r>
        <w:t xml:space="preserve">Shared Responsibility Models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by default will leverage shared responsibility models, particularly in commodity environments, in order to achieve efficiencies such as time, risk and cost.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believes that it should focus on elements which are unique to its requirements rather than attempting to solve commodity requirements in a unique way.</w:t>
      </w:r>
    </w:p>
    <w:p>
      <w:pPr>
        <w:pStyle w:val="BodyText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https://aws.amazon.com/compliance/shared-responsibility-model/</w:t>
        </w:r>
      </w:hyperlink>
    </w:p>
    <w:bookmarkStart w:id="24" w:name="ariaid-title2"/>
    <w:p>
      <w:pPr>
        <w:pStyle w:val="Heading2"/>
      </w:pPr>
      <w:r>
        <w:t xml:space="preserve">Assessments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conducts assessments (including risk assessments) where appropriate to ensure it understands the shared responsibility model, its obligations under the same and measure how third-parties are meeting their obligations.</w:t>
      </w:r>
    </w:p>
    <w:bookmarkStart w:id="21" w:name="ariaid-title3"/>
    <w:p>
      <w:pPr>
        <w:pStyle w:val="Heading3"/>
      </w:pPr>
      <w:r>
        <w:t xml:space="preserve">Inherited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inherits controls which are fully controlled and managed by a third-party, such as physical and environmental controls in a data centre.</w:t>
      </w:r>
    </w:p>
    <w:bookmarkEnd w:id="21"/>
    <w:bookmarkStart w:id="22" w:name="ariaid-title4"/>
    <w:p>
      <w:pPr>
        <w:pStyle w:val="Heading3"/>
      </w:pPr>
      <w:r>
        <w:t xml:space="preserve">Shared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has shared controls which is jointly responsible for with the third-party, for example:</w:t>
      </w:r>
    </w:p>
    <w:p>
      <w:pPr>
        <w:numPr>
          <w:ilvl w:val="0"/>
          <w:numId w:val="1001"/>
        </w:numPr>
      </w:pPr>
      <w:r>
        <w:t xml:space="preserve">Patch Management - AWS is responsible for patching and fixing flaws within the infrastructure, but customers are responsible for patching their guest OS and applications.</w:t>
      </w:r>
    </w:p>
    <w:p>
      <w:pPr>
        <w:numPr>
          <w:ilvl w:val="0"/>
          <w:numId w:val="1001"/>
        </w:numPr>
      </w:pPr>
      <w:r>
        <w:t xml:space="preserve">Configuration Management - AWS maintains the configuration of its infrastructure devices, but a customer is responsible for configuring their own guest operating systems, databases, and applications.</w:t>
      </w:r>
    </w:p>
    <w:p>
      <w:pPr>
        <w:numPr>
          <w:ilvl w:val="0"/>
          <w:numId w:val="1001"/>
        </w:numPr>
      </w:pPr>
      <w:r>
        <w:t xml:space="preserve">Awareness &amp; Training - AWS trains AWS employees, but a customer must train their own employees.</w:t>
      </w:r>
    </w:p>
    <w:bookmarkEnd w:id="22"/>
    <w:bookmarkStart w:id="23" w:name="ariaid-title5"/>
    <w:p>
      <w:pPr>
        <w:pStyle w:val="Heading3"/>
      </w:pPr>
      <w:r>
        <w:t xml:space="preserve">MoJ</w:t>
      </w:r>
      <w:r>
        <w:t xml:space="preserve"> </w:t>
      </w:r>
      <w:r>
        <w:t xml:space="preserve">specific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is responsible for appropriate use within its partnership or 'tenancy' of a third-party supplier or product.</w:t>
      </w:r>
    </w:p>
    <w:p>
      <w:pPr>
        <w:pStyle w:val="BodyText"/>
      </w:pPr>
      <w:r>
        <w:t xml:space="preserve">For example, in AWS,</w:t>
      </w:r>
      <w:r>
        <w:t xml:space="preserve"> </w:t>
      </w:r>
      <w:r>
        <w:t xml:space="preserve">MoJ</w:t>
      </w:r>
      <w:r>
        <w:t xml:space="preserve"> </w:t>
      </w:r>
      <w:r>
        <w:t xml:space="preserve">must correctly leverage native AWS functionality (such as Security Groups) to protect systems/data, and only the</w:t>
      </w:r>
      <w:r>
        <w:t xml:space="preserve"> </w:t>
      </w:r>
      <w:r>
        <w:t xml:space="preserve">MoJ</w:t>
      </w:r>
      <w:r>
        <w:t xml:space="preserve"> </w:t>
      </w:r>
      <w:r>
        <w:t xml:space="preserve">can implement these.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.amazon.com/compliance/shared-responsibility-mode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ws.amazon.com/compliance/shared-responsibility-mod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Shared Responsibility Models</dc:title>
  <dc:creator/>
  <dc:language>en</dc:language>
  <cp:keywords/>
  <dcterms:created xsi:type="dcterms:W3CDTF">2020-12-17T16:48:35Z</dcterms:created>
  <dcterms:modified xsi:type="dcterms:W3CDTF">2020-12-17T16:48:35Z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shared-responsibility-models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