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Calibri" w:hAnsi="Calibri" w:eastAsia="Calibri"/>
          <w:b/>
          <w:i w:val="0"/>
          <w:color w:val="1F4D36"/>
          <w:sz w:val="40"/>
        </w:rPr>
        <w:t>CHART 1  ·  Process flow</w:t>
      </w:r>
    </w:p>
    <w:p>
      <w:pPr>
        <w:spacing w:after="40"/>
        <w:jc w:val="center"/>
      </w:pPr>
      <w:r>
        <w:rPr>
          <w:rFonts w:ascii="Calibri" w:hAnsi="Calibri" w:eastAsia="Calibri"/>
          <w:b/>
          <w:i w:val="0"/>
          <w:color w:val="1E1A16"/>
          <w:sz w:val="24"/>
        </w:rPr>
        <w:t>Ready-to-eat beef jerky  ·  Delta, UT</w:t>
      </w:r>
    </w:p>
    <w:p>
      <w:pPr>
        <w:spacing w:after="160"/>
        <w:jc w:val="center"/>
      </w:pPr>
      <w:r>
        <w:rPr>
          <w:rFonts w:ascii="Calibri" w:hAnsi="Calibri" w:eastAsia="Calibri"/>
          <w:b w:val="0"/>
          <w:i w:val="0"/>
          <w:color w:val="1E1A16"/>
          <w:sz w:val="22"/>
        </w:rPr>
        <w:t>The customer does not cook it. It contains beef. It is sold shelf-stable, without refrigeration.</w:t>
      </w:r>
    </w:p>
    <w:p>
      <w:pPr>
        <w:spacing w:after="160"/>
        <w:jc w:val="center"/>
      </w:pPr>
      <w:r>
        <w:rPr>
          <w:rFonts w:ascii="Calibri" w:hAnsi="Calibri" w:eastAsia="Calibri"/>
          <w:b w:val="0"/>
          <w:i w:val="0"/>
          <w:color w:val="1E1A16"/>
          <w:sz w:val="20"/>
        </w:rPr>
        <w:t xml:space="preserve">Light box = process step    </w:t>
      </w:r>
      <w:r>
        <w:rPr>
          <w:rFonts w:ascii="Calibri" w:hAnsi="Calibri" w:eastAsia="Calibri"/>
          <w:b/>
          <w:i w:val="0"/>
          <w:color w:val="1F4D36"/>
          <w:sz w:val="20"/>
        </w:rPr>
        <w:t xml:space="preserve">Green box = critical control point    </w:t>
      </w:r>
      <w:r>
        <w:rPr>
          <w:rFonts w:ascii="Calibri" w:hAnsi="Calibri" w:eastAsia="Calibri"/>
          <w:b/>
          <w:i w:val="0"/>
          <w:color w:val="8C3D24"/>
          <w:sz w:val="20"/>
        </w:rPr>
        <w:t>Red box = the lot does not ship</w:t>
      </w:r>
    </w:p>
    <w:tbl>
      <w:tblPr>
        <w:tblW w:type="dxa" w:w="9072"/>
        <w:tblLayout w:type="fixed"/>
        <w:tblLook w:firstColumn="1" w:firstRow="1" w:lastColumn="0" w:lastRow="0" w:noHBand="0" w:noVBand="1" w:val="04A0"/>
        <w:jc w:val="center"/>
      </w:tblPr>
      <w:tblGrid>
        <w:gridCol w:w="10540"/>
      </w:tblGrid>
      <w:tr>
        <w:tc>
          <w:tcPr>
            <w:tcW w:type="dxa" w:w="9072"/>
            <w:shd w:fill="FFFDF9" w:val="clear"/>
            <w:tcBorders>
              <w:top w:val="single" w:sz="12" w:space="0" w:color="D9CFC3"/>
              <w:left w:val="single" w:sz="12" w:space="0" w:color="D9CFC3"/>
              <w:bottom w:val="single" w:sz="12" w:space="0" w:color="D9CFC3"/>
              <w:right w:val="single" w:sz="12" w:space="0" w:color="D9CFC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2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E1A16"/>
                <w:sz w:val="24"/>
              </w:rPr>
              <w:t>1. Receive inspected beef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1E1A16"/>
                <w:sz w:val="20"/>
              </w:rPr>
              <w:t>Invoice and mark of inspection. Measure product temperature.</w:t>
            </w:r>
          </w:p>
        </w:tc>
      </w:tr>
    </w:tbl>
    <w:p>
      <w:pPr>
        <w:spacing w:before="0" w:after="0"/>
        <w:jc w:val="center"/>
      </w:pPr>
      <w:r>
        <w:rPr>
          <w:rFonts w:ascii="Calibri" w:hAnsi="Calibri" w:eastAsia="Calibri"/>
          <w:b/>
          <w:i w:val="0"/>
          <w:color w:val="1F4D36"/>
          <w:sz w:val="28"/>
        </w:rPr>
        <w:t>↓</w:t>
      </w:r>
    </w:p>
    <w:tbl>
      <w:tblPr>
        <w:tblW w:type="dxa" w:w="9072"/>
        <w:tblLayout w:type="fixed"/>
        <w:tblLook w:firstColumn="1" w:firstRow="1" w:lastColumn="0" w:lastRow="0" w:noHBand="0" w:noVBand="1" w:val="04A0"/>
        <w:jc w:val="center"/>
      </w:tblPr>
      <w:tblGrid>
        <w:gridCol w:w="10540"/>
      </w:tblGrid>
      <w:tr>
        <w:tc>
          <w:tcPr>
            <w:tcW w:type="dxa" w:w="9072"/>
            <w:shd w:fill="FFFDF9" w:val="clear"/>
            <w:tcBorders>
              <w:top w:val="single" w:sz="12" w:space="0" w:color="D9CFC3"/>
              <w:left w:val="single" w:sz="12" w:space="0" w:color="D9CFC3"/>
              <w:bottom w:val="single" w:sz="12" w:space="0" w:color="D9CFC3"/>
              <w:right w:val="single" w:sz="12" w:space="0" w:color="D9CFC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2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E1A16"/>
                <w:sz w:val="24"/>
              </w:rPr>
              <w:t>2. Receive salt, spices, and bags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1E1A16"/>
                <w:sz w:val="20"/>
              </w:rPr>
              <w:t>Specification matches. No nitrite.</w:t>
            </w:r>
          </w:p>
        </w:tc>
      </w:tr>
    </w:tbl>
    <w:p>
      <w:pPr>
        <w:spacing w:before="0" w:after="0"/>
        <w:jc w:val="center"/>
      </w:pPr>
      <w:r>
        <w:rPr>
          <w:rFonts w:ascii="Calibri" w:hAnsi="Calibri" w:eastAsia="Calibri"/>
          <w:b/>
          <w:i w:val="0"/>
          <w:color w:val="1F4D36"/>
          <w:sz w:val="28"/>
        </w:rPr>
        <w:t>↓</w:t>
      </w:r>
    </w:p>
    <w:tbl>
      <w:tblPr>
        <w:tblW w:type="dxa" w:w="9072"/>
        <w:tblLayout w:type="fixed"/>
        <w:tblLook w:firstColumn="1" w:firstRow="1" w:lastColumn="0" w:lastRow="0" w:noHBand="0" w:noVBand="1" w:val="04A0"/>
        <w:jc w:val="center"/>
      </w:tblPr>
      <w:tblGrid>
        <w:gridCol w:w="10540"/>
      </w:tblGrid>
      <w:tr>
        <w:tc>
          <w:tcPr>
            <w:tcW w:type="dxa" w:w="9072"/>
            <w:shd w:fill="1F4D36" w:val="clear"/>
            <w:tcBorders>
              <w:top w:val="single" w:sz="12" w:space="0" w:color="1F4D36"/>
              <w:left w:val="single" w:sz="12" w:space="0" w:color="1F4D36"/>
              <w:bottom w:val="single" w:sz="12" w:space="0" w:color="1F4D36"/>
              <w:right w:val="single" w:sz="12" w:space="0" w:color="1F4D36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2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2"/>
              </w:rPr>
              <w:t>CCP-1  ·  COOLER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4"/>
              </w:rPr>
              <w:t>Store and marinate the beef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FFFFFF"/>
                <w:sz w:val="20"/>
              </w:rPr>
              <w:t>Product temperature below 41°F (5°C)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FFFFFF"/>
                <w:sz w:val="20"/>
              </w:rPr>
              <w:t>Probe the meat, not the cooler air</w:t>
            </w:r>
          </w:p>
        </w:tc>
      </w:tr>
    </w:tbl>
    <w:p>
      <w:pPr>
        <w:spacing w:before="0" w:after="0"/>
        <w:jc w:val="center"/>
      </w:pPr>
      <w:r>
        <w:rPr>
          <w:rFonts w:ascii="Calibri" w:hAnsi="Calibri" w:eastAsia="Calibri"/>
          <w:b/>
          <w:i w:val="0"/>
          <w:color w:val="1F4D36"/>
          <w:sz w:val="28"/>
        </w:rPr>
        <w:t>↓</w:t>
      </w:r>
    </w:p>
    <w:tbl>
      <w:tblPr>
        <w:tblW w:type="dxa" w:w="9072"/>
        <w:tblLayout w:type="fixed"/>
        <w:tblLook w:firstColumn="1" w:firstRow="1" w:lastColumn="0" w:lastRow="0" w:noHBand="0" w:noVBand="1" w:val="04A0"/>
        <w:jc w:val="center"/>
      </w:tblPr>
      <w:tblGrid>
        <w:gridCol w:w="10540"/>
      </w:tblGrid>
      <w:tr>
        <w:tc>
          <w:tcPr>
            <w:tcW w:type="dxa" w:w="9072"/>
            <w:shd w:fill="FFFDF9" w:val="clear"/>
            <w:tcBorders>
              <w:top w:val="single" w:sz="12" w:space="0" w:color="D9CFC3"/>
              <w:left w:val="single" w:sz="12" w:space="0" w:color="D9CFC3"/>
              <w:bottom w:val="single" w:sz="12" w:space="0" w:color="D9CFC3"/>
              <w:right w:val="single" w:sz="12" w:space="0" w:color="D9CFC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2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E1A16"/>
                <w:sz w:val="24"/>
              </w:rPr>
              <w:t>3. Slice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1E1A16"/>
                <w:sz w:val="20"/>
              </w:rPr>
              <w:t>Record thickness on the batch sheet.</w:t>
            </w:r>
          </w:p>
        </w:tc>
      </w:tr>
    </w:tbl>
    <w:p>
      <w:pPr>
        <w:spacing w:before="0" w:after="0"/>
        <w:jc w:val="center"/>
      </w:pPr>
      <w:r>
        <w:rPr>
          <w:rFonts w:ascii="Calibri" w:hAnsi="Calibri" w:eastAsia="Calibri"/>
          <w:b/>
          <w:i w:val="0"/>
          <w:color w:val="1F4D36"/>
          <w:sz w:val="28"/>
        </w:rPr>
        <w:t>↓</w:t>
      </w:r>
    </w:p>
    <w:tbl>
      <w:tblPr>
        <w:tblW w:type="dxa" w:w="9072"/>
        <w:tblLayout w:type="fixed"/>
        <w:tblLook w:firstColumn="1" w:firstRow="1" w:lastColumn="0" w:lastRow="0" w:noHBand="0" w:noVBand="1" w:val="04A0"/>
        <w:jc w:val="center"/>
      </w:tblPr>
      <w:tblGrid>
        <w:gridCol w:w="10540"/>
      </w:tblGrid>
      <w:tr>
        <w:tc>
          <w:tcPr>
            <w:tcW w:type="dxa" w:w="9072"/>
            <w:shd w:fill="FFFDF9" w:val="clear"/>
            <w:tcBorders>
              <w:top w:val="single" w:sz="12" w:space="0" w:color="D9CFC3"/>
              <w:left w:val="single" w:sz="12" w:space="0" w:color="D9CFC3"/>
              <w:bottom w:val="single" w:sz="12" w:space="0" w:color="D9CFC3"/>
              <w:right w:val="single" w:sz="12" w:space="0" w:color="D9CFC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2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E1A16"/>
                <w:sz w:val="24"/>
              </w:rPr>
              <w:t>4. Weigh the batch and mix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1E1A16"/>
                <w:sz w:val="20"/>
              </w:rPr>
              <w:t>Beef, salt, and the spices on the batch sheet.</w:t>
            </w:r>
          </w:p>
        </w:tc>
      </w:tr>
    </w:tbl>
    <w:p>
      <w:pPr>
        <w:spacing w:before="0" w:after="0"/>
        <w:jc w:val="center"/>
      </w:pPr>
      <w:r>
        <w:rPr>
          <w:rFonts w:ascii="Calibri" w:hAnsi="Calibri" w:eastAsia="Calibri"/>
          <w:b/>
          <w:i w:val="0"/>
          <w:color w:val="1F4D36"/>
          <w:sz w:val="28"/>
        </w:rPr>
        <w:t>↓</w:t>
      </w:r>
    </w:p>
    <w:tbl>
      <w:tblPr>
        <w:tblW w:type="dxa" w:w="9072"/>
        <w:tblLayout w:type="fixed"/>
        <w:tblLook w:firstColumn="1" w:firstRow="1" w:lastColumn="0" w:lastRow="0" w:noHBand="0" w:noVBand="1" w:val="04A0"/>
        <w:jc w:val="center"/>
      </w:tblPr>
      <w:tblGrid>
        <w:gridCol w:w="10540"/>
      </w:tblGrid>
      <w:tr>
        <w:tc>
          <w:tcPr>
            <w:tcW w:type="dxa" w:w="9072"/>
            <w:shd w:fill="FFFDF9" w:val="clear"/>
            <w:tcBorders>
              <w:top w:val="single" w:sz="12" w:space="0" w:color="D9CFC3"/>
              <w:left w:val="single" w:sz="12" w:space="0" w:color="D9CFC3"/>
              <w:bottom w:val="single" w:sz="12" w:space="0" w:color="D9CFC3"/>
              <w:right w:val="single" w:sz="12" w:space="0" w:color="D9CFC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2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E1A16"/>
                <w:sz w:val="24"/>
              </w:rPr>
              <w:t>5. Single layer on racks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1E1A16"/>
                <w:sz w:val="20"/>
              </w:rPr>
              <w:t>Do not stack. Do not dry before the cook.</w:t>
            </w:r>
          </w:p>
        </w:tc>
      </w:tr>
    </w:tbl>
    <w:p>
      <w:pPr>
        <w:spacing w:before="0" w:after="0"/>
        <w:jc w:val="center"/>
      </w:pPr>
      <w:r>
        <w:rPr>
          <w:rFonts w:ascii="Calibri" w:hAnsi="Calibri" w:eastAsia="Calibri"/>
          <w:b/>
          <w:i w:val="0"/>
          <w:color w:val="1F4D36"/>
          <w:sz w:val="28"/>
        </w:rPr>
        <w:t>↓</w:t>
      </w:r>
    </w:p>
    <w:tbl>
      <w:tblPr>
        <w:tblW w:type="dxa" w:w="9072"/>
        <w:tblLayout w:type="fixed"/>
        <w:tblLook w:firstColumn="1" w:firstRow="1" w:lastColumn="0" w:lastRow="0" w:noHBand="0" w:noVBand="1" w:val="04A0"/>
        <w:jc w:val="center"/>
      </w:tblPr>
      <w:tblGrid>
        <w:gridCol w:w="10540"/>
      </w:tblGrid>
      <w:tr>
        <w:tc>
          <w:tcPr>
            <w:tcW w:type="dxa" w:w="9072"/>
            <w:shd w:fill="1F4D36" w:val="clear"/>
            <w:tcBorders>
              <w:top w:val="single" w:sz="12" w:space="0" w:color="1F4D36"/>
              <w:left w:val="single" w:sz="12" w:space="0" w:color="1F4D36"/>
              <w:bottom w:val="single" w:sz="12" w:space="0" w:color="1F4D36"/>
              <w:right w:val="single" w:sz="12" w:space="0" w:color="1F4D36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2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2"/>
              </w:rPr>
              <w:t>CCP-2  ·  HUMID COOK, BEFORE DRYING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FFFFFF"/>
                <w:sz w:val="20"/>
              </w:rPr>
              <w:t>Dry bulb above 170°F within 30 minutes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FFFFFF"/>
                <w:sz w:val="20"/>
              </w:rPr>
              <w:t>Wet bulb from 125°F to 142°F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FFFFFF"/>
                <w:sz w:val="20"/>
              </w:rPr>
              <w:t>Internal 158°F or above, thickest piece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FFFFFF"/>
                <w:sz w:val="20"/>
              </w:rPr>
              <w:t>From 50°F to 130°F: 6 hours or less</w:t>
            </w:r>
          </w:p>
        </w:tc>
      </w:tr>
    </w:tbl>
    <w:p>
      <w:pPr>
        <w:spacing w:before="0" w:after="0"/>
        <w:jc w:val="center"/>
      </w:pPr>
      <w:r>
        <w:rPr>
          <w:rFonts w:ascii="Calibri" w:hAnsi="Calibri" w:eastAsia="Calibri"/>
          <w:b/>
          <w:i w:val="0"/>
          <w:color w:val="1F4D36"/>
          <w:sz w:val="28"/>
        </w:rPr>
        <w:t>↓</w:t>
      </w:r>
    </w:p>
    <w:tbl>
      <w:tblPr>
        <w:tblW w:type="dxa" w:w="9072"/>
        <w:tblLayout w:type="fixed"/>
        <w:tblLook w:firstColumn="1" w:firstRow="1" w:lastColumn="0" w:lastRow="0" w:noHBand="0" w:noVBand="1" w:val="04A0"/>
        <w:jc w:val="center"/>
      </w:tblPr>
      <w:tblGrid>
        <w:gridCol w:w="10540"/>
      </w:tblGrid>
      <w:tr>
        <w:tc>
          <w:tcPr>
            <w:tcW w:type="dxa" w:w="9072"/>
            <w:shd w:fill="1F4D36" w:val="clear"/>
            <w:tcBorders>
              <w:top w:val="single" w:sz="12" w:space="0" w:color="1F4D36"/>
              <w:left w:val="single" w:sz="12" w:space="0" w:color="1F4D36"/>
              <w:bottom w:val="single" w:sz="12" w:space="0" w:color="1F4D36"/>
              <w:right w:val="single" w:sz="12" w:space="0" w:color="1F4D36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2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2"/>
              </w:rPr>
              <w:t>CCP-3  ·  DRYING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FFFFFF"/>
                <w:sz w:val="20"/>
              </w:rPr>
              <w:t>Water activity below 0.88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FFFFFF"/>
                <w:sz w:val="20"/>
              </w:rPr>
              <w:t>Three pieces. The highest reading is the result.</w:t>
            </w:r>
          </w:p>
        </w:tc>
      </w:tr>
    </w:tbl>
    <w:p>
      <w:pPr>
        <w:spacing w:before="0" w:after="0"/>
        <w:jc w:val="center"/>
      </w:pPr>
      <w:r>
        <w:rPr>
          <w:rFonts w:ascii="Calibri" w:hAnsi="Calibri" w:eastAsia="Calibri"/>
          <w:b/>
          <w:i w:val="0"/>
          <w:color w:val="1F4D36"/>
          <w:sz w:val="28"/>
        </w:rPr>
        <w:t>↓</w:t>
      </w:r>
    </w:p>
    <w:tbl>
      <w:tblPr>
        <w:tblW w:type="dxa" w:w="9072"/>
        <w:tblLayout w:type="fixed"/>
        <w:tblLook w:firstColumn="1" w:firstRow="1" w:lastColumn="0" w:lastRow="0" w:noHBand="0" w:noVBand="1" w:val="04A0"/>
        <w:jc w:val="center"/>
      </w:tblPr>
      <w:tblGrid>
        <w:gridCol w:w="10540"/>
      </w:tblGrid>
      <w:tr>
        <w:tc>
          <w:tcPr>
            <w:tcW w:type="dxa" w:w="9072"/>
            <w:shd w:fill="FFFDF9" w:val="clear"/>
            <w:tcBorders>
              <w:top w:val="single" w:sz="12" w:space="0" w:color="D9CFC3"/>
              <w:left w:val="single" w:sz="12" w:space="0" w:color="D9CFC3"/>
              <w:bottom w:val="single" w:sz="12" w:space="0" w:color="D9CFC3"/>
              <w:right w:val="single" w:sz="12" w:space="0" w:color="D9CFC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2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E1A16"/>
                <w:sz w:val="24"/>
              </w:rPr>
              <w:t>6. Cool dry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1E1A16"/>
                <w:sz w:val="20"/>
              </w:rPr>
              <w:t>Do not rinse or mist.</w:t>
            </w:r>
          </w:p>
        </w:tc>
      </w:tr>
    </w:tbl>
    <w:p>
      <w:pPr>
        <w:spacing w:before="0" w:after="0"/>
        <w:jc w:val="center"/>
      </w:pPr>
      <w:r>
        <w:rPr>
          <w:rFonts w:ascii="Calibri" w:hAnsi="Calibri" w:eastAsia="Calibri"/>
          <w:b/>
          <w:i w:val="0"/>
          <w:color w:val="1F4D36"/>
          <w:sz w:val="28"/>
        </w:rPr>
        <w:t>↓</w:t>
      </w:r>
    </w:p>
    <w:tbl>
      <w:tblPr>
        <w:tblW w:type="dxa" w:w="9072"/>
        <w:tblLayout w:type="fixed"/>
        <w:tblLook w:firstColumn="1" w:firstRow="1" w:lastColumn="0" w:lastRow="0" w:noHBand="0" w:noVBand="1" w:val="04A0"/>
        <w:jc w:val="center"/>
      </w:tblPr>
      <w:tblGrid>
        <w:gridCol w:w="10540"/>
      </w:tblGrid>
      <w:tr>
        <w:tc>
          <w:tcPr>
            <w:tcW w:type="dxa" w:w="9072"/>
            <w:shd w:fill="FFFDF9" w:val="clear"/>
            <w:tcBorders>
              <w:top w:val="single" w:sz="12" w:space="0" w:color="D9CFC3"/>
              <w:left w:val="single" w:sz="12" w:space="0" w:color="D9CFC3"/>
              <w:bottom w:val="single" w:sz="12" w:space="0" w:color="D9CFC3"/>
              <w:right w:val="single" w:sz="12" w:space="0" w:color="D9CFC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2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E1A16"/>
                <w:sz w:val="24"/>
              </w:rPr>
              <w:t>7. Pack and label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1E1A16"/>
                <w:sz w:val="20"/>
              </w:rPr>
              <w:t>Only if all three CCPs passed. Bag marked with the lot.</w:t>
            </w:r>
          </w:p>
        </w:tc>
      </w:tr>
    </w:tbl>
    <w:p>
      <w:pPr>
        <w:spacing w:before="0" w:after="0"/>
        <w:jc w:val="center"/>
      </w:pPr>
      <w:r>
        <w:rPr>
          <w:rFonts w:ascii="Calibri" w:hAnsi="Calibri" w:eastAsia="Calibri"/>
          <w:b/>
          <w:i w:val="0"/>
          <w:color w:val="1F4D36"/>
          <w:sz w:val="28"/>
        </w:rPr>
        <w:t>↓</w:t>
      </w:r>
    </w:p>
    <w:tbl>
      <w:tblPr>
        <w:tblW w:type="dxa" w:w="9072"/>
        <w:tblLayout w:type="fixed"/>
        <w:tblLook w:firstColumn="1" w:firstRow="1" w:lastColumn="0" w:lastRow="0" w:noHBand="0" w:noVBand="1" w:val="04A0"/>
        <w:jc w:val="center"/>
      </w:tblPr>
      <w:tblGrid>
        <w:gridCol w:w="10540"/>
      </w:tblGrid>
      <w:tr>
        <w:tc>
          <w:tcPr>
            <w:tcW w:type="dxa" w:w="9072"/>
            <w:shd w:fill="FFFDF9" w:val="clear"/>
            <w:tcBorders>
              <w:top w:val="single" w:sz="12" w:space="0" w:color="D9CFC3"/>
              <w:left w:val="single" w:sz="12" w:space="0" w:color="D9CFC3"/>
              <w:bottom w:val="single" w:sz="12" w:space="0" w:color="D9CFC3"/>
              <w:right w:val="single" w:sz="12" w:space="0" w:color="D9CFC3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2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E1A16"/>
                <w:sz w:val="24"/>
              </w:rPr>
              <w:t>8. Review the numbers and sign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1E1A16"/>
                <w:sz w:val="20"/>
              </w:rPr>
              <w:t>Each number is compared with its limit. Then dry storage.</w:t>
            </w:r>
          </w:p>
        </w:tc>
      </w:tr>
    </w:tbl>
    <w:p>
      <w:pPr>
        <w:spacing w:before="0" w:after="0"/>
        <w:jc w:val="center"/>
      </w:pPr>
      <w:r>
        <w:rPr>
          <w:rFonts w:ascii="Calibri" w:hAnsi="Calibri" w:eastAsia="Calibri"/>
          <w:b/>
          <w:i w:val="0"/>
          <w:color w:val="1F4D36"/>
          <w:sz w:val="28"/>
        </w:rPr>
        <w:t>↓</w:t>
      </w:r>
    </w:p>
    <w:tbl>
      <w:tblPr>
        <w:tblW w:type="dxa" w:w="9072"/>
        <w:tblLayout w:type="fixed"/>
        <w:tblLook w:firstColumn="1" w:firstRow="1" w:lastColumn="0" w:lastRow="0" w:noHBand="0" w:noVBand="1" w:val="04A0"/>
        <w:jc w:val="center"/>
      </w:tblPr>
      <w:tblGrid>
        <w:gridCol w:w="10540"/>
      </w:tblGrid>
      <w:tr>
        <w:tc>
          <w:tcPr>
            <w:tcW w:type="dxa" w:w="9072"/>
            <w:shd w:fill="F8EBE4" w:val="clear"/>
            <w:tcBorders>
              <w:top w:val="single" w:sz="12" w:space="0" w:color="8C3D24"/>
              <w:left w:val="single" w:sz="12" w:space="0" w:color="8C3D24"/>
              <w:bottom w:val="single" w:sz="12" w:space="0" w:color="8C3D24"/>
              <w:right w:val="single" w:sz="12" w:space="0" w:color="8C3D2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8C3D24"/>
                <w:sz w:val="22"/>
              </w:rPr>
              <w:t>If a limit is missed, the lot is held and is not sold as ready-to-eat beef jerky.</w:t>
            </w:r>
          </w:p>
        </w:tc>
      </w:tr>
    </w:tbl>
    <w:p>
      <w:r>
        <w:br w:type="page"/>
      </w:r>
    </w:p>
    <w:p>
      <w:pPr>
        <w:jc w:val="center"/>
      </w:pPr>
      <w:r>
        <w:rPr>
          <w:rFonts w:ascii="Calibri" w:hAnsi="Calibri" w:eastAsia="Calibri"/>
          <w:b/>
          <w:i w:val="0"/>
          <w:color w:val="1F4D36"/>
          <w:sz w:val="40"/>
        </w:rPr>
        <w:t>CHART 2  ·  The three limits</w:t>
      </w:r>
    </w:p>
    <w:p>
      <w:pPr>
        <w:spacing w:after="200"/>
        <w:jc w:val="center"/>
      </w:pPr>
      <w:r>
        <w:rPr>
          <w:rFonts w:ascii="Calibri" w:hAnsi="Calibri" w:eastAsia="Calibri"/>
          <w:b w:val="0"/>
          <w:i w:val="0"/>
          <w:color w:val="1E1A16"/>
          <w:sz w:val="24"/>
        </w:rPr>
        <w:t>What is written for each lot, before it is sold</w:t>
      </w:r>
    </w:p>
    <w:tbl>
      <w:tblPr>
        <w:tblStyle w:val="TableGrid"/>
        <w:tblW w:type="dxa" w:w="9504"/>
        <w:tblLayout w:type="fixed"/>
        <w:tblLook w:firstColumn="1" w:firstRow="1" w:lastColumn="0" w:lastRow="0" w:noHBand="0" w:noVBand="1" w:val="04A0"/>
        <w:jc w:val="center"/>
      </w:tblPr>
      <w:tblGrid>
        <w:gridCol w:w="3513"/>
        <w:gridCol w:w="3513"/>
        <w:gridCol w:w="3513"/>
      </w:tblGrid>
      <w:tr>
        <w:tc>
          <w:tcPr>
            <w:tcW w:type="dxa" w:w="9504"/>
            <w:shd w:fill="1F4D36" w:val="clear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2"/>
              </w:rPr>
              <w:t>Point</w:t>
            </w:r>
          </w:p>
        </w:tc>
        <w:tc>
          <w:tcPr>
            <w:tcW w:type="dxa" w:w="9504"/>
            <w:shd w:fill="1F4D36" w:val="clear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2"/>
              </w:rPr>
              <w:t>What is measured</w:t>
            </w:r>
          </w:p>
        </w:tc>
        <w:tc>
          <w:tcPr>
            <w:tcW w:type="dxa" w:w="9504"/>
            <w:shd w:fill="1F4D36" w:val="clear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2"/>
              </w:rPr>
              <w:t>The lot passes if</w:t>
            </w:r>
          </w:p>
        </w:tc>
      </w:tr>
      <w:tr>
        <w:tc>
          <w:tcPr>
            <w:tcW w:type="dxa" w:w="9504"/>
          </w:tcPr>
          <w:p>
            <w:r/>
            <w:r>
              <w:rPr>
                <w:rFonts w:ascii="Calibri" w:hAnsi="Calibri" w:eastAsia="Calibri"/>
                <w:b/>
                <w:i w:val="0"/>
                <w:color w:val="1E1A16"/>
                <w:sz w:val="22"/>
              </w:rPr>
              <w:t>CCP-1 Cooler</w:t>
            </w:r>
          </w:p>
        </w:tc>
        <w:tc>
          <w:tcPr>
            <w:tcW w:type="dxa" w:w="9504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1A16"/>
                <w:sz w:val="22"/>
              </w:rPr>
              <w:t>Product temperature</w:t>
            </w:r>
          </w:p>
        </w:tc>
        <w:tc>
          <w:tcPr>
            <w:tcW w:type="dxa" w:w="9504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1A16"/>
                <w:sz w:val="22"/>
              </w:rPr>
              <w:t>Below 41°F (5°C)</w:t>
            </w:r>
          </w:p>
        </w:tc>
      </w:tr>
      <w:tr>
        <w:tc>
          <w:tcPr>
            <w:tcW w:type="dxa" w:w="9504"/>
            <w:shd w:fill="F4F1EA" w:val="clear"/>
          </w:tcPr>
          <w:p>
            <w:r/>
            <w:r>
              <w:rPr>
                <w:rFonts w:ascii="Calibri" w:hAnsi="Calibri" w:eastAsia="Calibri"/>
                <w:b/>
                <w:i w:val="0"/>
                <w:color w:val="1E1A16"/>
                <w:sz w:val="22"/>
              </w:rPr>
              <w:t>CCP-2 Cook</w:t>
            </w:r>
          </w:p>
        </w:tc>
        <w:tc>
          <w:tcPr>
            <w:tcW w:type="dxa" w:w="9504"/>
            <w:shd w:fill="F4F1EA" w:val="clear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1A16"/>
                <w:sz w:val="22"/>
              </w:rPr>
              <w:t>Dry bulb</w:t>
            </w:r>
          </w:p>
        </w:tc>
        <w:tc>
          <w:tcPr>
            <w:tcW w:type="dxa" w:w="9504"/>
            <w:shd w:fill="F4F1EA" w:val="clear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1A16"/>
                <w:sz w:val="22"/>
              </w:rPr>
              <w:t>Above 170°F within the first 30 minutes</w:t>
            </w:r>
          </w:p>
        </w:tc>
      </w:tr>
      <w:tr>
        <w:tc>
          <w:tcPr>
            <w:tcW w:type="dxa" w:w="9504"/>
          </w:tcPr>
          <w:p>
            <w:r/>
            <w:r>
              <w:rPr>
                <w:rFonts w:ascii="Calibri" w:hAnsi="Calibri" w:eastAsia="Calibri"/>
                <w:b/>
                <w:i w:val="0"/>
                <w:color w:val="1E1A16"/>
                <w:sz w:val="22"/>
              </w:rPr>
              <w:t>CCP-2 Cook</w:t>
            </w:r>
          </w:p>
        </w:tc>
        <w:tc>
          <w:tcPr>
            <w:tcW w:type="dxa" w:w="9504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1A16"/>
                <w:sz w:val="22"/>
              </w:rPr>
              <w:t>Wet bulb</w:t>
            </w:r>
          </w:p>
        </w:tc>
        <w:tc>
          <w:tcPr>
            <w:tcW w:type="dxa" w:w="9504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1A16"/>
                <w:sz w:val="22"/>
              </w:rPr>
              <w:t>From 125°F to 142°F during the cook</w:t>
            </w:r>
          </w:p>
        </w:tc>
      </w:tr>
      <w:tr>
        <w:tc>
          <w:tcPr>
            <w:tcW w:type="dxa" w:w="9504"/>
            <w:shd w:fill="F4F1EA" w:val="clear"/>
          </w:tcPr>
          <w:p>
            <w:r/>
            <w:r>
              <w:rPr>
                <w:rFonts w:ascii="Calibri" w:hAnsi="Calibri" w:eastAsia="Calibri"/>
                <w:b/>
                <w:i w:val="0"/>
                <w:color w:val="1E1A16"/>
                <w:sz w:val="22"/>
              </w:rPr>
              <w:t>CCP-2 Cook</w:t>
            </w:r>
          </w:p>
        </w:tc>
        <w:tc>
          <w:tcPr>
            <w:tcW w:type="dxa" w:w="9504"/>
            <w:shd w:fill="F4F1EA" w:val="clear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1A16"/>
                <w:sz w:val="22"/>
              </w:rPr>
              <w:t>Internal temperature</w:t>
            </w:r>
          </w:p>
        </w:tc>
        <w:tc>
          <w:tcPr>
            <w:tcW w:type="dxa" w:w="9504"/>
            <w:shd w:fill="F4F1EA" w:val="clear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1A16"/>
                <w:sz w:val="22"/>
              </w:rPr>
              <w:t>158°F or above. The lowest reading.</w:t>
            </w:r>
          </w:p>
        </w:tc>
      </w:tr>
      <w:tr>
        <w:tc>
          <w:tcPr>
            <w:tcW w:type="dxa" w:w="9504"/>
          </w:tcPr>
          <w:p>
            <w:r/>
            <w:r>
              <w:rPr>
                <w:rFonts w:ascii="Calibri" w:hAnsi="Calibri" w:eastAsia="Calibri"/>
                <w:b/>
                <w:i w:val="0"/>
                <w:color w:val="1E1A16"/>
                <w:sz w:val="22"/>
              </w:rPr>
              <w:t>CCP-2 Cook</w:t>
            </w:r>
          </w:p>
        </w:tc>
        <w:tc>
          <w:tcPr>
            <w:tcW w:type="dxa" w:w="9504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1A16"/>
                <w:sz w:val="22"/>
              </w:rPr>
              <w:t>Come-up time</w:t>
            </w:r>
          </w:p>
        </w:tc>
        <w:tc>
          <w:tcPr>
            <w:tcW w:type="dxa" w:w="9504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1A16"/>
                <w:sz w:val="22"/>
              </w:rPr>
              <w:t>From 50°F to 130°F, 6 hours or less</w:t>
            </w:r>
          </w:p>
        </w:tc>
      </w:tr>
      <w:tr>
        <w:tc>
          <w:tcPr>
            <w:tcW w:type="dxa" w:w="9504"/>
            <w:shd w:fill="F4F1EA" w:val="clear"/>
          </w:tcPr>
          <w:p>
            <w:r/>
            <w:r>
              <w:rPr>
                <w:rFonts w:ascii="Calibri" w:hAnsi="Calibri" w:eastAsia="Calibri"/>
                <w:b/>
                <w:i w:val="0"/>
                <w:color w:val="1E1A16"/>
                <w:sz w:val="22"/>
              </w:rPr>
              <w:t>CCP-3 Drying</w:t>
            </w:r>
          </w:p>
        </w:tc>
        <w:tc>
          <w:tcPr>
            <w:tcW w:type="dxa" w:w="9504"/>
            <w:shd w:fill="F4F1EA" w:val="clear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1A16"/>
                <w:sz w:val="22"/>
              </w:rPr>
              <w:t>Water activity</w:t>
            </w:r>
          </w:p>
        </w:tc>
        <w:tc>
          <w:tcPr>
            <w:tcW w:type="dxa" w:w="9504"/>
            <w:shd w:fill="F4F1EA" w:val="clear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1A16"/>
                <w:sz w:val="22"/>
              </w:rPr>
              <w:t>Below 0.88. The highest of three pieces.</w:t>
            </w:r>
          </w:p>
        </w:tc>
      </w:tr>
    </w:tbl>
    <w:p>
      <w:pPr>
        <w:spacing w:before="200"/>
      </w:pPr>
      <w:r>
        <w:rPr>
          <w:rFonts w:ascii="Calibri" w:hAnsi="Calibri" w:eastAsia="Calibri"/>
          <w:b w:val="0"/>
          <w:i w:val="0"/>
          <w:color w:val="1E1A16"/>
          <w:sz w:val="22"/>
        </w:rPr>
        <w:t>A blank or the word “yes” does not count. The measured number has to be written. If a number is missing, the lot does not ship.</w:t>
      </w:r>
    </w:p>
    <w:p>
      <w:pPr>
        <w:spacing w:before="160"/>
      </w:pPr>
      <w:r>
        <w:rPr>
          <w:rFonts w:ascii="Calibri" w:hAnsi="Calibri" w:eastAsia="Calibri"/>
          <w:b w:val="0"/>
          <w:i/>
          <w:color w:val="4A433A"/>
          <w:sz w:val="18"/>
        </w:rPr>
        <w:t>Carne Seca Jesus Canales, LLC · 411 E Main St, Delta, UT 84624 · Limits from the jerky verification sheet and FSIS Appendix A, December 2021.</w:t>
      </w:r>
    </w:p>
    <w:sectPr w:rsidR="00FC693F" w:rsidRPr="0006063C" w:rsidSect="00034616">
      <w:headerReference w:type="default" r:id="rId9"/>
      <w:pgSz w:w="12240" w:h="15840"/>
      <w:pgMar w:top="794" w:right="850" w:bottom="794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Calibri"/>
        <w:b w:val="0"/>
        <w:i w:val="0"/>
        <w:color w:val="4A433A"/>
        <w:sz w:val="16"/>
      </w:rPr>
      <w:t>Charts  ·  Carne Seca Jesus Canales, LLC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