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i w:val="0"/>
          <w:color w:val="1F4D36"/>
          <w:sz w:val="40"/>
        </w:rPr>
        <w:t>CHART 1  ·  Diagrama de flujo</w:t>
      </w:r>
    </w:p>
    <w:p>
      <w:pPr>
        <w:spacing w:after="40"/>
        <w:jc w:val="center"/>
      </w:pPr>
      <w:r>
        <w:rPr>
          <w:rFonts w:ascii="Calibri" w:hAnsi="Calibri" w:eastAsia="Calibri"/>
          <w:b/>
          <w:i w:val="0"/>
          <w:color w:val="1E1A16"/>
          <w:sz w:val="24"/>
        </w:rPr>
        <w:t>Carne seca lista para comer  ·  Delta, UT</w:t>
      </w:r>
    </w:p>
    <w:p>
      <w:pPr>
        <w:spacing w:after="160"/>
        <w:jc w:val="center"/>
      </w:pPr>
      <w:r>
        <w:rPr>
          <w:rFonts w:ascii="Calibri" w:hAnsi="Calibri" w:eastAsia="Calibri"/>
          <w:b w:val="0"/>
          <w:i w:val="0"/>
          <w:color w:val="1E1A16"/>
          <w:sz w:val="22"/>
        </w:rPr>
        <w:t>El cliente no la cocina. Lleva res. Se vende sin refrigeración.</w:t>
      </w:r>
    </w:p>
    <w:p>
      <w:pPr>
        <w:spacing w:after="160"/>
        <w:jc w:val="center"/>
      </w:pPr>
      <w:r>
        <w:rPr>
          <w:rFonts w:ascii="Calibri" w:hAnsi="Calibri" w:eastAsia="Calibri"/>
          <w:b w:val="0"/>
          <w:i w:val="0"/>
          <w:color w:val="1E1A16"/>
          <w:sz w:val="20"/>
        </w:rPr>
        <w:t xml:space="preserve">Cuadro claro = paso    </w:t>
      </w:r>
      <w:r>
        <w:rPr>
          <w:rFonts w:ascii="Calibri" w:hAnsi="Calibri" w:eastAsia="Calibri"/>
          <w:b/>
          <w:i w:val="0"/>
          <w:color w:val="1F4D36"/>
          <w:sz w:val="20"/>
        </w:rPr>
        <w:t xml:space="preserve">Cuadro verde = punto crítico    </w:t>
      </w:r>
      <w:r>
        <w:rPr>
          <w:rFonts w:ascii="Calibri" w:hAnsi="Calibri" w:eastAsia="Calibri"/>
          <w:b/>
          <w:i w:val="0"/>
          <w:color w:val="8C3D24"/>
          <w:sz w:val="20"/>
        </w:rPr>
        <w:t>Cuadro rojo = el lote no sale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</w:tblPr>
      <w:tblGrid>
        <w:gridCol w:w="10540"/>
      </w:tblGrid>
      <w:tr>
        <w:tc>
          <w:tcPr>
            <w:tcW w:type="dxa" w:w="9072"/>
            <w:shd w:fill="FFFDF9" w:val="clear"/>
            <w:tcBorders>
              <w:top w:val="single" w:sz="12" w:space="0" w:color="D9CFC3"/>
              <w:left w:val="single" w:sz="12" w:space="0" w:color="D9CFC3"/>
              <w:bottom w:val="single" w:sz="12" w:space="0" w:color="D9CFC3"/>
              <w:right w:val="single" w:sz="12" w:space="0" w:color="D9CF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E1A16"/>
                <w:sz w:val="24"/>
              </w:rPr>
              <w:t>1. Recibir la res inspeccionada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E1A16"/>
                <w:sz w:val="20"/>
              </w:rPr>
              <w:t>Factura y sello. Medir la temperatura del producto.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i w:val="0"/>
          <w:color w:val="1F4D36"/>
          <w:sz w:val="28"/>
        </w:rPr>
        <w:t>↓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</w:tblPr>
      <w:tblGrid>
        <w:gridCol w:w="10540"/>
      </w:tblGrid>
      <w:tr>
        <w:tc>
          <w:tcPr>
            <w:tcW w:type="dxa" w:w="9072"/>
            <w:shd w:fill="FFFDF9" w:val="clear"/>
            <w:tcBorders>
              <w:top w:val="single" w:sz="12" w:space="0" w:color="D9CFC3"/>
              <w:left w:val="single" w:sz="12" w:space="0" w:color="D9CFC3"/>
              <w:bottom w:val="single" w:sz="12" w:space="0" w:color="D9CFC3"/>
              <w:right w:val="single" w:sz="12" w:space="0" w:color="D9CF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E1A16"/>
                <w:sz w:val="24"/>
              </w:rPr>
              <w:t>2. Recibir sal, especias y bolsas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E1A16"/>
                <w:sz w:val="20"/>
              </w:rPr>
              <w:t>La especificación coincide. Sin nitrito.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i w:val="0"/>
          <w:color w:val="1F4D36"/>
          <w:sz w:val="28"/>
        </w:rPr>
        <w:t>↓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</w:tblPr>
      <w:tblGrid>
        <w:gridCol w:w="10540"/>
      </w:tblGrid>
      <w:tr>
        <w:tc>
          <w:tcPr>
            <w:tcW w:type="dxa" w:w="9072"/>
            <w:shd w:fill="1F4D36" w:val="clear"/>
            <w:tcBorders>
              <w:top w:val="single" w:sz="12" w:space="0" w:color="1F4D36"/>
              <w:left w:val="single" w:sz="12" w:space="0" w:color="1F4D36"/>
              <w:bottom w:val="single" w:sz="12" w:space="0" w:color="1F4D36"/>
              <w:right w:val="single" w:sz="12" w:space="0" w:color="1F4D3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PCC-1  ·  CÁMARA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Guardar y marinar la res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Temperatura del producto menor de 41 °F (5 °C)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Se mide en la carne, no en el aire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i w:val="0"/>
          <w:color w:val="1F4D36"/>
          <w:sz w:val="28"/>
        </w:rPr>
        <w:t>↓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</w:tblPr>
      <w:tblGrid>
        <w:gridCol w:w="10540"/>
      </w:tblGrid>
      <w:tr>
        <w:tc>
          <w:tcPr>
            <w:tcW w:type="dxa" w:w="9072"/>
            <w:shd w:fill="FFFDF9" w:val="clear"/>
            <w:tcBorders>
              <w:top w:val="single" w:sz="12" w:space="0" w:color="D9CFC3"/>
              <w:left w:val="single" w:sz="12" w:space="0" w:color="D9CFC3"/>
              <w:bottom w:val="single" w:sz="12" w:space="0" w:color="D9CFC3"/>
              <w:right w:val="single" w:sz="12" w:space="0" w:color="D9CF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E1A16"/>
                <w:sz w:val="24"/>
              </w:rPr>
              <w:t>3. Rebanar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E1A16"/>
                <w:sz w:val="20"/>
              </w:rPr>
              <w:t>Anotar el grosor en la hoja del lote.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i w:val="0"/>
          <w:color w:val="1F4D36"/>
          <w:sz w:val="28"/>
        </w:rPr>
        <w:t>↓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</w:tblPr>
      <w:tblGrid>
        <w:gridCol w:w="10540"/>
      </w:tblGrid>
      <w:tr>
        <w:tc>
          <w:tcPr>
            <w:tcW w:type="dxa" w:w="9072"/>
            <w:shd w:fill="FFFDF9" w:val="clear"/>
            <w:tcBorders>
              <w:top w:val="single" w:sz="12" w:space="0" w:color="D9CFC3"/>
              <w:left w:val="single" w:sz="12" w:space="0" w:color="D9CFC3"/>
              <w:bottom w:val="single" w:sz="12" w:space="0" w:color="D9CFC3"/>
              <w:right w:val="single" w:sz="12" w:space="0" w:color="D9CF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E1A16"/>
                <w:sz w:val="24"/>
              </w:rPr>
              <w:t>4. Pesar el lote y mezclar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E1A16"/>
                <w:sz w:val="20"/>
              </w:rPr>
              <w:t>Res, sal y las especias de la hoja.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i w:val="0"/>
          <w:color w:val="1F4D36"/>
          <w:sz w:val="28"/>
        </w:rPr>
        <w:t>↓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</w:tblPr>
      <w:tblGrid>
        <w:gridCol w:w="10540"/>
      </w:tblGrid>
      <w:tr>
        <w:tc>
          <w:tcPr>
            <w:tcW w:type="dxa" w:w="9072"/>
            <w:shd w:fill="FFFDF9" w:val="clear"/>
            <w:tcBorders>
              <w:top w:val="single" w:sz="12" w:space="0" w:color="D9CFC3"/>
              <w:left w:val="single" w:sz="12" w:space="0" w:color="D9CFC3"/>
              <w:bottom w:val="single" w:sz="12" w:space="0" w:color="D9CFC3"/>
              <w:right w:val="single" w:sz="12" w:space="0" w:color="D9CF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E1A16"/>
                <w:sz w:val="24"/>
              </w:rPr>
              <w:t>5. Tender en una sola capa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E1A16"/>
                <w:sz w:val="20"/>
              </w:rPr>
              <w:t>No se apilan. No se secan antes de la cocción.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i w:val="0"/>
          <w:color w:val="1F4D36"/>
          <w:sz w:val="28"/>
        </w:rPr>
        <w:t>↓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</w:tblPr>
      <w:tblGrid>
        <w:gridCol w:w="10540"/>
      </w:tblGrid>
      <w:tr>
        <w:tc>
          <w:tcPr>
            <w:tcW w:type="dxa" w:w="9072"/>
            <w:shd w:fill="1F4D36" w:val="clear"/>
            <w:tcBorders>
              <w:top w:val="single" w:sz="12" w:space="0" w:color="1F4D36"/>
              <w:left w:val="single" w:sz="12" w:space="0" w:color="1F4D36"/>
              <w:bottom w:val="single" w:sz="12" w:space="0" w:color="1F4D36"/>
              <w:right w:val="single" w:sz="12" w:space="0" w:color="1F4D3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PCC-2  ·  COCCIÓN HÚMEDA, ANTES DE SECAR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Bulbo seco mayor de 170 °F dentro de 30 minutos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Bulbo húmedo entre 125 °F y 142 °F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Interna 158 °F o más, en la tira más gruesa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De 50 °F a 130 °F: 6 horas o menos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i w:val="0"/>
          <w:color w:val="1F4D36"/>
          <w:sz w:val="28"/>
        </w:rPr>
        <w:t>↓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</w:tblPr>
      <w:tblGrid>
        <w:gridCol w:w="10540"/>
      </w:tblGrid>
      <w:tr>
        <w:tc>
          <w:tcPr>
            <w:tcW w:type="dxa" w:w="9072"/>
            <w:shd w:fill="1F4D36" w:val="clear"/>
            <w:tcBorders>
              <w:top w:val="single" w:sz="12" w:space="0" w:color="1F4D36"/>
              <w:left w:val="single" w:sz="12" w:space="0" w:color="1F4D36"/>
              <w:bottom w:val="single" w:sz="12" w:space="0" w:color="1F4D36"/>
              <w:right w:val="single" w:sz="12" w:space="0" w:color="1F4D3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PCC-3  ·  SECADO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Actividad de agua menor de 0,88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Tres piezas. Vale la lectura más alta.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i w:val="0"/>
          <w:color w:val="1F4D36"/>
          <w:sz w:val="28"/>
        </w:rPr>
        <w:t>↓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</w:tblPr>
      <w:tblGrid>
        <w:gridCol w:w="10540"/>
      </w:tblGrid>
      <w:tr>
        <w:tc>
          <w:tcPr>
            <w:tcW w:type="dxa" w:w="9072"/>
            <w:shd w:fill="FFFDF9" w:val="clear"/>
            <w:tcBorders>
              <w:top w:val="single" w:sz="12" w:space="0" w:color="D9CFC3"/>
              <w:left w:val="single" w:sz="12" w:space="0" w:color="D9CFC3"/>
              <w:bottom w:val="single" w:sz="12" w:space="0" w:color="D9CFC3"/>
              <w:right w:val="single" w:sz="12" w:space="0" w:color="D9CF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E1A16"/>
                <w:sz w:val="24"/>
              </w:rPr>
              <w:t>6. Enfriar en seco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E1A16"/>
                <w:sz w:val="20"/>
              </w:rPr>
              <w:t>No se enjuaga ni se humedece.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i w:val="0"/>
          <w:color w:val="1F4D36"/>
          <w:sz w:val="28"/>
        </w:rPr>
        <w:t>↓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</w:tblPr>
      <w:tblGrid>
        <w:gridCol w:w="10540"/>
      </w:tblGrid>
      <w:tr>
        <w:tc>
          <w:tcPr>
            <w:tcW w:type="dxa" w:w="9072"/>
            <w:shd w:fill="FFFDF9" w:val="clear"/>
            <w:tcBorders>
              <w:top w:val="single" w:sz="12" w:space="0" w:color="D9CFC3"/>
              <w:left w:val="single" w:sz="12" w:space="0" w:color="D9CFC3"/>
              <w:bottom w:val="single" w:sz="12" w:space="0" w:color="D9CFC3"/>
              <w:right w:val="single" w:sz="12" w:space="0" w:color="D9CF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E1A16"/>
                <w:sz w:val="24"/>
              </w:rPr>
              <w:t>7. Empacar y etiquetar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E1A16"/>
                <w:sz w:val="20"/>
              </w:rPr>
              <w:t>Solo si los tres puntos cumplieron. Bolsa con lote.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i w:val="0"/>
          <w:color w:val="1F4D36"/>
          <w:sz w:val="28"/>
        </w:rPr>
        <w:t>↓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</w:tblPr>
      <w:tblGrid>
        <w:gridCol w:w="10540"/>
      </w:tblGrid>
      <w:tr>
        <w:tc>
          <w:tcPr>
            <w:tcW w:type="dxa" w:w="9072"/>
            <w:shd w:fill="FFFDF9" w:val="clear"/>
            <w:tcBorders>
              <w:top w:val="single" w:sz="12" w:space="0" w:color="D9CFC3"/>
              <w:left w:val="single" w:sz="12" w:space="0" w:color="D9CFC3"/>
              <w:bottom w:val="single" w:sz="12" w:space="0" w:color="D9CFC3"/>
              <w:right w:val="single" w:sz="12" w:space="0" w:color="D9CF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E1A16"/>
                <w:sz w:val="24"/>
              </w:rPr>
              <w:t>8. Revisar los números y firmar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E1A16"/>
                <w:sz w:val="20"/>
              </w:rPr>
              <w:t>Cada número se compara con su límite. Luego almacén seco.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i w:val="0"/>
          <w:color w:val="1F4D36"/>
          <w:sz w:val="28"/>
        </w:rPr>
        <w:t>↓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</w:tblPr>
      <w:tblGrid>
        <w:gridCol w:w="10540"/>
      </w:tblGrid>
      <w:tr>
        <w:tc>
          <w:tcPr>
            <w:tcW w:type="dxa" w:w="9072"/>
            <w:shd w:fill="F8EBE4" w:val="clear"/>
            <w:tcBorders>
              <w:top w:val="single" w:sz="12" w:space="0" w:color="8C3D24"/>
              <w:left w:val="single" w:sz="12" w:space="0" w:color="8C3D24"/>
              <w:bottom w:val="single" w:sz="12" w:space="0" w:color="8C3D24"/>
              <w:right w:val="single" w:sz="12" w:space="0" w:color="8C3D2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8C3D24"/>
                <w:sz w:val="22"/>
              </w:rPr>
              <w:t>Si un límite no se cumple, el lote se retiene y no se vende como carne seca lista para comer.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Calibri" w:hAnsi="Calibri" w:eastAsia="Calibri"/>
          <w:b/>
          <w:i w:val="0"/>
          <w:color w:val="1F4D36"/>
          <w:sz w:val="40"/>
        </w:rPr>
        <w:t>CHART 2  ·  Los tres límites</w:t>
      </w:r>
    </w:p>
    <w:p>
      <w:pPr>
        <w:spacing w:after="200"/>
        <w:jc w:val="center"/>
      </w:pPr>
      <w:r>
        <w:rPr>
          <w:rFonts w:ascii="Calibri" w:hAnsi="Calibri" w:eastAsia="Calibri"/>
          <w:b w:val="0"/>
          <w:i w:val="0"/>
          <w:color w:val="1E1A16"/>
          <w:sz w:val="24"/>
        </w:rPr>
        <w:t>Lo que se anota en cada lote, antes de vender</w:t>
      </w:r>
    </w:p>
    <w:tbl>
      <w:tblPr>
        <w:tblStyle w:val="TableGrid"/>
        <w:tblW w:type="dxa" w:w="9504"/>
        <w:tblLayout w:type="fixed"/>
        <w:tblLook w:firstColumn="1" w:firstRow="1" w:lastColumn="0" w:lastRow="0" w:noHBand="0" w:noVBand="1" w:val="04A0"/>
        <w:jc w:val="center"/>
      </w:tblPr>
      <w:tblGrid>
        <w:gridCol w:w="3513"/>
        <w:gridCol w:w="3513"/>
        <w:gridCol w:w="3513"/>
      </w:tblGrid>
      <w:tr>
        <w:tc>
          <w:tcPr>
            <w:tcW w:type="dxa" w:w="9504"/>
            <w:shd w:fill="1F4D3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Punto</w:t>
            </w:r>
          </w:p>
        </w:tc>
        <w:tc>
          <w:tcPr>
            <w:tcW w:type="dxa" w:w="9504"/>
            <w:shd w:fill="1F4D3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Qué se mide</w:t>
            </w:r>
          </w:p>
        </w:tc>
        <w:tc>
          <w:tcPr>
            <w:tcW w:type="dxa" w:w="9504"/>
            <w:shd w:fill="1F4D3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El lote cumple si</w:t>
            </w:r>
          </w:p>
        </w:tc>
      </w:tr>
      <w:tr>
        <w:tc>
          <w:tcPr>
            <w:tcW w:type="dxa" w:w="9504"/>
          </w:tcPr>
          <w:p>
            <w:r/>
            <w:r>
              <w:rPr>
                <w:rFonts w:ascii="Calibri" w:hAnsi="Calibri" w:eastAsia="Calibri"/>
                <w:b/>
                <w:i w:val="0"/>
                <w:color w:val="1E1A16"/>
                <w:sz w:val="22"/>
              </w:rPr>
              <w:t>PCC-1 Cámara</w:t>
            </w:r>
          </w:p>
        </w:tc>
        <w:tc>
          <w:tcPr>
            <w:tcW w:type="dxa" w:w="95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Temperatura de la carne</w:t>
            </w:r>
          </w:p>
        </w:tc>
        <w:tc>
          <w:tcPr>
            <w:tcW w:type="dxa" w:w="95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Menor de 41 °F (5 °C)</w:t>
            </w:r>
          </w:p>
        </w:tc>
      </w:tr>
      <w:tr>
        <w:tc>
          <w:tcPr>
            <w:tcW w:type="dxa" w:w="9504"/>
            <w:shd w:fill="F4F1E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1A16"/>
                <w:sz w:val="22"/>
              </w:rPr>
              <w:t>PCC-2 Cocción</w:t>
            </w:r>
          </w:p>
        </w:tc>
        <w:tc>
          <w:tcPr>
            <w:tcW w:type="dxa" w:w="950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Bulbo seco</w:t>
            </w:r>
          </w:p>
        </w:tc>
        <w:tc>
          <w:tcPr>
            <w:tcW w:type="dxa" w:w="950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Mayor de 170 °F en los primeros 30 minutos</w:t>
            </w:r>
          </w:p>
        </w:tc>
      </w:tr>
      <w:tr>
        <w:tc>
          <w:tcPr>
            <w:tcW w:type="dxa" w:w="9504"/>
          </w:tcPr>
          <w:p>
            <w:r/>
            <w:r>
              <w:rPr>
                <w:rFonts w:ascii="Calibri" w:hAnsi="Calibri" w:eastAsia="Calibri"/>
                <w:b/>
                <w:i w:val="0"/>
                <w:color w:val="1E1A16"/>
                <w:sz w:val="22"/>
              </w:rPr>
              <w:t>PCC-2 Cocción</w:t>
            </w:r>
          </w:p>
        </w:tc>
        <w:tc>
          <w:tcPr>
            <w:tcW w:type="dxa" w:w="95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Bulbo húmedo</w:t>
            </w:r>
          </w:p>
        </w:tc>
        <w:tc>
          <w:tcPr>
            <w:tcW w:type="dxa" w:w="95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Entre 125 °F y 142 °F durante la cocción</w:t>
            </w:r>
          </w:p>
        </w:tc>
      </w:tr>
      <w:tr>
        <w:tc>
          <w:tcPr>
            <w:tcW w:type="dxa" w:w="9504"/>
            <w:shd w:fill="F4F1E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1A16"/>
                <w:sz w:val="22"/>
              </w:rPr>
              <w:t>PCC-2 Cocción</w:t>
            </w:r>
          </w:p>
        </w:tc>
        <w:tc>
          <w:tcPr>
            <w:tcW w:type="dxa" w:w="950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Temperatura interna</w:t>
            </w:r>
          </w:p>
        </w:tc>
        <w:tc>
          <w:tcPr>
            <w:tcW w:type="dxa" w:w="950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158 °F o más. La lectura más baja.</w:t>
            </w:r>
          </w:p>
        </w:tc>
      </w:tr>
      <w:tr>
        <w:tc>
          <w:tcPr>
            <w:tcW w:type="dxa" w:w="9504"/>
          </w:tcPr>
          <w:p>
            <w:r/>
            <w:r>
              <w:rPr>
                <w:rFonts w:ascii="Calibri" w:hAnsi="Calibri" w:eastAsia="Calibri"/>
                <w:b/>
                <w:i w:val="0"/>
                <w:color w:val="1E1A16"/>
                <w:sz w:val="22"/>
              </w:rPr>
              <w:t>PCC-2 Cocción</w:t>
            </w:r>
          </w:p>
        </w:tc>
        <w:tc>
          <w:tcPr>
            <w:tcW w:type="dxa" w:w="95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Tiempo de subida</w:t>
            </w:r>
          </w:p>
        </w:tc>
        <w:tc>
          <w:tcPr>
            <w:tcW w:type="dxa" w:w="95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De 50 °F a 130 °F, 6 horas o menos</w:t>
            </w:r>
          </w:p>
        </w:tc>
      </w:tr>
      <w:tr>
        <w:tc>
          <w:tcPr>
            <w:tcW w:type="dxa" w:w="9504"/>
            <w:shd w:fill="F4F1E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1A16"/>
                <w:sz w:val="22"/>
              </w:rPr>
              <w:t>PCC-3 Secado</w:t>
            </w:r>
          </w:p>
        </w:tc>
        <w:tc>
          <w:tcPr>
            <w:tcW w:type="dxa" w:w="950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Actividad de agua</w:t>
            </w:r>
          </w:p>
        </w:tc>
        <w:tc>
          <w:tcPr>
            <w:tcW w:type="dxa" w:w="950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Menor de 0,88. La lectura más alta de tres piezas.</w:t>
            </w:r>
          </w:p>
        </w:tc>
      </w:tr>
    </w:tbl>
    <w:p>
      <w:pPr>
        <w:spacing w:before="200"/>
      </w:pPr>
      <w:r>
        <w:rPr>
          <w:rFonts w:ascii="Calibri" w:hAnsi="Calibri" w:eastAsia="Calibri"/>
          <w:b w:val="0"/>
          <w:i w:val="0"/>
          <w:color w:val="1E1A16"/>
          <w:sz w:val="22"/>
        </w:rPr>
        <w:t>Un espacio en blanco o la palabra “sí” no cuenta. Tiene que estar el número medido. Si falta un número, el lote no sale.</w:t>
      </w:r>
    </w:p>
    <w:p>
      <w:pPr>
        <w:spacing w:before="160"/>
      </w:pPr>
      <w:r>
        <w:rPr>
          <w:rFonts w:ascii="Calibri" w:hAnsi="Calibri" w:eastAsia="Calibri"/>
          <w:b w:val="0"/>
          <w:i/>
          <w:color w:val="4A433A"/>
          <w:sz w:val="18"/>
        </w:rPr>
        <w:t>Carne Seca Jesus Canales, LLC · 411 E Main St, Delta, UT 84624 · Límites de la hoja de verificación de jerky y del Appendix A de FSIS, diciembre 2021.</w:t>
      </w:r>
    </w:p>
    <w:sectPr w:rsidR="00FC693F" w:rsidRPr="0006063C" w:rsidSect="00034616">
      <w:headerReference w:type="default" r:id="rId9"/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A433A"/>
        <w:sz w:val="16"/>
      </w:rPr>
      <w:t>Charts  ·  Carne Seca Jesus Canales,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