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64" w:rsidRDefault="00CD4364"/>
    <w:p w:rsidR="00CD4364" w:rsidRDefault="00CD4364" w:rsidP="00CD4364">
      <w:pPr>
        <w:pStyle w:val="Title"/>
      </w:pPr>
      <w:r>
        <w:t>SOHR on single source system</w:t>
      </w:r>
    </w:p>
    <w:p w:rsidR="00CD4364" w:rsidRDefault="00CD4364" w:rsidP="00CD4364">
      <w:pPr>
        <w:pStyle w:val="Subtitle"/>
      </w:pPr>
      <w:r>
        <w:t>Shirong Bai</w:t>
      </w:r>
    </w:p>
    <w:p w:rsidR="00CD4364" w:rsidRPr="00CD4364" w:rsidRDefault="00CD4364" w:rsidP="00CD4364"/>
    <w:p w:rsidR="00CD4364" w:rsidRDefault="00CD4364">
      <w:r>
        <w:t xml:space="preserve">Suppose we have a reaction network of </w:t>
      </w:r>
      <w:proofErr w:type="spellStart"/>
      <w:r>
        <w:t>Lotka-Volterra</w:t>
      </w:r>
      <w:proofErr w:type="spellEnd"/>
      <w:r>
        <w:t xml:space="preserve"> model as in </w:t>
      </w:r>
      <w:r>
        <w:fldChar w:fldCharType="begin"/>
      </w:r>
      <w:r>
        <w:instrText xml:space="preserve"> REF _Ref482128032 \h </w:instrText>
      </w:r>
      <w:r>
        <w:fldChar w:fldCharType="separate"/>
      </w:r>
      <w:r w:rsidR="00EB6CA6">
        <w:t xml:space="preserve">Figure </w:t>
      </w:r>
      <w:r w:rsidR="00EB6CA6">
        <w:rPr>
          <w:noProof/>
        </w:rPr>
        <w:t>1</w:t>
      </w:r>
      <w:r>
        <w:fldChar w:fldCharType="end"/>
      </w:r>
      <w:r>
        <w:t xml:space="preserve">. </w:t>
      </w:r>
      <w:r w:rsidR="00814818">
        <w:t xml:space="preserve"> The initial conditions are </w:t>
      </w:r>
      <w:r>
        <w:t xml:space="preserve">in </w:t>
      </w:r>
      <w:r>
        <w:fldChar w:fldCharType="begin"/>
      </w:r>
      <w:r>
        <w:instrText xml:space="preserve"> REF _Ref482128278 \h </w:instrText>
      </w:r>
      <w:r>
        <w:fldChar w:fldCharType="separate"/>
      </w:r>
      <w:r w:rsidR="00EB6CA6">
        <w:t xml:space="preserve">Table </w:t>
      </w:r>
      <w:r w:rsidR="00EB6CA6">
        <w:rPr>
          <w:noProof/>
        </w:rPr>
        <w:t>1</w:t>
      </w:r>
      <w:r>
        <w:fldChar w:fldCharType="end"/>
      </w:r>
      <w:r>
        <w:t>.</w:t>
      </w:r>
    </w:p>
    <w:p w:rsidR="00CD4364" w:rsidRDefault="00CD4364" w:rsidP="00CD4364">
      <w:pPr>
        <w:keepNext/>
      </w:pPr>
      <w:r w:rsidRPr="00CD4364">
        <w:rPr>
          <w:noProof/>
        </w:rPr>
        <w:drawing>
          <wp:inline distT="0" distB="0" distL="0" distR="0" wp14:anchorId="5986A12A" wp14:editId="1CE1A7F2">
            <wp:extent cx="5778673" cy="1337431"/>
            <wp:effectExtent l="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73" cy="13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64" w:rsidRDefault="00CD4364" w:rsidP="00CD4364">
      <w:pPr>
        <w:pStyle w:val="Caption"/>
      </w:pPr>
      <w:bookmarkStart w:id="0" w:name="_Ref482128032"/>
      <w:r>
        <w:t xml:space="preserve">Figure </w:t>
      </w:r>
      <w:fldSimple w:instr=" SEQ Figure \* ARABIC ">
        <w:r w:rsidR="00EB6CA6">
          <w:rPr>
            <w:noProof/>
          </w:rPr>
          <w:t>1</w:t>
        </w:r>
      </w:fldSimple>
      <w:bookmarkEnd w:id="0"/>
      <w:r>
        <w:t xml:space="preserve">. Reduced reaction network of </w:t>
      </w:r>
      <w:proofErr w:type="spellStart"/>
      <w:r>
        <w:t>Lotka-Volterra</w:t>
      </w:r>
      <w:proofErr w:type="spellEnd"/>
      <w:r>
        <w:t xml:space="preserve"> model</w:t>
      </w:r>
    </w:p>
    <w:p w:rsidR="00CD4364" w:rsidRDefault="00CD4364" w:rsidP="00CD4364">
      <w:pPr>
        <w:pStyle w:val="Caption"/>
        <w:keepNext/>
      </w:pPr>
      <w:bookmarkStart w:id="1" w:name="_Ref482128278"/>
      <w:r>
        <w:t xml:space="preserve">Table </w:t>
      </w:r>
      <w:fldSimple w:instr=" SEQ Table \* ARABIC ">
        <w:r w:rsidR="00EB6CA6">
          <w:rPr>
            <w:noProof/>
          </w:rPr>
          <w:t>1</w:t>
        </w:r>
      </w:fldSimple>
      <w:bookmarkEnd w:id="1"/>
      <w:r>
        <w:t xml:space="preserve"> Initial conditions of </w:t>
      </w:r>
      <w:proofErr w:type="spellStart"/>
      <w:r>
        <w:t>Lotka-Volterra</w:t>
      </w:r>
      <w:proofErr w:type="spellEnd"/>
      <w:r>
        <w:t xml:space="preserve"> model</w:t>
      </w:r>
    </w:p>
    <w:tbl>
      <w:tblPr>
        <w:tblStyle w:val="GridTable5Dark-Accent3"/>
        <w:tblW w:w="8880" w:type="dxa"/>
        <w:tblLook w:val="04A0" w:firstRow="1" w:lastRow="0" w:firstColumn="1" w:lastColumn="0" w:noHBand="0" w:noVBand="1"/>
      </w:tblPr>
      <w:tblGrid>
        <w:gridCol w:w="860"/>
        <w:gridCol w:w="1980"/>
        <w:gridCol w:w="3420"/>
        <w:gridCol w:w="2620"/>
      </w:tblGrid>
      <w:tr w:rsidR="00CD4364" w:rsidRPr="00F76E54" w:rsidTr="00EB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2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Reactions</w:t>
            </w:r>
          </w:p>
        </w:tc>
        <w:tc>
          <w:tcPr>
            <w:tcW w:w="3420" w:type="dxa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Rate coefficients</w:t>
            </w:r>
          </w:p>
        </w:tc>
        <w:tc>
          <w:tcPr>
            <w:tcW w:w="2620" w:type="dxa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Initial conditions</w:t>
            </w:r>
          </w:p>
        </w:tc>
      </w:tr>
      <w:tr w:rsidR="00CD4364" w:rsidRPr="00F76E54" w:rsidTr="00EB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:rsidR="00CD4364" w:rsidRPr="00F76E54" w:rsidRDefault="00740E0D" w:rsidP="00E3220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0" w:type="dxa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420" w:type="dxa"/>
            <w:hideMark/>
          </w:tcPr>
          <w:p w:rsidR="00CD4364" w:rsidRPr="00F76E54" w:rsidRDefault="00740E0D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=10.0 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w:softHyphen/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620" w:type="dxa"/>
            <w:vMerge w:val="restart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=1.0 M</m:t>
                </m:r>
              </m:oMath>
            </m:oMathPara>
          </w:p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=1.0 M</m:t>
                </m:r>
              </m:oMath>
            </m:oMathPara>
          </w:p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=1.0 M</m:t>
                </m:r>
              </m:oMath>
            </m:oMathPara>
          </w:p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CD4364" w:rsidRPr="00F76E54" w:rsidTr="00EB4866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:rsidR="00CD4364" w:rsidRPr="00F76E54" w:rsidRDefault="00740E0D" w:rsidP="00E3220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0" w:type="dxa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3420" w:type="dxa"/>
            <w:hideMark/>
          </w:tcPr>
          <w:p w:rsidR="00CD4364" w:rsidRPr="00F76E54" w:rsidRDefault="00740E0D" w:rsidP="00E3220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=10.0 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w:softHyphen/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Merge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364" w:rsidRPr="00F76E54" w:rsidTr="00EB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:rsidR="00CD4364" w:rsidRPr="00F76E54" w:rsidRDefault="00740E0D" w:rsidP="00E3220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0" w:type="dxa"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3420" w:type="dxa"/>
            <w:hideMark/>
          </w:tcPr>
          <w:p w:rsidR="00CD4364" w:rsidRPr="00F76E54" w:rsidRDefault="00740E0D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=10.0 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Merge/>
            <w:hideMark/>
          </w:tcPr>
          <w:p w:rsidR="00CD4364" w:rsidRPr="00F76E54" w:rsidRDefault="00CD4364" w:rsidP="00E322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D4364" w:rsidRDefault="00CD4364" w:rsidP="00CD4364"/>
    <w:p w:rsidR="00CD4364" w:rsidRDefault="00CD4364" w:rsidP="00CD4364">
      <w:r>
        <w:t>Suppose we want to calculate the concentration of B at time t. First, we enumerate the path ending with species B as in</w:t>
      </w:r>
      <w:r w:rsidR="009421C2">
        <w:t xml:space="preserve"> </w:t>
      </w:r>
      <w:r w:rsidR="009421C2">
        <w:fldChar w:fldCharType="begin"/>
      </w:r>
      <w:r w:rsidR="009421C2">
        <w:instrText xml:space="preserve"> REF _Ref482128901 \h </w:instrText>
      </w:r>
      <w:r w:rsidR="009421C2">
        <w:fldChar w:fldCharType="separate"/>
      </w:r>
      <w:r w:rsidR="00EB6CA6">
        <w:t xml:space="preserve">Table </w:t>
      </w:r>
      <w:r w:rsidR="00EB6CA6">
        <w:rPr>
          <w:noProof/>
        </w:rPr>
        <w:t>2</w:t>
      </w:r>
      <w:r w:rsidR="009421C2">
        <w:fldChar w:fldCharType="end"/>
      </w:r>
      <w:r w:rsidR="009421C2">
        <w:t>.</w:t>
      </w:r>
    </w:p>
    <w:p w:rsidR="00F76E54" w:rsidRDefault="00F76E54" w:rsidP="00F76E54">
      <w:pPr>
        <w:pStyle w:val="Caption"/>
        <w:keepNext/>
      </w:pPr>
      <w:bookmarkStart w:id="2" w:name="_Ref482128901"/>
      <w:r>
        <w:t xml:space="preserve">Table </w:t>
      </w:r>
      <w:fldSimple w:instr=" SEQ Table \* ARABIC ">
        <w:r w:rsidR="00EB6CA6">
          <w:rPr>
            <w:noProof/>
          </w:rPr>
          <w:t>2</w:t>
        </w:r>
      </w:fldSimple>
      <w:bookmarkEnd w:id="2"/>
      <w:r>
        <w:t>. Path ending with species B</w:t>
      </w:r>
      <w:r w:rsidR="00EB4866">
        <w:t>.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332"/>
        <w:gridCol w:w="3145"/>
        <w:gridCol w:w="2873"/>
      </w:tblGrid>
      <w:tr w:rsidR="00A31EA9" w:rsidRPr="00F76E54" w:rsidTr="00A31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:rsidR="00A31EA9" w:rsidRPr="00F76E54" w:rsidRDefault="00A31EA9" w:rsidP="00F76E54">
            <w:pPr>
              <w:jc w:val="center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Path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145" w:type="dxa"/>
            <w:vAlign w:val="center"/>
          </w:tcPr>
          <w:p w:rsidR="00A31EA9" w:rsidRPr="00F76E54" w:rsidRDefault="00A31EA9" w:rsidP="00F76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Path Length</w:t>
            </w:r>
          </w:p>
        </w:tc>
        <w:tc>
          <w:tcPr>
            <w:tcW w:w="2873" w:type="dxa"/>
          </w:tcPr>
          <w:p w:rsidR="00A31EA9" w:rsidRPr="00F76E54" w:rsidRDefault="00A31EA9" w:rsidP="00F76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Index</w:t>
            </w:r>
          </w:p>
        </w:tc>
      </w:tr>
      <w:tr w:rsidR="00A31EA9" w:rsidRPr="00F76E54" w:rsidTr="00A31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:rsidR="00A31EA9" w:rsidRPr="00F76E54" w:rsidRDefault="00A31EA9" w:rsidP="00F76E54">
            <w:pPr>
              <w:jc w:val="center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B</w:t>
            </w:r>
          </w:p>
        </w:tc>
        <w:tc>
          <w:tcPr>
            <w:tcW w:w="3145" w:type="dxa"/>
            <w:vAlign w:val="center"/>
          </w:tcPr>
          <w:p w:rsidR="00A31EA9" w:rsidRPr="00F76E54" w:rsidRDefault="00A31EA9" w:rsidP="00F76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0</w:t>
            </w:r>
          </w:p>
        </w:tc>
        <w:tc>
          <w:tcPr>
            <w:tcW w:w="2873" w:type="dxa"/>
          </w:tcPr>
          <w:p w:rsidR="00A31EA9" w:rsidRPr="00F76E54" w:rsidRDefault="00A31EA9" w:rsidP="00F76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1EA9" w:rsidRPr="00F76E54" w:rsidTr="00A31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:rsidR="00A31EA9" w:rsidRPr="00F76E54" w:rsidRDefault="00A31EA9" w:rsidP="00F76E54">
            <w:pPr>
              <w:jc w:val="center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Y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76E54">
              <w:rPr>
                <w:sz w:val="24"/>
                <w:szCs w:val="24"/>
              </w:rPr>
              <w:t>B</w:t>
            </w:r>
          </w:p>
        </w:tc>
        <w:tc>
          <w:tcPr>
            <w:tcW w:w="3145" w:type="dxa"/>
            <w:vAlign w:val="center"/>
          </w:tcPr>
          <w:p w:rsidR="00A31EA9" w:rsidRPr="00F76E54" w:rsidRDefault="00A31EA9" w:rsidP="00F76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1</w:t>
            </w:r>
          </w:p>
        </w:tc>
        <w:tc>
          <w:tcPr>
            <w:tcW w:w="2873" w:type="dxa"/>
          </w:tcPr>
          <w:p w:rsidR="00A31EA9" w:rsidRPr="00F76E54" w:rsidRDefault="00A31EA9" w:rsidP="00F76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31EA9" w:rsidRPr="00F76E54" w:rsidTr="00A31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:rsidR="00A31EA9" w:rsidRPr="00F76E54" w:rsidRDefault="00A31EA9" w:rsidP="00F76E54">
            <w:pPr>
              <w:jc w:val="center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X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76E54">
              <w:rPr>
                <w:sz w:val="24"/>
                <w:szCs w:val="24"/>
              </w:rPr>
              <w:t>Y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76E54">
              <w:rPr>
                <w:sz w:val="24"/>
                <w:szCs w:val="24"/>
              </w:rPr>
              <w:t>B</w:t>
            </w:r>
          </w:p>
        </w:tc>
        <w:tc>
          <w:tcPr>
            <w:tcW w:w="3145" w:type="dxa"/>
            <w:vAlign w:val="center"/>
          </w:tcPr>
          <w:p w:rsidR="00A31EA9" w:rsidRPr="00F76E54" w:rsidRDefault="00A31EA9" w:rsidP="00F76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2</w:t>
            </w:r>
          </w:p>
        </w:tc>
        <w:tc>
          <w:tcPr>
            <w:tcW w:w="2873" w:type="dxa"/>
          </w:tcPr>
          <w:p w:rsidR="00A31EA9" w:rsidRPr="00F76E54" w:rsidRDefault="00A31EA9" w:rsidP="00F76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31EA9" w:rsidRPr="00F76E54" w:rsidTr="00A31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:rsidR="00A31EA9" w:rsidRPr="00F76E54" w:rsidRDefault="00A31EA9" w:rsidP="00F76E54">
            <w:pPr>
              <w:jc w:val="center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76E54">
              <w:rPr>
                <w:sz w:val="24"/>
                <w:szCs w:val="24"/>
              </w:rPr>
              <w:t>X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76E54">
              <w:rPr>
                <w:sz w:val="24"/>
                <w:szCs w:val="24"/>
              </w:rPr>
              <w:t>Y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76E54">
              <w:rPr>
                <w:sz w:val="24"/>
                <w:szCs w:val="24"/>
              </w:rPr>
              <w:t>B</w:t>
            </w:r>
          </w:p>
        </w:tc>
        <w:tc>
          <w:tcPr>
            <w:tcW w:w="3145" w:type="dxa"/>
            <w:vAlign w:val="center"/>
          </w:tcPr>
          <w:p w:rsidR="00A31EA9" w:rsidRPr="00F76E54" w:rsidRDefault="00A31EA9" w:rsidP="00F76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6E54">
              <w:rPr>
                <w:sz w:val="24"/>
                <w:szCs w:val="24"/>
              </w:rPr>
              <w:t>3</w:t>
            </w:r>
          </w:p>
        </w:tc>
        <w:tc>
          <w:tcPr>
            <w:tcW w:w="2873" w:type="dxa"/>
          </w:tcPr>
          <w:p w:rsidR="00A31EA9" w:rsidRPr="00F76E54" w:rsidRDefault="00A31EA9" w:rsidP="00F76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421C2" w:rsidRDefault="00EB4866" w:rsidP="00CD4364">
      <w:r>
        <w:t xml:space="preserve">If there is no external source, then the conservation law </w:t>
      </w:r>
      <w:r w:rsidR="00881338">
        <w:t>holds</w:t>
      </w:r>
      <w:r w:rsidR="00042333">
        <w:t>. T</w:t>
      </w:r>
      <w:r>
        <w:t xml:space="preserve">he concentration </w:t>
      </w:r>
      <w:r w:rsidR="00881338">
        <w:t>of species B has an expression as</w:t>
      </w:r>
    </w:p>
    <w:p w:rsidR="009B411A" w:rsidRPr="00715DFA" w:rsidRDefault="009B411A" w:rsidP="00CD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5DFA" w:rsidTr="00E32204">
        <w:tc>
          <w:tcPr>
            <w:tcW w:w="8365" w:type="dxa"/>
            <w:vAlign w:val="center"/>
          </w:tcPr>
          <w:p w:rsidR="00715DFA" w:rsidRPr="00CA3076" w:rsidRDefault="00740E0D" w:rsidP="00E32204"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715DFA" w:rsidRDefault="00BC0067" w:rsidP="00E32204">
            <w:pPr>
              <w:jc w:val="center"/>
            </w:pPr>
            <w:r>
              <w:t>(1</w:t>
            </w:r>
            <w:r w:rsidR="00715DFA">
              <w:t>)</w:t>
            </w:r>
          </w:p>
        </w:tc>
      </w:tr>
    </w:tbl>
    <w:p w:rsidR="00881338" w:rsidRDefault="00EB0731" w:rsidP="00CD436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 represents the starting species of 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ends with species B.</w:t>
      </w:r>
      <w:r w:rsidR="00AC0C46">
        <w:t xml:space="preserve"> We have proved SOHR conve</w:t>
      </w:r>
      <w:r w:rsidR="001E79C1">
        <w:t>rges to conventional kinetics regarding of</w:t>
      </w:r>
      <w:r w:rsidR="00AC0C46">
        <w:t xml:space="preserve"> closed system. By saying closed system, we mean there is no mass exchange with the surroundings.</w:t>
      </w:r>
    </w:p>
    <w:p w:rsidR="00EB4866" w:rsidRDefault="00AC0C46" w:rsidP="00CD4364">
      <w:r>
        <w:t xml:space="preserve">What if there is a single source? For instance, to methanol decomposition model on a metal surface, we keep pumping methanol into the system; To the </w:t>
      </w:r>
      <w:proofErr w:type="spellStart"/>
      <w:r>
        <w:t>Lotk</w:t>
      </w:r>
      <w:r w:rsidR="00A302BA">
        <w:t>a-Volterra</w:t>
      </w:r>
      <w:proofErr w:type="spellEnd"/>
      <w:r w:rsidR="00A302BA">
        <w:t xml:space="preserve"> system above,</w:t>
      </w:r>
      <w:r>
        <w:t xml:space="preserve"> we keep the concentration of species A to be constant, which means we must keep adding A into the system with source rate equal to sink rate of A. These two example shows the necessity to develop a single source oriented SOHR method.</w:t>
      </w:r>
    </w:p>
    <w:p w:rsidR="00A302BA" w:rsidRPr="002F77DF" w:rsidRDefault="00A302BA" w:rsidP="00CD4364">
      <w:r>
        <w:t xml:space="preserve">Still, if we think of mass conservation, the species that exist in the system from time zero will be delivered the same way as before. How about the new coming species? To the </w:t>
      </w:r>
      <w:proofErr w:type="spellStart"/>
      <w:r>
        <w:t>Lotka-Volterra</w:t>
      </w:r>
      <w:proofErr w:type="spellEnd"/>
      <w:r>
        <w:t xml:space="preserve"> system above, the concentration </w:t>
      </w:r>
      <w:r w:rsidR="002F77DF">
        <w:t xml:space="preserve">of species B will </w:t>
      </w:r>
      <w:r w:rsidR="002D337C">
        <w:t>have</w:t>
      </w:r>
      <w:r w:rsidR="002F77DF">
        <w:t xml:space="preserve"> a form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2F77DF" w:rsidTr="00E32204">
        <w:tc>
          <w:tcPr>
            <w:tcW w:w="8365" w:type="dxa"/>
            <w:vAlign w:val="center"/>
          </w:tcPr>
          <w:p w:rsidR="002F77DF" w:rsidRPr="002F77DF" w:rsidRDefault="00740E0D" w:rsidP="00E32204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+Source Term</m:t>
                </m:r>
              </m:oMath>
            </m:oMathPara>
          </w:p>
        </w:tc>
        <w:tc>
          <w:tcPr>
            <w:tcW w:w="985" w:type="dxa"/>
            <w:vAlign w:val="center"/>
          </w:tcPr>
          <w:p w:rsidR="002F77DF" w:rsidRDefault="002F77DF" w:rsidP="00E32204">
            <w:pPr>
              <w:jc w:val="center"/>
            </w:pPr>
            <w:r>
              <w:t>(2)</w:t>
            </w:r>
          </w:p>
        </w:tc>
      </w:tr>
    </w:tbl>
    <w:p w:rsidR="002F77DF" w:rsidRDefault="002F77DF" w:rsidP="00CD4364"/>
    <w:p w:rsidR="00036EDF" w:rsidRPr="00F649E3" w:rsidRDefault="00036EDF" w:rsidP="00CD4364">
      <w:r>
        <w:t xml:space="preserve">Since the new species A can be added at any time before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we should sum over times before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 We end up with a formula as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F649E3" w:rsidTr="00E32204">
        <w:tc>
          <w:tcPr>
            <w:tcW w:w="8365" w:type="dxa"/>
            <w:vAlign w:val="center"/>
          </w:tcPr>
          <w:p w:rsidR="00F649E3" w:rsidRPr="00F649E3" w:rsidRDefault="00740E0D" w:rsidP="00E32204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dt×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source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F649E3" w:rsidRDefault="00F649E3" w:rsidP="00F649E3">
            <w:pPr>
              <w:jc w:val="center"/>
            </w:pPr>
            <w:r>
              <w:t>(3)</w:t>
            </w:r>
          </w:p>
        </w:tc>
      </w:tr>
    </w:tbl>
    <w:p w:rsidR="00F649E3" w:rsidRDefault="00F649E3" w:rsidP="00CD4364"/>
    <w:p w:rsidR="00EB4866" w:rsidRDefault="00E1680E" w:rsidP="00810E0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source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represents the pumping rate of species A.</w:t>
      </w:r>
      <w:r w:rsidR="00C5395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C53954">
        <w:t xml:space="preserve"> represents any infinitesimal time after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3954">
        <w:t xml:space="preserve">. </w:t>
      </w:r>
      <w:r w:rsidR="001D105C">
        <w:t>Reca</w:t>
      </w:r>
      <w:r w:rsidR="00715DFA">
        <w:t>ll the path integral definition and its numerical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9261D5" w:rsidTr="00E32204">
        <w:tc>
          <w:tcPr>
            <w:tcW w:w="8365" w:type="dxa"/>
            <w:vAlign w:val="center"/>
          </w:tcPr>
          <w:p w:rsidR="009261D5" w:rsidRPr="009261D5" w:rsidRDefault="00740E0D" w:rsidP="00740E0D">
            <w:pPr>
              <w:tabs>
                <w:tab w:val="left" w:pos="5385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path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9261D5" w:rsidRDefault="00810E0E" w:rsidP="00E32204">
            <w:pPr>
              <w:jc w:val="center"/>
            </w:pPr>
            <w:r>
              <w:t>(4</w:t>
            </w:r>
            <w:r w:rsidR="009261D5">
              <w:t>)</w:t>
            </w:r>
          </w:p>
        </w:tc>
      </w:tr>
      <w:tr w:rsidR="00B97BB9" w:rsidTr="00E32204">
        <w:tc>
          <w:tcPr>
            <w:tcW w:w="8365" w:type="dxa"/>
            <w:vAlign w:val="center"/>
          </w:tcPr>
          <w:p w:rsidR="00B97BB9" w:rsidRPr="00CA3076" w:rsidRDefault="00740E0D" w:rsidP="00E32204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path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min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B97BB9" w:rsidRDefault="00810E0E" w:rsidP="00E32204">
            <w:pPr>
              <w:jc w:val="center"/>
            </w:pPr>
            <w:r>
              <w:t>(5</w:t>
            </w:r>
            <w:r w:rsidR="00B97BB9">
              <w:t>)</w:t>
            </w:r>
          </w:p>
        </w:tc>
      </w:tr>
    </w:tbl>
    <w:p w:rsidR="009261D5" w:rsidRDefault="00E94566" w:rsidP="009C4731">
      <w:pPr>
        <w:tabs>
          <w:tab w:val="left" w:pos="5385"/>
        </w:tabs>
      </w:pPr>
      <w:r>
        <w:t xml:space="preserve">Here, we can incorporate the new integral over initial time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into the path integral scheme.</w:t>
      </w:r>
      <w:r w:rsidR="00810E0E">
        <w:t xml:space="preserve"> So the second term in eqn. (3</w:t>
      </w:r>
      <w:r w:rsidR="00E32204">
        <w:t>)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E32204" w:rsidTr="00E32204">
        <w:tc>
          <w:tcPr>
            <w:tcW w:w="8365" w:type="dxa"/>
            <w:vAlign w:val="center"/>
          </w:tcPr>
          <w:p w:rsidR="00E32204" w:rsidRPr="00CA3076" w:rsidRDefault="00E32204" w:rsidP="00E32204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I≡</m:t>
                </m:r>
                <w:bookmarkStart w:id="3" w:name="_GoBack"/>
                <w:bookmarkEnd w:id="3"/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dt×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source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E32204" w:rsidRDefault="00810E0E" w:rsidP="00E32204">
            <w:pPr>
              <w:jc w:val="center"/>
            </w:pPr>
            <w:r>
              <w:t>(6</w:t>
            </w:r>
            <w:r w:rsidR="00E32204">
              <w:t>)</w:t>
            </w:r>
          </w:p>
        </w:tc>
      </w:tr>
      <w:tr w:rsidR="00E32204" w:rsidTr="00E32204">
        <w:tc>
          <w:tcPr>
            <w:tcW w:w="8365" w:type="dxa"/>
            <w:vAlign w:val="center"/>
          </w:tcPr>
          <w:p w:rsidR="00E32204" w:rsidRDefault="00E32204" w:rsidP="00DB32BB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dt×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source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E32204" w:rsidRDefault="00810E0E" w:rsidP="00E32204">
            <w:pPr>
              <w:jc w:val="center"/>
            </w:pPr>
            <w:r>
              <w:t>(7</w:t>
            </w:r>
            <w:r w:rsidR="00DB32BB">
              <w:t>)</w:t>
            </w:r>
          </w:p>
        </w:tc>
      </w:tr>
    </w:tbl>
    <w:p w:rsidR="00E32204" w:rsidRDefault="00E32204" w:rsidP="009C4731">
      <w:pPr>
        <w:tabs>
          <w:tab w:val="left" w:pos="5385"/>
        </w:tabs>
      </w:pPr>
    </w:p>
    <w:p w:rsidR="009261D5" w:rsidRDefault="00DB32BB" w:rsidP="009C4731">
      <w:pPr>
        <w:tabs>
          <w:tab w:val="left" w:pos="5385"/>
        </w:tabs>
      </w:pPr>
      <w:r>
        <w:t>The numerical implementation will be simple as well since we only need to sample the initial time of a path uniformly.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0963B7" w:rsidTr="00573EE1">
        <w:tc>
          <w:tcPr>
            <w:tcW w:w="8365" w:type="dxa"/>
            <w:vAlign w:val="center"/>
          </w:tcPr>
          <w:p w:rsidR="000963B7" w:rsidRPr="00CA3076" w:rsidRDefault="000963B7" w:rsidP="00573EE1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∆S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d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0963B7" w:rsidRDefault="001D13E0" w:rsidP="00573EE1">
            <w:pPr>
              <w:jc w:val="center"/>
            </w:pPr>
            <w:r>
              <w:t>(9</w:t>
            </w:r>
            <w:r w:rsidR="000963B7">
              <w:t>)</w:t>
            </w:r>
          </w:p>
        </w:tc>
      </w:tr>
    </w:tbl>
    <w:p w:rsidR="000963B7" w:rsidRDefault="001D13E0" w:rsidP="009C4731">
      <w:pPr>
        <w:tabs>
          <w:tab w:val="left" w:pos="5385"/>
        </w:tabs>
      </w:pPr>
      <w:r>
        <w:t xml:space="preserve">In which </w:t>
      </w:r>
      <m:oMath>
        <m:r>
          <w:rPr>
            <w:rFonts w:ascii="Cambria Math" w:hAnsi="Cambria Math"/>
          </w:rPr>
          <m:t>∆S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</m:sSubSup>
          </m:e>
        </m:d>
      </m:oMath>
      <w:r>
        <w:t xml:space="preserve"> represents the concentration change of the source species between time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+dt</m:t>
                </m:r>
              </m:e>
            </m:d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>
        <w:t xml:space="preserve"> is randomly sampled between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>
        <w:t xml:space="preserve">. </w:t>
      </w:r>
      <w:r w:rsidR="00016612">
        <w:t xml:space="preserve"> Rearrange eqn. (9), we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271C62" w:rsidTr="008C2BFB">
        <w:tc>
          <w:tcPr>
            <w:tcW w:w="8365" w:type="dxa"/>
            <w:vAlign w:val="center"/>
          </w:tcPr>
          <w:p w:rsidR="00271C62" w:rsidRPr="00CA3076" w:rsidRDefault="00271C62" w:rsidP="00CC6E80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∆S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d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:rsidR="00271C62" w:rsidRDefault="00271C62" w:rsidP="008C2BFB">
            <w:pPr>
              <w:jc w:val="center"/>
            </w:pPr>
            <w:r>
              <w:t>(10)</w:t>
            </w:r>
          </w:p>
        </w:tc>
      </w:tr>
    </w:tbl>
    <w:p w:rsidR="00016612" w:rsidRDefault="00016612" w:rsidP="009C4731">
      <w:pPr>
        <w:tabs>
          <w:tab w:val="left" w:pos="5385"/>
        </w:tabs>
      </w:pPr>
    </w:p>
    <w:p w:rsidR="00DB32BB" w:rsidRDefault="00DB32BB" w:rsidP="009C4731">
      <w:pPr>
        <w:tabs>
          <w:tab w:val="left" w:pos="5385"/>
        </w:tabs>
      </w:pPr>
    </w:p>
    <w:p w:rsidR="00715DFA" w:rsidRPr="00715DFA" w:rsidRDefault="00715DFA" w:rsidP="00715DFA">
      <w:pPr>
        <w:tabs>
          <w:tab w:val="left" w:pos="5385"/>
        </w:tabs>
      </w:pPr>
    </w:p>
    <w:p w:rsidR="001D105C" w:rsidRDefault="001D105C" w:rsidP="009C4731">
      <w:pPr>
        <w:tabs>
          <w:tab w:val="left" w:pos="5385"/>
        </w:tabs>
      </w:pPr>
    </w:p>
    <w:p w:rsidR="009C4731" w:rsidRPr="009C4731" w:rsidRDefault="009C4731" w:rsidP="009C4731">
      <w:pPr>
        <w:tabs>
          <w:tab w:val="left" w:pos="5385"/>
        </w:tabs>
      </w:pPr>
    </w:p>
    <w:sectPr w:rsidR="009C4731" w:rsidRPr="009C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A7"/>
    <w:rsid w:val="00016612"/>
    <w:rsid w:val="00036EDF"/>
    <w:rsid w:val="00042333"/>
    <w:rsid w:val="000963B7"/>
    <w:rsid w:val="0010176B"/>
    <w:rsid w:val="001D105C"/>
    <w:rsid w:val="001D13E0"/>
    <w:rsid w:val="001E79C1"/>
    <w:rsid w:val="00271C62"/>
    <w:rsid w:val="002D337C"/>
    <w:rsid w:val="002F77DF"/>
    <w:rsid w:val="00400825"/>
    <w:rsid w:val="00573EE1"/>
    <w:rsid w:val="005E2017"/>
    <w:rsid w:val="00650F03"/>
    <w:rsid w:val="00715DFA"/>
    <w:rsid w:val="00740E0D"/>
    <w:rsid w:val="00766703"/>
    <w:rsid w:val="008106DA"/>
    <w:rsid w:val="00810E0E"/>
    <w:rsid w:val="00814818"/>
    <w:rsid w:val="00881338"/>
    <w:rsid w:val="008E329F"/>
    <w:rsid w:val="009261D5"/>
    <w:rsid w:val="0094026C"/>
    <w:rsid w:val="009421C2"/>
    <w:rsid w:val="00976172"/>
    <w:rsid w:val="009B411A"/>
    <w:rsid w:val="009C4731"/>
    <w:rsid w:val="00A302BA"/>
    <w:rsid w:val="00A31EA9"/>
    <w:rsid w:val="00A57BA0"/>
    <w:rsid w:val="00AC0C46"/>
    <w:rsid w:val="00B4595E"/>
    <w:rsid w:val="00B97BB9"/>
    <w:rsid w:val="00BA3DA7"/>
    <w:rsid w:val="00BC0067"/>
    <w:rsid w:val="00BD39F2"/>
    <w:rsid w:val="00C53954"/>
    <w:rsid w:val="00CC6E80"/>
    <w:rsid w:val="00CD4364"/>
    <w:rsid w:val="00DB32BB"/>
    <w:rsid w:val="00E1680E"/>
    <w:rsid w:val="00E32204"/>
    <w:rsid w:val="00E94566"/>
    <w:rsid w:val="00EA7A9A"/>
    <w:rsid w:val="00EB0731"/>
    <w:rsid w:val="00EB4866"/>
    <w:rsid w:val="00EB69DB"/>
    <w:rsid w:val="00EB6CA6"/>
    <w:rsid w:val="00EF0D46"/>
    <w:rsid w:val="00F649E3"/>
    <w:rsid w:val="00F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56E9"/>
  <w15:chartTrackingRefBased/>
  <w15:docId w15:val="{92D4ED59-2AE7-423F-89C0-577644EF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4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4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3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4364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6E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F76E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F76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52</cp:revision>
  <cp:lastPrinted>2017-05-12T17:16:00Z</cp:lastPrinted>
  <dcterms:created xsi:type="dcterms:W3CDTF">2017-05-10T03:16:00Z</dcterms:created>
  <dcterms:modified xsi:type="dcterms:W3CDTF">2017-09-14T07:50:00Z</dcterms:modified>
</cp:coreProperties>
</file>