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q097dp1u469" w:id="0"/>
      <w:bookmarkEnd w:id="0"/>
      <w:r w:rsidDel="00000000" w:rsidR="00000000" w:rsidRPr="00000000">
        <w:rPr>
          <w:rtl w:val="0"/>
        </w:rPr>
        <w:t xml:space="preserve">SWA-Lab5. Zadania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Przygotowałem demonstracyjny projekt freertos_demo.zip - gotowy do rozpakowania i użycia. Zawiera już SDK i FreeRTOS, przez to trochę waży, ale może dzięki temu łatwiej będzie zmusić go do działania.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Jest to realizacja zadania z wcześniejszych zajęć RTOS - miganie diodą 0/1/2 po wybraniu przycisku 0/1/2. Przykład demonstruje praktyczne użycie grup zdarzeń wraz z obsługą przerwania.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Pobierz archiwum, rozpakuj i spróbuj skompilować oraz uruchomić projekt.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obsługę UART - użyj swojego wcześniejszego kodu, który zbiera odebrane znaki w buforze. Będzie to osobne zadanie z przerwaniem UART - analogicznie jak to, które obsługuje przyciski. </w:t>
        <w:br w:type="textWrapping"/>
        <w:t xml:space="preserve">Hint-1: Znaki możesz gromadzić w buforze (tablicy), ale sprytniej będzie zdefiniować dwa bufory (A, B) - w danej chwili jeden gromadzi znaki odbierane przez UART, a drugi w tym czasie może być przetwarzany przez dekoder komend. </w:t>
        <w:br w:type="textWrapping"/>
        <w:t xml:space="preserve">Hint-2: Jeszcze lepiej byłoby przekształcić to w kolejkę  o ustalonej pojemności, do której zadanie task_uart wrzuca odebrane linie tekstu, a task_cmd pobiera, dekoduje i wykonuje (bufory A/B są uproszczoną wersją kolejki 2-elementowej)</w:t>
        <w:br w:type="textWrapping"/>
        <w:t xml:space="preserve">Hint-3: Zastosuj sekcję krytyczną - mamy do czynienia z systemem wielozadaniowym, więc operacje na kolejce muszą być zabezpieczone. Podobnie gdy masz bufory A/B - zadanie task_uart powinno być zabezpieczone przed użyciem bufora, którego nie zdążyło obsłużyć zadanie task_cmd.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istniejących zdarzeń “guzikowych” dodaj zdarzenie związane z odebraniem komendy przez UART - zdarzenie ma być ustawiane, gdy pojawi się znak 13 (\r, CR) - czyli inaczej enter/return. Dawniej w tym miejscu była wywoływana funkcja dekodująca i wykonująca komendę, ale to nie było dobre rozwiązanie - nadal jesteśmy w kontekście przerwania UART!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projektu dodaj pliki .c, .h odpowiedzialne za dekoder komend (z wcześniejszych zajęć). W tym celu zdefiniuj osobne zadanie, którego funkcja będzie wyglądać tak:</w:t>
        <w:br w:type="textWrapping"/>
        <w:t xml:space="preserve">Zwróć uwagę na brak sleep - nie musi go być, funkcja xEvent… grzecznie czeka na pojawienie się zdarzenie nie obciążając procesora.</w:t>
        <w:br w:type="textWrapping"/>
      </w:r>
      <w:r w:rsidDel="00000000" w:rsidR="00000000" w:rsidRPr="00000000">
        <w:rPr/>
        <w:drawing>
          <wp:inline distB="114300" distT="114300" distL="114300" distR="114300">
            <wp:extent cx="5811113" cy="212225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1113" cy="2122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Funkcja uart_data() zwraca wskaźnik do danych z kolejki (lub z bufora A/B) gotowych do przetworzenia.</w:t>
        <w:br w:type="textWrapping"/>
        <w:br w:type="textWrapping"/>
        <w:t xml:space="preserve">Przykładowa implementacja przełączanych buforów A/B (uwaga! bez sekcji krytycznej!)</w:t>
        <w:br w:type="textWrapping"/>
        <w:t xml:space="preserve">Słowo kluczowe static w modułach C ogranicza widoczność zmiennych globalnych, jest to dobra praktyka znana z programowania obiektowego jako hermetyzacja (sekcje private, protected znane z C++). Jednocześnie funkcja uart_data() stała się odpowiednikiem akcesora lub gettera - na zewnątrz modułu nie ma dostępu do zmiennej buffer czy active, jest tylko uart_data() zwracająca gotowy do użycia zestaw znaków. Mogę kiedyś przerobić kod z przełączanych buforów A/B na kolejkę, a uart_data pozostawić bez zmian.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822628" cy="25754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2628" cy="2575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 wersji dojrzalszej projektu zadań będzie zapewne więcej: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7171200" cy="2743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842662" cy="37782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662" cy="3778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Proponowana struktura plików projektu (chociaż można już pomyśleć o zgrupowaniu plików źródłowych zadań w podkatalogu tasks):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718190" cy="88134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190" cy="8813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