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gir8cmd0uha" w:id="0"/>
      <w:bookmarkEnd w:id="0"/>
      <w:r w:rsidDel="00000000" w:rsidR="00000000" w:rsidRPr="00000000">
        <w:rPr>
          <w:rtl w:val="0"/>
        </w:rPr>
        <w:t xml:space="preserve">SWA-W03-Quiz [2025-03-21]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Do czego służy narzędzie Valgrind?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int x; Jaki zakres wartości może przyjąć ta zmienna? Od czego to zależy?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Naszkicuj przynajmniej 3 różne rodzaje terminacji linii długiej EIA-485 i kilku słowach scharakteryzuj ich cechy/przeznaczenie.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Gdzie stosowane są komendy AT?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kilku punktach porównaj RS232 z RS485.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DTE a DCE.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 wspólnego mają Modbus RTU i DMX512?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czego możesz użyć NMEA w swoim projekcie embedded?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Jakiego typu zmiennej używa Dżin? Uwaga. Haczyk!</w:t>
        <w:br w:type="textWrapping"/>
      </w:r>
      <w:r w:rsidDel="00000000" w:rsidR="00000000" w:rsidRPr="00000000">
        <w:rPr/>
        <w:drawing>
          <wp:inline distB="114300" distT="114300" distL="114300" distR="114300">
            <wp:extent cx="4182338" cy="58229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338" cy="582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306.14173228346465" w:top="306.14173228346465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