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7rvuyx6uthd" w:id="0"/>
      <w:bookmarkEnd w:id="0"/>
      <w:r w:rsidDel="00000000" w:rsidR="00000000" w:rsidRPr="00000000">
        <w:rPr>
          <w:rtl w:val="0"/>
        </w:rPr>
        <w:t xml:space="preserve">Quiz SWA-W06 [2025-04-11]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  <w:tab/>
        <w:t xml:space="preserve">Do czego służy PLL w mikrokontrolerze?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  <w:tab/>
        <w:t xml:space="preserve">Wyjaśnij zasadę działania modulacji OOK.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</w:t>
        <w:tab/>
        <w:t xml:space="preserve">Zakoduj ciąg bitów 10001 używając kodowania NRZ albo manchester w dowolnej wersji.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</w:t>
        <w:tab/>
        <w:t xml:space="preserve">Po co jest preambuła w komunikacji RF?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</w:t>
        <w:tab/>
        <w:t xml:space="preserve">Jak działa układ Watchdog w mikrokontrolerze? W jakim celu go używamy?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</w:t>
        <w:tab/>
        <w:t xml:space="preserve">Współczesne mikrokontrolery implementują domeny zasilania. W jakim celu?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</w:t>
        <w:tab/>
        <w:t xml:space="preserve">W jakich okolicznościach źródłem sygnału RESET będzie BOR?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