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Montserrat" w:cs="Montserrat" w:eastAsia="Montserrat" w:hAnsi="Montserrat"/>
          <w:b w:val="1"/>
          <w:color w:val="eebea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5331f"/>
          <w:sz w:val="28"/>
          <w:szCs w:val="28"/>
          <w:rtl w:val="0"/>
        </w:rPr>
        <w:t xml:space="preserve">Quiz SWA-Q11 [2025-05-30]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CSMA/CD oraz CSMA/CA – jak to działa, gdzie było i gdzie dzisiaj jest używane.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Podaj przykłady protokołów warstw odpowiednio: 2, 3, 4, 7 modelu ISO/OSI.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Dlaczego protokół TCP i łączność sieciowa tak późno pojawiły się w mikrokontrolerach jednoukładowych?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Mamy podsieć 192.168.110/23. Ile maksymalnie hostów z unikatowymi adresami IP może być w tej sieci? Jaki jest adres rozgłoszeniowy w tej sieci?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Czym się różną adresy zerowe, pętli zwrotnej, prywatne oraz publiczne w sieci IPv4? Dlaczego te ostatnie nazywane są też „rutowalnymi”?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850.3937007874016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