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nfg8bnfgig3" w:id="0"/>
      <w:bookmarkEnd w:id="0"/>
      <w:r w:rsidDel="00000000" w:rsidR="00000000" w:rsidRPr="00000000">
        <w:rPr>
          <w:rtl w:val="0"/>
        </w:rPr>
        <w:t xml:space="preserve">SWA-Lab1. Quiz [2025.03.07]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Które narzędzie w projekcie C uruchamia się najpierw: linker czy kompilator?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line="325.71428571428567" w:lineRule="auto"/>
        <w:ind w:left="720" w:hanging="360"/>
        <w:rPr>
          <w:color w:val="3b3b3b"/>
          <w:sz w:val="21"/>
          <w:szCs w:val="21"/>
          <w:u w:val="none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Po co w plikach nagłówkowych używamy tej konstrukcji? Wskazówka: czasem spotykana jest też dyrektywa #pragma once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ifndef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NANOMODBUS_H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NANOMODBUS_H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//…kod źródłowy 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//NANOMODBUS_H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czym polega przeciążanie funkcji?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jakim rodzaju pamięci mikrokontrolera umieszczane są skompilowane funkcje? A w jakim zmienne?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Skąd nazwa “plik nagłówkowy”? (ang. header file)</w:t>
      </w:r>
    </w:p>
    <w:sectPr>
      <w:pgSz w:h="16834" w:w="11909" w:orient="portrait"/>
      <w:pgMar w:bottom="306.14173228346465" w:top="306.14173228346465" w:left="306.14173228346465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