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755329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descriptives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62CE23D">
      <w:pPr>
        <w:pStyle w:val="928"/>
        <w:numPr>
          <w:ilvl w:val="0"/>
          <w:numId w:val="15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Nous aide à simplifier et organiser de grandes quantités de données. Ça nous permet de décrire et résumer des données de grande taille (ex : moyenne, médiane).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5E75033">
      <w:pPr>
        <w:pStyle w:val="928"/>
        <w:numPr>
          <w:ilvl w:val="0"/>
          <w:numId w:val="15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"La moyenne des notes est de 12/20."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809419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Statistiques inférentielles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7B01254">
      <w:pPr>
        <w:pStyle w:val="928"/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Faire des prédictions ou </w:t>
      </w:r>
      <w:r>
        <w:rPr>
          <w:sz w:val="22"/>
          <w:szCs w:val="22"/>
          <w:highlight w:val="none"/>
        </w:rPr>
        <w:t xml:space="preserve">généraliser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à partir d'un échantillon (ex : tests d'hypothèses, intervalles de confiance).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2D0388A">
      <w:pPr>
        <w:pStyle w:val="928"/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Ex : "Avec 95 % de confiance, la moyenne des notes de la population est entre 11,5 et 12,5."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21CE684">
      <w:pPr>
        <w:pStyle w:val="866"/>
        <w:pBdr/>
        <w:spacing/>
        <w:ind/>
        <w:rPr>
          <w14:ligatures w14:val="none"/>
        </w:rPr>
      </w:pPr>
      <w:r>
        <w:rPr>
          <w:highlight w:val="none"/>
        </w:rPr>
        <w:t xml:space="preserve">Types de données</w:t>
      </w:r>
      <w:r>
        <w:rPr>
          <w14:ligatures w14:val="none"/>
        </w:rPr>
      </w:r>
      <w:r>
        <w:rPr>
          <w14:ligatures w14:val="none"/>
        </w:rPr>
      </w:r>
    </w:p>
    <w:p w14:paraId="5E19FFAC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Variables qualitatives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73968B6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Données généralement non numériques, qui décrivent des qualités, caractéristiques, ou </w:t>
      </w:r>
      <w:r>
        <w:rPr>
          <w:sz w:val="22"/>
          <w:szCs w:val="22"/>
          <w:highlight w:val="none"/>
        </w:rPr>
        <w:t xml:space="preserve">attributs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. Ces données sont surtout utilisées pour comprendre les opinions, comportements, expériences, et catégories.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E1E46AE">
      <w:pPr>
        <w:pStyle w:val="92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Nominales : Données utilisées pour labelliser, nommer ou classifier des variables sans ordre particulier (ex : couleur des yeux, genre).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6386AFE">
      <w:pPr>
        <w:pStyle w:val="928"/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Ordinales : Données qui ont un </w:t>
      </w:r>
      <w:r>
        <w:rPr>
          <w:sz w:val="22"/>
          <w:szCs w:val="22"/>
          <w:highlight w:val="none"/>
        </w:rPr>
        <w:t xml:space="preserve">ordre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naturel. La différence exacte entre les catégories ne peut pas être mesurée (ex : niveau de satisfaction : faible, moyen, élevé).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9D67FE3">
      <w:pPr>
        <w:pStyle w:val="867"/>
        <w:pBdr/>
        <w:spacing/>
        <w:ind/>
        <w:rPr>
          <w14:ligatures w14:val="none"/>
        </w:rPr>
      </w:pPr>
      <w:r>
        <w:rPr>
          <w:highlight w:val="none"/>
        </w:rPr>
        <w:t xml:space="preserve">Variables quantitatives</w:t>
      </w:r>
      <w:r>
        <w:rPr>
          <w14:ligatures w14:val="none"/>
        </w:rPr>
      </w:r>
      <w:r>
        <w:rPr>
          <w14:ligatures w14:val="none"/>
        </w:rPr>
      </w:r>
    </w:p>
    <w:p w14:paraId="17DDF8D0">
      <w:pPr>
        <w:pStyle w:val="92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Discrètes : Valeurs qu'on compte, valeurs entières (ex : nombre d'enfants, résultat d'un dé).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A00706E">
      <w:pPr>
        <w:pStyle w:val="928"/>
        <w:numPr>
          <w:ilvl w:val="0"/>
          <w:numId w:val="1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Continues : Valeurs qu'on mesure,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valeurs décimales (on peut mettre une infinité de valeurs entre 2 valeurs)(ex : taille, poids).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B694623">
      <w:pPr>
        <w:pStyle w:val="866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Population VS </w:t>
      </w:r>
      <w:r>
        <w:rPr>
          <w:highlight w:val="none"/>
        </w:rPr>
        <w:t xml:space="preserve">échantillon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682231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14D34FB3">
      <w:pPr>
        <w:pStyle w:val="92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Moyenne :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34E901C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Moyenne d'un groupe</w:t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 w14:paraId="5A39013F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est calculée en faisant la somme de tous les éléments qu'on a, et le divisant ensuite par le nombre d'éléments.</w:t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 w14:paraId="29E6949B">
      <w:pPr>
        <w:pStyle w:val="928"/>
        <w:numPr>
          <w:ilvl w:val="1"/>
          <w:numId w:val="5"/>
        </w:numPr>
        <w:pBdr/>
        <w:shd w:val="nil" w:color="auto"/>
        <w:spacing/>
        <w:ind/>
        <w:rPr>
          <w:sz w:val="22"/>
          <w:szCs w:val="22"/>
          <w14:ligatures w14:val="none"/>
        </w:rPr>
      </w:pPr>
      <w:r>
        <w:rPr>
          <w:sz w:val="22"/>
          <w:szCs w:val="22"/>
        </w:rPr>
        <w:t xml:space="preserve">formule : (Σx)/</w:t>
      </w:r>
      <w:r>
        <w:rPr>
          <w:sz w:val="22"/>
          <w:szCs w:val="22"/>
        </w:rPr>
        <w:t xml:space="preserve">N</w:t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 w14:paraId="6C343C59">
      <w:pPr>
        <w:pStyle w:val="92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Médiane :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F49CED5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qui partage une série de données ordonnées en deux parties contenant chacune 50 % des observations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F1B5BD8"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Est calculée en trouvant la valeur centrale pour un nombre impair d'observation, ou en faisant la moyenne des deux valeurs centrales pour un nombre pair d'observation.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B22BD10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tendance centrale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76104104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Mode :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8F90ADC">
      <w:pPr>
        <w:pStyle w:val="92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Valeur la plus fréquente.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A188FBB">
      <w:pPr>
        <w:pStyle w:val="928"/>
        <w:numPr>
          <w:ilvl w:val="1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ne pas exister (si aucune valeur se répète). Solution peut être uni-modale, bimodale, tri-modale, multimodale.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6DF7A771">
      <w:pPr>
        <w:pStyle w:val="92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Classe modale :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AD9CA9A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Mode pour des données groupées.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1B5A882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Un groupe ou une intervalle de valeurs la plus fréquente.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5D8995C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valeur du mode approximative (mode interpolé) peut parfois être calculée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18DB1EB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5200" cy="67627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754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505199" cy="67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6.00pt;height:53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FD508A0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 = borne inférieure de la classe modale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3289F7F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h = largeur de la classe modale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64E050F0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f1 = fréquence de la classe modale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CBEB2D6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 = fréquence de la classe précédente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A81C105">
      <w:pPr>
        <w:pStyle w:val="928"/>
        <w:numPr>
          <w:ilvl w:val="2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f2 = fréquence de la classe suivante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6E9D8E1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Attention : si la classe précédente ou suivante n'existe pas on ne peut pas faire le calcul!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19CEE9B">
      <w:pPr>
        <w:pStyle w:val="928"/>
        <w:numPr>
          <w:ilvl w:val="1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Peut être estimé de la façon suivante : 3 fois la médiane- 2 fois la moyenne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B58CBE7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Mesures de dispersion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6966860F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Étendue :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7356A2E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L'étendue est la différence entre la valeur maximale et minimale de nos données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8E642B2">
      <w:pPr>
        <w:pStyle w:val="928"/>
        <w:numPr>
          <w:ilvl w:val="1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max(X) - min(X)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1066A73C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Variance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8EEAD40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variance calcule à quel point les valeurs s'éloignent de la moyenne, c'est-à-dire la dispersion autour de la moyenne.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372FE361">
      <w:pPr>
        <w:pStyle w:val="92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695450" cy="6572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8118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695449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50pt;height:51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173CEF0">
      <w:pPr>
        <w:pStyle w:val="928"/>
        <w:numPr>
          <w:ilvl w:val="2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µ = moyenne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B767C6B">
      <w:pPr>
        <w:pStyle w:val="928"/>
        <w:numPr>
          <w:ilvl w:val="2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 = 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  <w:t xml:space="preserve">nombre de données</w:t>
      </w:r>
      <w:r>
        <w:rPr>
          <w:rFonts w:ascii="Liberation Sans" w:hAnsi="Liberation Sans" w:eastAsia="Liberation Sans" w:cs="Liberation Sans"/>
          <w:sz w:val="22"/>
          <w:szCs w:val="22"/>
          <w:highlight w:val="none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3187AF2"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b/>
          <w:color w:val="000000"/>
          <w:sz w:val="22"/>
          <w:szCs w:val="22"/>
        </w:rPr>
        <w:t xml:space="preserve">Écart-type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2C3F5AC4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L'écart-type est la racine carrée de la variance. Elle nous permet de nous remettre aux mêmes unités que les données originales.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78884A01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09900" cy="6858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67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009899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7.00pt;height:54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471D09B2">
      <w:pPr>
        <w:pStyle w:val="92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La règle du 68-95-99.7 : environ 68% des valeurs se situe à un écart-type de la moyenne, environ 95% se situe à deux écart-types, et 99.7% se 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situent à trois écart-types.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556584FB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Différentes formules pour une population et un échantillon.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267533CC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population :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DBEFDFD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Ecart-type échantillon :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6051D1B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Pourquoi cette différence?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5EE459EA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On utilise déjà les données pour calculer la moyenne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1AABC12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Cela a pour effet de rendre les écarts à la moyenne un peu plus petits en moyenne que ceux qu'on aurait obtenu avec la vraie moyenne de la population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49ED957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En divisant par n, on sous-estime systématiquement l'écart-type de la population.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14A7D0C3">
      <w:pPr>
        <w:pStyle w:val="928"/>
        <w:numPr>
          <w:ilvl w:val="0"/>
          <w:numId w:val="17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La plupart des logiciels statistiques utilisent n – 1 par défaut lorsqu'on calcule l'écart-type</w:t>
      </w:r>
      <w:r>
        <w:rPr>
          <w:rFonts w:ascii="Liberation Sans" w:hAnsi="Liberation Sans" w:eastAsia="Liberation Sans" w:cs="Liberation Sans"/>
          <w:color w:val="000000"/>
          <w:sz w:val="22"/>
          <w:szCs w:val="22"/>
        </w:rPr>
        <w:t xml:space="preserve"> d'un échantillon</w:t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color w:val="000000"/>
          <w:sz w:val="22"/>
          <w:szCs w:val="22"/>
          <w:highlight w:val="none"/>
        </w:rPr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  <w:r>
        <w:rPr>
          <w:rFonts w:ascii="Liberation Sans" w:hAnsi="Liberation Sans" w:cs="Liberation Sans"/>
          <w:sz w:val="22"/>
          <w:szCs w:val="22"/>
        </w:rPr>
      </w:r>
    </w:p>
    <w:p w14:paraId="0FAFF518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interquartile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6405453D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la distribution des 50% de données autour de la médiane.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E1C585E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Il n'est pas sensible aux données extrêmes et nous permet donc de mieux représenter la distribution des données.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2F12B3EA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interquartile représente l'écart entre le premier quartile Q1 et le troisième quartile Q3.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C136BBA">
      <w:pPr>
        <w:pStyle w:val="928"/>
        <w:numPr>
          <w:ilvl w:val="0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b/>
          <w:bCs/>
          <w:sz w:val="22"/>
          <w:szCs w:val="22"/>
        </w:rPr>
        <w:t xml:space="preserve">Q3 - Q1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56DF7F6B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Q1 : médiane de la moitié basse des données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7BCCC8C2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formule Q3 : médiane de la moitié haute des données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9B4F849">
      <w:pPr>
        <w:pStyle w:val="928"/>
        <w:numPr>
          <w:ilvl w:val="1"/>
          <w:numId w:val="19"/>
        </w:num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Le deuxième quartile Q2 est la médiane.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747F3EA">
      <w:pPr>
        <w:pStyle w:val="867"/>
        <w:pBdr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Écart absolu moyen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35792777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L'écart absolu moyen (MAD) est la moyenne des écarts absolus entre les données et leur moyenne.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4DEE796A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formule : </w:t>
      </w:r>
      <w:r>
        <w:rPr>
          <w:rFonts w:ascii="Liberation Sans" w:hAnsi="Liberation Sans" w:eastAsia="Liberation Sans" w:cs="Liberation Sans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362075" cy="5619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22972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362074" cy="561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07.25pt;height:44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ADB70D6">
      <w:pPr>
        <w:pBdr/>
        <w:shd w:val="nil" w:color="auto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eastAsia="Liberation Sans" w:cs="Liberation Sans"/>
          <w:sz w:val="22"/>
          <w:szCs w:val="22"/>
        </w:rPr>
        <w:t xml:space="preserve">Ce n'est pas la même ch</w:t>
      </w:r>
      <w:r>
        <w:t xml:space="preserve">ose</w:t>
      </w:r>
      <w:r>
        <w:rPr>
          <w:rFonts w:ascii="Liberation Sans" w:hAnsi="Liberation Sans" w:eastAsia="Liberation Sans" w:cs="Liberation Sans"/>
          <w:sz w:val="22"/>
          <w:szCs w:val="22"/>
        </w:rPr>
        <w:t xml:space="preserve"> que l'écart-type!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095F1075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14:ligatures w14:val="none"/>
        </w:rPr>
      </w:pP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14:ligatures w14:val="none"/>
        </w:rPr>
      </w:r>
    </w:p>
    <w:p w14:paraId="1607FF03">
      <w:p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—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4EC1731E">
      <w:pPr>
        <w:pStyle w:val="928"/>
        <w:numPr>
          <w:ilvl w:val="0"/>
          <w:numId w:val="22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MAD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4898F7AF">
      <w:pPr>
        <w:pStyle w:val="928"/>
        <w:numPr>
          <w:ilvl w:val="0"/>
          <w:numId w:val="21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Coefficient de variation : (écart type / moyenne)</w:t>
      </w:r>
      <w:r>
        <w:rPr>
          <w:rFonts w:ascii="Liberation Sans" w:hAnsi="Liberation Sans" w:cs="Liberation Sans"/>
          <w:sz w:val="22"/>
          <w:szCs w:val="22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 x 100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32295CCD">
      <w:pPr>
        <w:pStyle w:val="928"/>
        <w:numPr>
          <w:ilvl w:val="0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Coeff d’assymétrie (skewness) : moyenne - mode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4A11170B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Plus de données à droite ou à gauche de la médiane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12CE2FB6">
      <w:pPr>
        <w:pStyle w:val="928"/>
        <w:numPr>
          <w:ilvl w:val="0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Coeff 1 assymétrie pearson :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2CE7792E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(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Moyenne – mode) / écart type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2895DE7E">
      <w:pPr>
        <w:pStyle w:val="928"/>
        <w:numPr>
          <w:ilvl w:val="0"/>
          <w:numId w:val="24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Coeff 2 assymétrie pearson :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2974908A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3x (moyenne – médiane)/écart type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E115A59">
      <w:pPr>
        <w:pStyle w:val="928"/>
        <w:numPr>
          <w:ilvl w:val="0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Covariance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4436252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Comment 2 variables évoluent ensemble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20DF0E55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Covp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(X,Y) = (1/n) x somme N x (Xi – µx)(Yi – µy)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17C38866">
      <w:pPr>
        <w:pStyle w:val="928"/>
        <w:numPr>
          <w:ilvl w:val="2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Xi : ième valeur de X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42E88FEB">
      <w:pPr>
        <w:pStyle w:val="928"/>
        <w:numPr>
          <w:ilvl w:val="2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Yi ième valeur de Y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EE49AB7">
      <w:pPr>
        <w:pStyle w:val="928"/>
        <w:numPr>
          <w:ilvl w:val="2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µX : Moyenne de X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037FDB9E">
      <w:pPr>
        <w:pStyle w:val="928"/>
        <w:numPr>
          <w:ilvl w:val="2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µY : Moyenne de Y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6E9A5AC6">
      <w:pPr>
        <w:pStyle w:val="928"/>
        <w:numPr>
          <w:ilvl w:val="2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N : nombre d’observations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5CD46D62">
      <w:pPr>
        <w:pStyle w:val="928"/>
        <w:numPr>
          <w:ilvl w:val="0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Corrélation [-1 ;1] -1 : relation inverse, 1 : relation directe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.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p w14:paraId="4ADC81F1">
      <w:pPr>
        <w:pStyle w:val="928"/>
        <w:numPr>
          <w:ilvl w:val="1"/>
          <w:numId w:val="20"/>
        </w:numPr>
        <w:pBdr/>
        <w:shd w:val="nil" w:color="000000"/>
        <w:spacing/>
        <w:ind/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pP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  <w:t xml:space="preserve"> p(X,Y) = cov(X,Y)/ (écart type de X x écart-type de y)</w:t>
      </w:r>
      <w:r>
        <w:rPr>
          <w:rFonts w:ascii="Liberation Sans" w:hAnsi="Liberation Sans" w:cs="Liberation Sans"/>
          <w:sz w:val="22"/>
          <w:szCs w:val="22"/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5E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694AF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F6D802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40C5C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9A4BCF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pStyle w:val="928"/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6C151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C370C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10C8105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F77CA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53F2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CC710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FDADEE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4A007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92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23FEB571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928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A64D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5393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998B4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57486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28314EA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3073313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AE1C19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054FFEF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656651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3073313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Liberation Sans" w:hAnsi="Liberation Sans" w:eastAsia="Liberation Sans" w:cs="Liberation Sans"/>
      <w:color w:val="0f4761" w:themeColor="accent2"/>
      <w:sz w:val="28"/>
      <w:szCs w:val="28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Liberation Sans" w:hAnsi="Liberation Sans" w:eastAsia="Liberation Sans" w:cs="Liberation Sans"/>
      <w:b/>
      <w:bCs/>
      <w:color w:val="auto" w:themeColor="accent1"/>
      <w:sz w:val="22"/>
      <w:szCs w:val="22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link w:val="866"/>
    <w:uiPriority w:val="9"/>
    <w:pPr>
      <w:pBdr/>
      <w:spacing/>
      <w:ind/>
    </w:pPr>
    <w:rPr>
      <w:sz w:val="28"/>
      <w:szCs w:val="28"/>
    </w:rPr>
  </w:style>
  <w:style w:type="character" w:styleId="877">
    <w:name w:val="Heading 3 Char"/>
    <w:link w:val="867"/>
    <w:uiPriority w:val="9"/>
    <w:pPr>
      <w:pBdr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hd w:val="nil"/>
      <w:spacing/>
      <w:ind/>
    </w:pPr>
    <w:rPr>
      <w:rFonts w:ascii="Liberation Sans" w:hAnsi="Liberation Sans" w:eastAsia="Liberation Sans" w:cs="Liberation Sans"/>
      <w:sz w:val="22"/>
      <w:szCs w:val="22"/>
    </w:r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numPr>
        <w:ilvl w:val="1"/>
        <w:numId w:val="5"/>
      </w:numPr>
      <w:pBdr/>
      <w:shd w:val="nil"/>
      <w:spacing/>
      <w:ind w:left="720"/>
      <w:contextualSpacing w:val="true"/>
    </w:pPr>
    <w:rPr>
      <w:rFonts w:ascii="Liberation Sans" w:hAnsi="Liberation Sans" w:eastAsia="Liberation Sans" w:cs="Liberation Sans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2026-06-11T09:40:14Z</dcterms:modified>
</cp:coreProperties>
</file>