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357D" w14:textId="77777777" w:rsidR="006F5FD3" w:rsidRPr="00B76E07" w:rsidRDefault="006F5FD3" w:rsidP="006F5FD3">
      <w:pPr>
        <w:spacing w:line="480" w:lineRule="auto"/>
        <w:rPr>
          <w:rFonts w:asciiTheme="majorBidi" w:hAnsiTheme="majorBidi" w:cstheme="majorBidi"/>
        </w:rPr>
      </w:pPr>
      <w:r w:rsidRPr="00B76E07">
        <w:rPr>
          <w:rFonts w:asciiTheme="majorBidi" w:hAnsiTheme="majorBidi" w:cstheme="majorBidi"/>
          <w:b/>
          <w:bCs/>
        </w:rPr>
        <w:t>Supporting Information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840"/>
        <w:gridCol w:w="820"/>
        <w:gridCol w:w="1060"/>
        <w:gridCol w:w="1060"/>
        <w:gridCol w:w="1060"/>
        <w:gridCol w:w="1060"/>
        <w:gridCol w:w="1060"/>
        <w:gridCol w:w="1060"/>
        <w:gridCol w:w="1060"/>
      </w:tblGrid>
      <w:tr w:rsidR="006F5FD3" w:rsidRPr="00B76E07" w14:paraId="7E8F5258" w14:textId="77777777" w:rsidTr="00D420D9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F4D3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First author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F229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C884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3D95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77F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SF, </w:t>
            </w:r>
            <w:proofErr w:type="spellStart"/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Ipsi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F016" w14:textId="6AFBCC2A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</w:t>
            </w:r>
            <w:r w:rsidR="00CB4C2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</w:t>
            </w: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F, </w:t>
            </w:r>
            <w:proofErr w:type="spellStart"/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Ipsi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4A97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SF, </w:t>
            </w:r>
            <w:proofErr w:type="spellStart"/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174" w14:textId="58D45746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</w:t>
            </w:r>
            <w:r w:rsidR="00CB4C2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</w:t>
            </w: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F, </w:t>
            </w:r>
            <w:proofErr w:type="spellStart"/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2683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6F5FD3" w:rsidRPr="00B76E07" w14:paraId="0B53C548" w14:textId="77777777" w:rsidTr="00D420D9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E33E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Radhakrishnan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34E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C2BF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A4E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21FC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9D9B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3413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A4FB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F020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3.62</w:t>
            </w:r>
          </w:p>
        </w:tc>
      </w:tr>
      <w:tr w:rsidR="006F5FD3" w:rsidRPr="00B76E07" w14:paraId="51FAB451" w14:textId="77777777" w:rsidTr="00D420D9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23D7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Jeong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A9ED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B320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BE26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8462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6F81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81C8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87EF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117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2.09</w:t>
            </w:r>
          </w:p>
        </w:tc>
      </w:tr>
      <w:tr w:rsidR="006F5FD3" w:rsidRPr="00B76E07" w14:paraId="53BFABFE" w14:textId="77777777" w:rsidTr="00D420D9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7619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Aull-Watschinger</w:t>
            </w:r>
            <w:proofErr w:type="spellEnd"/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*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5B6C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1CDE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5A60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D3BE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E2B5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CEC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442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D622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2.21</w:t>
            </w:r>
          </w:p>
        </w:tc>
      </w:tr>
      <w:tr w:rsidR="006F5FD3" w:rsidRPr="00B76E07" w14:paraId="0D0BA6BD" w14:textId="77777777" w:rsidTr="00D420D9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20B6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Hennessy#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678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36948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AA0E8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BD57F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A5495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BC43F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4A935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C4E11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2.59</w:t>
            </w:r>
          </w:p>
        </w:tc>
      </w:tr>
      <w:tr w:rsidR="006F5FD3" w:rsidRPr="00B76E07" w14:paraId="19CE6D60" w14:textId="77777777" w:rsidTr="00D420D9">
        <w:trPr>
          <w:trHeight w:val="3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5BDC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BE0F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2A6A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0850" w14:textId="77777777" w:rsidR="006F5FD3" w:rsidRPr="00B76E07" w:rsidRDefault="006F5FD3" w:rsidP="00D420D9">
            <w:pPr>
              <w:contextualSpacing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BCCE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F935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664F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A882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6BD3" w14:textId="77777777" w:rsidR="006F5FD3" w:rsidRPr="00B76E07" w:rsidRDefault="006F5FD3" w:rsidP="00D420D9">
            <w:pPr>
              <w:contextualSpacing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76E0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2.47</w:t>
            </w:r>
          </w:p>
        </w:tc>
      </w:tr>
    </w:tbl>
    <w:p w14:paraId="1F46A8C2" w14:textId="77777777" w:rsidR="006F5FD3" w:rsidRPr="00B76E07" w:rsidRDefault="006F5FD3" w:rsidP="006F5FD3">
      <w:pPr>
        <w:contextualSpacing/>
        <w:rPr>
          <w:rFonts w:asciiTheme="majorBidi" w:hAnsiTheme="majorBidi" w:cstheme="majorBidi"/>
          <w:b/>
          <w:bCs/>
        </w:rPr>
      </w:pPr>
    </w:p>
    <w:p w14:paraId="74C4ECBF" w14:textId="6525078C" w:rsidR="006F5FD3" w:rsidRPr="00B76E07" w:rsidRDefault="006F5FD3" w:rsidP="006F5FD3">
      <w:pPr>
        <w:contextualSpacing/>
        <w:rPr>
          <w:rFonts w:asciiTheme="majorBidi" w:eastAsia="Times New Roman" w:hAnsiTheme="majorBidi" w:cstheme="majorBidi"/>
          <w:color w:val="000000"/>
        </w:rPr>
      </w:pPr>
      <w:r w:rsidRPr="00B76E07">
        <w:rPr>
          <w:rFonts w:asciiTheme="majorBidi" w:hAnsiTheme="majorBidi" w:cstheme="majorBidi"/>
          <w:b/>
          <w:bCs/>
        </w:rPr>
        <w:t xml:space="preserve">Table 1: Data extracted from four cited papers.  </w:t>
      </w:r>
      <w:r w:rsidRPr="00B76E07">
        <w:rPr>
          <w:rFonts w:asciiTheme="majorBidi" w:hAnsiTheme="majorBidi" w:cstheme="majorBidi"/>
        </w:rPr>
        <w:t>Each paper reported raw numbers (or percentages that could be converted to numbers for 4 categories: Seizure-free (SF) and ipsilateral inter-ictal discharges (</w:t>
      </w:r>
      <w:proofErr w:type="spellStart"/>
      <w:r w:rsidRPr="00B76E07">
        <w:rPr>
          <w:rFonts w:asciiTheme="majorBidi" w:hAnsiTheme="majorBidi" w:cstheme="majorBidi"/>
        </w:rPr>
        <w:t>Ipsi</w:t>
      </w:r>
      <w:proofErr w:type="spellEnd"/>
      <w:r w:rsidRPr="00B76E07">
        <w:rPr>
          <w:rFonts w:asciiTheme="majorBidi" w:hAnsiTheme="majorBidi" w:cstheme="majorBidi"/>
        </w:rPr>
        <w:t>), Seizure-Free and bilateral inter-ictal discharges (</w:t>
      </w:r>
      <w:proofErr w:type="spellStart"/>
      <w:r w:rsidRPr="00B76E07">
        <w:rPr>
          <w:rFonts w:asciiTheme="majorBidi" w:hAnsiTheme="majorBidi" w:cstheme="majorBidi"/>
        </w:rPr>
        <w:t>Bil</w:t>
      </w:r>
      <w:proofErr w:type="spellEnd"/>
      <w:r w:rsidRPr="00B76E07">
        <w:rPr>
          <w:rFonts w:asciiTheme="majorBidi" w:hAnsiTheme="majorBidi" w:cstheme="majorBidi"/>
        </w:rPr>
        <w:t>), Not seizure-free (N</w:t>
      </w:r>
      <w:r w:rsidR="00CB4C2C">
        <w:rPr>
          <w:rFonts w:asciiTheme="majorBidi" w:hAnsiTheme="majorBidi" w:cstheme="majorBidi"/>
        </w:rPr>
        <w:t>S</w:t>
      </w:r>
      <w:r w:rsidRPr="00B76E07">
        <w:rPr>
          <w:rFonts w:asciiTheme="majorBidi" w:hAnsiTheme="majorBidi" w:cstheme="majorBidi"/>
        </w:rPr>
        <w:t xml:space="preserve">F) and ipsilateral inter-ictal discharges, and Not seizure-free and bilateral ictal-ictal discharges.  </w:t>
      </w:r>
      <w:r>
        <w:rPr>
          <w:rFonts w:asciiTheme="majorBidi" w:hAnsiTheme="majorBidi" w:cstheme="majorBidi"/>
        </w:rPr>
        <w:t xml:space="preserve">We used the raw numbers to compute the odds-ratio (OR).  </w:t>
      </w:r>
      <w:r w:rsidRPr="00B76E07">
        <w:rPr>
          <w:rFonts w:asciiTheme="majorBidi" w:hAnsiTheme="majorBidi" w:cstheme="majorBidi"/>
        </w:rPr>
        <w:t>*OR reported as 2.56</w:t>
      </w:r>
      <w:r>
        <w:rPr>
          <w:rFonts w:asciiTheme="majorBidi" w:hAnsiTheme="majorBidi" w:cstheme="majorBidi"/>
        </w:rPr>
        <w:t xml:space="preserve"> in the manuscript</w:t>
      </w:r>
      <w:r w:rsidRPr="00B76E07">
        <w:rPr>
          <w:rFonts w:asciiTheme="majorBidi" w:hAnsiTheme="majorBidi" w:cstheme="majorBidi"/>
        </w:rPr>
        <w:t xml:space="preserve">, but number of patients and percentage matches data above.  </w:t>
      </w:r>
      <w:r w:rsidRPr="00B76E07">
        <w:rPr>
          <w:rFonts w:asciiTheme="majorBidi" w:eastAsia="Times New Roman" w:hAnsiTheme="majorBidi" w:cstheme="majorBidi"/>
          <w:color w:val="000000"/>
          <w:vertAlign w:val="superscript"/>
        </w:rPr>
        <w:t>#</w:t>
      </w:r>
      <w:r>
        <w:rPr>
          <w:rFonts w:asciiTheme="majorBidi" w:eastAsia="Times New Roman" w:hAnsiTheme="majorBidi" w:cstheme="majorBidi"/>
          <w:color w:val="000000"/>
        </w:rPr>
        <w:t>The number of b</w:t>
      </w:r>
      <w:r w:rsidRPr="00B76E07">
        <w:rPr>
          <w:rFonts w:asciiTheme="majorBidi" w:eastAsia="Times New Roman" w:hAnsiTheme="majorBidi" w:cstheme="majorBidi"/>
          <w:color w:val="000000"/>
        </w:rPr>
        <w:t xml:space="preserve">ilateral IED absent assumed to be 26, not 25, given 50% seizure free </w:t>
      </w:r>
      <w:r>
        <w:rPr>
          <w:rFonts w:asciiTheme="majorBidi" w:eastAsia="Times New Roman" w:hAnsiTheme="majorBidi" w:cstheme="majorBidi"/>
          <w:color w:val="000000"/>
        </w:rPr>
        <w:t xml:space="preserve">is </w:t>
      </w:r>
      <w:r w:rsidRPr="00B76E07">
        <w:rPr>
          <w:rFonts w:asciiTheme="majorBidi" w:eastAsia="Times New Roman" w:hAnsiTheme="majorBidi" w:cstheme="majorBidi"/>
          <w:color w:val="000000"/>
        </w:rPr>
        <w:t>not possible with 25 p</w:t>
      </w:r>
      <w:r>
        <w:rPr>
          <w:rFonts w:asciiTheme="majorBidi" w:eastAsia="Times New Roman" w:hAnsiTheme="majorBidi" w:cstheme="majorBidi"/>
          <w:color w:val="000000"/>
        </w:rPr>
        <w:t>atients</w:t>
      </w:r>
      <w:r w:rsidRPr="00B76E07">
        <w:rPr>
          <w:rFonts w:asciiTheme="majorBidi" w:eastAsia="Times New Roman" w:hAnsiTheme="majorBidi" w:cstheme="majorBidi"/>
          <w:color w:val="000000"/>
        </w:rPr>
        <w:t>.</w:t>
      </w:r>
    </w:p>
    <w:p w14:paraId="487F6697" w14:textId="77777777" w:rsidR="006F5FD3" w:rsidRPr="00B76E07" w:rsidRDefault="006F5FD3" w:rsidP="006F5FD3">
      <w:pPr>
        <w:contextualSpacing/>
        <w:rPr>
          <w:rFonts w:asciiTheme="majorBidi" w:hAnsiTheme="majorBidi" w:cstheme="majorBidi"/>
        </w:rPr>
      </w:pPr>
    </w:p>
    <w:p w14:paraId="4EDDCD73" w14:textId="2B515C2E" w:rsidR="006F5FD3" w:rsidRDefault="006F5FD3" w:rsidP="00197EA9">
      <w:pPr>
        <w:contextualSpacing/>
        <w:rPr>
          <w:rFonts w:asciiTheme="majorBidi" w:hAnsiTheme="majorBidi" w:cstheme="majorBidi"/>
          <w:b/>
          <w:bCs/>
        </w:rPr>
      </w:pPr>
      <w:r w:rsidRPr="00B76E07">
        <w:rPr>
          <w:rFonts w:asciiTheme="majorBidi" w:hAnsiTheme="majorBidi" w:cstheme="majorBidi"/>
          <w:b/>
          <w:bCs/>
        </w:rPr>
        <w:t>Appendix A: MATLAB code to estimate power to detect 80% vs. 61% seizure-free with 56 patients.</w:t>
      </w:r>
    </w:p>
    <w:p w14:paraId="6B4A1F29" w14:textId="77777777" w:rsidR="00197EA9" w:rsidRPr="00B76E07" w:rsidRDefault="00197EA9" w:rsidP="00197EA9">
      <w:pPr>
        <w:contextualSpacing/>
        <w:rPr>
          <w:rFonts w:asciiTheme="majorBidi" w:hAnsiTheme="majorBidi" w:cstheme="majorBidi"/>
          <w:b/>
          <w:bCs/>
        </w:rPr>
      </w:pPr>
    </w:p>
    <w:p w14:paraId="563A3B5E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'Kang et al 2021 - 56 patients N1 vs. N2'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13046549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n1=46; n2=10;</w:t>
      </w:r>
    </w:p>
    <w:p w14:paraId="2AAE56B8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([n1 n2])</w:t>
      </w:r>
    </w:p>
    <w:p w14:paraId="7D41A955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 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5B0A0F93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2C04513F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'4 cited articles - bilateral IED OR 2.5 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3CADA55E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a=292/(292+75);</w:t>
      </w:r>
    </w:p>
    <w:p w14:paraId="6CADEBED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b=93/(93+59);</w:t>
      </w:r>
    </w:p>
    <w:p w14:paraId="6740C8B3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'Percent Seizure Free, unilateral vs. bilateral IED:'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3B60608E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([a b]*100)</w:t>
      </w:r>
    </w:p>
    <w:p w14:paraId="7B650624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1ED733A5" w14:textId="12C1894B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numRep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=10</w:t>
      </w:r>
      <w:r w:rsidR="006A4DEE">
        <w:rPr>
          <w:rFonts w:asciiTheme="majorBidi" w:hAnsiTheme="majorBidi" w:cstheme="majorBidi"/>
          <w:color w:val="000000"/>
          <w:sz w:val="22"/>
          <w:szCs w:val="22"/>
        </w:rPr>
        <w:t>0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000; </w:t>
      </w:r>
    </w:p>
    <w:p w14:paraId="40E50773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228B22"/>
          <w:sz w:val="22"/>
          <w:szCs w:val="22"/>
        </w:rPr>
        <w:t xml:space="preserve"> </w:t>
      </w:r>
    </w:p>
    <w:p w14:paraId="2D5B9DB2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x=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binornd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(n1,a,numRep,1);</w:t>
      </w:r>
    </w:p>
    <w:p w14:paraId="2EBD841E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y=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binornd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(n2,b,numRep,1);</w:t>
      </w:r>
    </w:p>
    <w:p w14:paraId="37822D32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180C96C8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tic</w:t>
      </w:r>
    </w:p>
    <w:p w14:paraId="3601324D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FF"/>
          <w:sz w:val="22"/>
          <w:szCs w:val="22"/>
        </w:rPr>
        <w:t>for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=1:numRep</w:t>
      </w:r>
    </w:p>
    <w:p w14:paraId="66F37DED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   </w:t>
      </w:r>
      <w:r w:rsidRPr="00F36A64">
        <w:rPr>
          <w:rFonts w:asciiTheme="majorBidi" w:hAnsiTheme="majorBidi" w:cstheme="majorBidi"/>
          <w:color w:val="0000FF"/>
          <w:sz w:val="22"/>
          <w:szCs w:val="22"/>
        </w:rPr>
        <w:t>if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(mod(i,1000)==0)</w:t>
      </w:r>
    </w:p>
    <w:p w14:paraId="2632D1A7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06A1C45F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   </w:t>
      </w:r>
      <w:r w:rsidRPr="00F36A64">
        <w:rPr>
          <w:rFonts w:asciiTheme="majorBidi" w:hAnsiTheme="majorBidi" w:cstheme="majorBidi"/>
          <w:color w:val="0000FF"/>
          <w:sz w:val="22"/>
          <w:szCs w:val="22"/>
        </w:rPr>
        <w:t>end</w:t>
      </w:r>
    </w:p>
    <w:p w14:paraId="06F715AE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   z=[x(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) n1-x(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); y(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) n2-y(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)];</w:t>
      </w:r>
    </w:p>
    <w:p w14:paraId="50076B48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   [h 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pVal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i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)]=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fishertest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(z);</w:t>
      </w:r>
    </w:p>
    <w:p w14:paraId="47AB9667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FF"/>
          <w:sz w:val="22"/>
          <w:szCs w:val="22"/>
        </w:rPr>
        <w:t>end</w:t>
      </w:r>
    </w:p>
    <w:p w14:paraId="1CB5C0D1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toc</w:t>
      </w:r>
    </w:p>
    <w:p w14:paraId="03B2CBC6" w14:textId="77777777" w:rsidR="00F36A64" w:rsidRPr="00F36A64" w:rsidRDefault="00F36A64" w:rsidP="00F36A64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powerFisher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=sum(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pVal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&lt;=.05)/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numRep</w:t>
      </w:r>
      <w:proofErr w:type="spellEnd"/>
    </w:p>
    <w:p w14:paraId="6E97A9BE" w14:textId="77777777" w:rsidR="006F5FD3" w:rsidRPr="00B76E07" w:rsidRDefault="006F5FD3" w:rsidP="006F5FD3">
      <w:pPr>
        <w:contextualSpacing/>
        <w:rPr>
          <w:rFonts w:asciiTheme="majorBidi" w:hAnsiTheme="majorBidi" w:cstheme="majorBidi"/>
          <w:b/>
          <w:bCs/>
        </w:rPr>
      </w:pPr>
    </w:p>
    <w:p w14:paraId="4B57C5E0" w14:textId="77777777" w:rsidR="006F5FD3" w:rsidRPr="00B76E07" w:rsidRDefault="006F5FD3" w:rsidP="006F5FD3">
      <w:pPr>
        <w:contextualSpacing/>
        <w:rPr>
          <w:rFonts w:asciiTheme="majorBidi" w:hAnsiTheme="majorBidi" w:cstheme="majorBidi"/>
          <w:b/>
          <w:bCs/>
        </w:rPr>
      </w:pPr>
    </w:p>
    <w:p w14:paraId="014EF2ED" w14:textId="77777777" w:rsidR="006F5FD3" w:rsidRPr="00B76E07" w:rsidRDefault="006F5FD3" w:rsidP="006F5FD3">
      <w:pPr>
        <w:contextualSpacing/>
        <w:rPr>
          <w:rFonts w:asciiTheme="majorBidi" w:hAnsiTheme="majorBidi" w:cstheme="majorBidi"/>
          <w:b/>
          <w:bCs/>
        </w:rPr>
      </w:pPr>
    </w:p>
    <w:p w14:paraId="4CCA2BB0" w14:textId="77777777" w:rsidR="006F5FD3" w:rsidRPr="00B76E07" w:rsidRDefault="006F5FD3" w:rsidP="006F5FD3">
      <w:pPr>
        <w:contextualSpacing/>
        <w:rPr>
          <w:rFonts w:asciiTheme="majorBidi" w:hAnsiTheme="majorBidi" w:cstheme="majorBidi"/>
          <w:b/>
          <w:bCs/>
        </w:rPr>
      </w:pPr>
      <w:r w:rsidRPr="00B76E07">
        <w:rPr>
          <w:rFonts w:asciiTheme="majorBidi" w:hAnsiTheme="majorBidi" w:cstheme="majorBidi"/>
          <w:b/>
          <w:bCs/>
        </w:rPr>
        <w:t>Appendix B: MATLAB code to compute change in percent seizure-free with odds-ratio of 0.05 vs. odds-ratio of 0.40.</w:t>
      </w:r>
    </w:p>
    <w:p w14:paraId="689B199B" w14:textId="77777777" w:rsidR="002D63FC" w:rsidRDefault="002D63FC" w:rsidP="002D63FC">
      <w:pPr>
        <w:autoSpaceDE w:val="0"/>
        <w:autoSpaceDN w:val="0"/>
        <w:adjustRightInd w:val="0"/>
        <w:rPr>
          <w:rFonts w:ascii="Courier" w:hAnsi="Courier" w:cs="Courier"/>
          <w:color w:val="228B22"/>
          <w:sz w:val="22"/>
          <w:szCs w:val="22"/>
        </w:rPr>
      </w:pPr>
    </w:p>
    <w:p w14:paraId="665DF22A" w14:textId="11F7C05B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228B22"/>
          <w:sz w:val="22"/>
          <w:szCs w:val="22"/>
        </w:rPr>
        <w:t>%Calculate odds</w:t>
      </w:r>
    </w:p>
    <w:p w14:paraId="3D2023C7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'Percent Seizure Free, Unilateral IEDs'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15096010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lastRenderedPageBreak/>
        <w:t>preOdds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=33/13;</w:t>
      </w:r>
    </w:p>
    <w:p w14:paraId="23B70654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prePerc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=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preOdds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/(1+preOdds);</w:t>
      </w:r>
    </w:p>
    <w:p w14:paraId="3F7A870D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prePerc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*100)</w:t>
      </w:r>
    </w:p>
    <w:p w14:paraId="5A9BE2F3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295E6D54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'Percent Seizure Free, Bilateral IED with OR=0.05'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2694FC52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postOdds1=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preOdds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*.05;</w:t>
      </w:r>
    </w:p>
    <w:p w14:paraId="3CA0903C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postPerc1=postOdds1/(1+postOdds1);</w:t>
      </w:r>
    </w:p>
    <w:p w14:paraId="76CA1B58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(postPerc1*100)</w:t>
      </w:r>
    </w:p>
    <w:p w14:paraId="4287FF19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76522CEF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F36A64">
        <w:rPr>
          <w:rFonts w:asciiTheme="majorBidi" w:hAnsiTheme="majorBidi" w:cstheme="majorBidi"/>
          <w:color w:val="A020F0"/>
          <w:sz w:val="22"/>
          <w:szCs w:val="22"/>
        </w:rPr>
        <w:t>'Percent Seizure Free, Bilateral IED with OR=0.40'</w:t>
      </w:r>
      <w:r w:rsidRPr="00F36A64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14:paraId="4992B845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postOdds2=</w:t>
      </w: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preOdds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*.4;</w:t>
      </w:r>
    </w:p>
    <w:p w14:paraId="1CB41B31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F36A64">
        <w:rPr>
          <w:rFonts w:asciiTheme="majorBidi" w:hAnsiTheme="majorBidi" w:cstheme="majorBidi"/>
          <w:color w:val="000000"/>
          <w:sz w:val="22"/>
          <w:szCs w:val="22"/>
        </w:rPr>
        <w:t>postPerc2=postOdds2/(1+postOdds2);</w:t>
      </w:r>
    </w:p>
    <w:p w14:paraId="4483DE66" w14:textId="77777777" w:rsidR="002D63FC" w:rsidRPr="00F36A64" w:rsidRDefault="002D63FC" w:rsidP="002D63FC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r w:rsidRPr="00F36A64">
        <w:rPr>
          <w:rFonts w:asciiTheme="majorBidi" w:hAnsiTheme="majorBidi" w:cstheme="majorBidi"/>
          <w:color w:val="000000"/>
          <w:sz w:val="22"/>
          <w:szCs w:val="22"/>
        </w:rPr>
        <w:t>disp</w:t>
      </w:r>
      <w:proofErr w:type="spellEnd"/>
      <w:r w:rsidRPr="00F36A64">
        <w:rPr>
          <w:rFonts w:asciiTheme="majorBidi" w:hAnsiTheme="majorBidi" w:cstheme="majorBidi"/>
          <w:color w:val="000000"/>
          <w:sz w:val="22"/>
          <w:szCs w:val="22"/>
        </w:rPr>
        <w:t>(postPerc2*100)</w:t>
      </w:r>
    </w:p>
    <w:p w14:paraId="384CB596" w14:textId="77777777" w:rsidR="006F5FD3" w:rsidRPr="00B76E07" w:rsidRDefault="006F5FD3" w:rsidP="006F5FD3">
      <w:pPr>
        <w:contextualSpacing/>
        <w:rPr>
          <w:rFonts w:asciiTheme="majorBidi" w:hAnsiTheme="majorBidi" w:cstheme="majorBidi"/>
          <w:b/>
          <w:bCs/>
        </w:rPr>
      </w:pPr>
    </w:p>
    <w:p w14:paraId="7EA5D077" w14:textId="77777777" w:rsidR="00A32D4B" w:rsidRDefault="00A32D4B"/>
    <w:sectPr w:rsidR="00A32D4B" w:rsidSect="00B34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D3"/>
    <w:rsid w:val="000345D5"/>
    <w:rsid w:val="00197EA9"/>
    <w:rsid w:val="001F50E8"/>
    <w:rsid w:val="002D63FC"/>
    <w:rsid w:val="002F160F"/>
    <w:rsid w:val="00344195"/>
    <w:rsid w:val="006A4DEE"/>
    <w:rsid w:val="006F5FD3"/>
    <w:rsid w:val="00A32D4B"/>
    <w:rsid w:val="00B052D6"/>
    <w:rsid w:val="00B34E86"/>
    <w:rsid w:val="00BE5B7E"/>
    <w:rsid w:val="00CA2987"/>
    <w:rsid w:val="00CB4C2C"/>
    <w:rsid w:val="00F36A64"/>
    <w:rsid w:val="00F3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75DE"/>
  <w15:chartTrackingRefBased/>
  <w15:docId w15:val="{F808D0B5-2B28-2D4F-85C9-1661679E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Dickey, Adam</dc:creator>
  <cp:keywords/>
  <dc:description/>
  <cp:lastModifiedBy>Dickey, Adam</cp:lastModifiedBy>
  <cp:revision>9</cp:revision>
  <dcterms:created xsi:type="dcterms:W3CDTF">2021-07-26T18:31:00Z</dcterms:created>
  <dcterms:modified xsi:type="dcterms:W3CDTF">2021-07-26T19:15:00Z</dcterms:modified>
</cp:coreProperties>
</file>