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A73" w:rsidRPr="00A43226" w:rsidRDefault="00073ADE" w:rsidP="001939EC">
      <w:pPr>
        <w:jc w:val="center"/>
        <w:rPr>
          <w:rFonts w:cstheme="minorHAnsi"/>
          <w:sz w:val="24"/>
          <w:szCs w:val="24"/>
        </w:rPr>
      </w:pPr>
      <w:r>
        <w:rPr>
          <w:rFonts w:cstheme="minorHAnsi"/>
          <w:sz w:val="24"/>
          <w:szCs w:val="24"/>
        </w:rPr>
        <w:t>NCEA Scavenger Hunt</w:t>
      </w:r>
    </w:p>
    <w:p w:rsidR="001939EC" w:rsidRPr="00A43226" w:rsidRDefault="001939EC" w:rsidP="001939EC">
      <w:pPr>
        <w:jc w:val="center"/>
        <w:rPr>
          <w:rFonts w:cstheme="minorHAnsi"/>
          <w:sz w:val="24"/>
          <w:szCs w:val="24"/>
        </w:rPr>
      </w:pPr>
      <w:r w:rsidRPr="00A43226">
        <w:rPr>
          <w:rFonts w:cstheme="minorHAnsi"/>
          <w:sz w:val="24"/>
          <w:szCs w:val="24"/>
        </w:rPr>
        <w:t xml:space="preserve">Adam Stammer, </w:t>
      </w:r>
      <w:r w:rsidR="00645142">
        <w:rPr>
          <w:rFonts w:cstheme="minorHAnsi"/>
          <w:sz w:val="24"/>
          <w:szCs w:val="24"/>
        </w:rPr>
        <w:t xml:space="preserve">Luke </w:t>
      </w:r>
      <w:proofErr w:type="spellStart"/>
      <w:r w:rsidR="00645142">
        <w:rPr>
          <w:rFonts w:cstheme="minorHAnsi"/>
          <w:sz w:val="24"/>
          <w:szCs w:val="24"/>
        </w:rPr>
        <w:t>Kerstetter</w:t>
      </w:r>
      <w:proofErr w:type="spellEnd"/>
    </w:p>
    <w:p w:rsidR="001939EC" w:rsidRPr="00A43226" w:rsidRDefault="001939EC" w:rsidP="001939EC">
      <w:pPr>
        <w:pStyle w:val="ListParagraph"/>
        <w:numPr>
          <w:ilvl w:val="0"/>
          <w:numId w:val="1"/>
        </w:numPr>
        <w:rPr>
          <w:rFonts w:cstheme="minorHAnsi"/>
          <w:sz w:val="24"/>
          <w:szCs w:val="24"/>
        </w:rPr>
      </w:pPr>
      <w:r w:rsidRPr="00A43226">
        <w:rPr>
          <w:rFonts w:cstheme="minorHAnsi"/>
          <w:sz w:val="24"/>
          <w:szCs w:val="24"/>
        </w:rPr>
        <w:t>Warning signs</w:t>
      </w:r>
    </w:p>
    <w:p w:rsidR="001939EC" w:rsidRPr="00A43226" w:rsidRDefault="001939EC" w:rsidP="001939EC">
      <w:pPr>
        <w:pStyle w:val="ListParagraph"/>
        <w:numPr>
          <w:ilvl w:val="1"/>
          <w:numId w:val="1"/>
        </w:numPr>
        <w:rPr>
          <w:rFonts w:cstheme="minorHAnsi"/>
          <w:sz w:val="24"/>
          <w:szCs w:val="24"/>
        </w:rPr>
      </w:pPr>
      <w:r w:rsidRPr="00A43226">
        <w:rPr>
          <w:rFonts w:cstheme="minorHAnsi"/>
          <w:sz w:val="24"/>
          <w:szCs w:val="24"/>
        </w:rPr>
        <w:t>https://ncea.acl.gov/resources/docs/Red-Flags-Elder-Abuse-NCEA-2015.pdf</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Physical damage (bruises, marks, broken bones, burns, etc.) (physical abuse)</w:t>
      </w:r>
    </w:p>
    <w:p w:rsidR="001939EC" w:rsidRPr="00A43226" w:rsidRDefault="001939EC" w:rsidP="001939EC">
      <w:pPr>
        <w:pStyle w:val="ListParagraph"/>
        <w:numPr>
          <w:ilvl w:val="3"/>
          <w:numId w:val="1"/>
        </w:numPr>
        <w:rPr>
          <w:rFonts w:cstheme="minorHAnsi"/>
          <w:sz w:val="24"/>
          <w:szCs w:val="24"/>
        </w:rPr>
      </w:pPr>
      <w:r w:rsidRPr="00A43226">
        <w:rPr>
          <w:rFonts w:cstheme="minorHAnsi"/>
          <w:sz w:val="24"/>
          <w:szCs w:val="24"/>
        </w:rPr>
        <w:t>The location of the marks may indicate sexual abuse</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Sudden changes in alertness, or depression (emotional abuse)</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Sudden changes in financial situation (financial abuse)</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Bedsores, unattended medial needs, poor hygiene (neglect)</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Power display behavior, threats, belittling (emotional, verbal)</w:t>
      </w:r>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Strained relationships, arguments between caregiver and elder</w:t>
      </w:r>
    </w:p>
    <w:p w:rsidR="001939EC" w:rsidRPr="00A43226" w:rsidRDefault="001939EC" w:rsidP="001939EC">
      <w:pPr>
        <w:pStyle w:val="ListParagraph"/>
        <w:numPr>
          <w:ilvl w:val="0"/>
          <w:numId w:val="1"/>
        </w:numPr>
        <w:rPr>
          <w:rFonts w:cstheme="minorHAnsi"/>
          <w:sz w:val="24"/>
          <w:szCs w:val="24"/>
        </w:rPr>
      </w:pPr>
      <w:r w:rsidRPr="00A43226">
        <w:rPr>
          <w:rFonts w:cstheme="minorHAnsi"/>
          <w:sz w:val="24"/>
          <w:szCs w:val="24"/>
        </w:rPr>
        <w:t>Institutionalized Women</w:t>
      </w:r>
    </w:p>
    <w:p w:rsidR="001939EC" w:rsidRPr="00A43226" w:rsidRDefault="001939EC" w:rsidP="001939EC">
      <w:pPr>
        <w:pStyle w:val="ListParagraph"/>
        <w:numPr>
          <w:ilvl w:val="1"/>
          <w:numId w:val="1"/>
        </w:numPr>
        <w:rPr>
          <w:rFonts w:cstheme="minorHAnsi"/>
          <w:sz w:val="24"/>
          <w:szCs w:val="24"/>
        </w:rPr>
      </w:pPr>
      <w:hyperlink r:id="rId5" w:history="1">
        <w:r w:rsidRPr="00A43226">
          <w:rPr>
            <w:rStyle w:val="Hyperlink"/>
            <w:rFonts w:cstheme="minorHAnsi"/>
            <w:sz w:val="24"/>
            <w:szCs w:val="24"/>
          </w:rPr>
          <w:t>https://ncea.acl.gov/whatwedo/research/statistics.html#disabilities</w:t>
        </w:r>
      </w:hyperlink>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33%</w:t>
      </w:r>
      <w:r w:rsidR="00645142">
        <w:rPr>
          <w:rFonts w:cstheme="minorHAnsi"/>
          <w:sz w:val="24"/>
          <w:szCs w:val="24"/>
        </w:rPr>
        <w:t xml:space="preserve"> faced physical assault</w:t>
      </w:r>
    </w:p>
    <w:p w:rsidR="001939EC" w:rsidRPr="00A43226" w:rsidRDefault="001939EC" w:rsidP="001939EC">
      <w:pPr>
        <w:pStyle w:val="ListParagraph"/>
        <w:numPr>
          <w:ilvl w:val="1"/>
          <w:numId w:val="1"/>
        </w:numPr>
        <w:rPr>
          <w:rFonts w:cstheme="minorHAnsi"/>
          <w:sz w:val="24"/>
          <w:szCs w:val="24"/>
        </w:rPr>
      </w:pPr>
      <w:hyperlink r:id="rId6" w:history="1">
        <w:r w:rsidRPr="00A43226">
          <w:rPr>
            <w:rStyle w:val="Hyperlink"/>
            <w:rFonts w:cstheme="minorHAnsi"/>
            <w:sz w:val="24"/>
            <w:szCs w:val="24"/>
          </w:rPr>
          <w:t>https://ncea.acl.gov/resources/docs/Abuse-Adults-Disabilities-2012.pdf</w:t>
        </w:r>
      </w:hyperlink>
    </w:p>
    <w:p w:rsidR="001939EC" w:rsidRPr="00A43226" w:rsidRDefault="001939EC" w:rsidP="001939EC">
      <w:pPr>
        <w:pStyle w:val="ListParagraph"/>
        <w:numPr>
          <w:ilvl w:val="2"/>
          <w:numId w:val="1"/>
        </w:numPr>
        <w:rPr>
          <w:rFonts w:cstheme="minorHAnsi"/>
          <w:sz w:val="24"/>
          <w:szCs w:val="24"/>
        </w:rPr>
      </w:pPr>
      <w:r w:rsidRPr="00A43226">
        <w:rPr>
          <w:rFonts w:cstheme="minorHAnsi"/>
          <w:sz w:val="24"/>
          <w:szCs w:val="24"/>
        </w:rPr>
        <w:t>53%</w:t>
      </w:r>
      <w:r w:rsidR="00645142">
        <w:rPr>
          <w:rFonts w:cstheme="minorHAnsi"/>
          <w:sz w:val="24"/>
          <w:szCs w:val="24"/>
        </w:rPr>
        <w:t xml:space="preserve"> sexual assault</w:t>
      </w:r>
    </w:p>
    <w:p w:rsidR="00A43226" w:rsidRPr="00A43226" w:rsidRDefault="00A43226" w:rsidP="00A43226">
      <w:pPr>
        <w:numPr>
          <w:ilvl w:val="0"/>
          <w:numId w:val="1"/>
        </w:numPr>
        <w:spacing w:before="100" w:beforeAutospacing="1" w:after="100" w:afterAutospacing="1" w:line="240" w:lineRule="auto"/>
        <w:rPr>
          <w:rFonts w:eastAsia="Times New Roman" w:cstheme="minorHAnsi"/>
          <w:sz w:val="24"/>
          <w:szCs w:val="24"/>
        </w:rPr>
      </w:pPr>
      <w:hyperlink r:id="rId7" w:history="1">
        <w:r w:rsidRPr="00A43226">
          <w:rPr>
            <w:rStyle w:val="Hyperlink"/>
            <w:rFonts w:eastAsia="Times New Roman" w:cstheme="minorHAnsi"/>
            <w:sz w:val="24"/>
            <w:szCs w:val="24"/>
          </w:rPr>
          <w:t>https://ncea.acl.gov/whatwedo/practice/intervention-ltc.html</w:t>
        </w:r>
      </w:hyperlink>
      <w:r w:rsidRPr="00A43226">
        <w:rPr>
          <w:rFonts w:eastAsia="Times New Roman" w:cstheme="minorHAnsi"/>
          <w:sz w:val="24"/>
          <w:szCs w:val="24"/>
        </w:rPr>
        <w:br/>
        <w:t>A long term care Ombudsman is an official assigned with bettering the lives of care patients by representing patients and investigating complaints and reports. These reports are very often involved with abuse. In addition, they provide the following:</w:t>
      </w:r>
    </w:p>
    <w:p w:rsidR="00A43226"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Educate patients and patient families of their rights</w:t>
      </w:r>
    </w:p>
    <w:p w:rsidR="00A43226"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Give patients a regular time to meet in person with them</w:t>
      </w:r>
    </w:p>
    <w:p w:rsidR="00A43226"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Other anti-abuse task forces</w:t>
      </w:r>
    </w:p>
    <w:p w:rsidR="00A43226"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Promoting further legal protections for patients</w:t>
      </w:r>
    </w:p>
    <w:p w:rsidR="001939EC"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Promotion of other organizations that benefit patients</w:t>
      </w:r>
    </w:p>
    <w:p w:rsidR="00A43226" w:rsidRPr="00A43226" w:rsidRDefault="00A43226" w:rsidP="00A43226">
      <w:pPr>
        <w:numPr>
          <w:ilvl w:val="0"/>
          <w:numId w:val="1"/>
        </w:numPr>
        <w:spacing w:before="100" w:beforeAutospacing="1" w:after="100" w:afterAutospacing="1" w:line="240" w:lineRule="auto"/>
        <w:rPr>
          <w:rFonts w:eastAsia="Times New Roman" w:cstheme="minorHAnsi"/>
          <w:sz w:val="24"/>
          <w:szCs w:val="24"/>
        </w:rPr>
      </w:pPr>
      <w:hyperlink r:id="rId8" w:history="1">
        <w:r w:rsidRPr="00A43226">
          <w:rPr>
            <w:rStyle w:val="Hyperlink"/>
            <w:rFonts w:eastAsia="Times New Roman" w:cstheme="minorHAnsi"/>
            <w:sz w:val="24"/>
            <w:szCs w:val="24"/>
          </w:rPr>
          <w:t>https://ncea.acl.gov/resources/state.html#Minnesota</w:t>
        </w:r>
      </w:hyperlink>
      <w:r>
        <w:rPr>
          <w:rFonts w:eastAsia="Times New Roman" w:cstheme="minorHAnsi"/>
          <w:sz w:val="24"/>
          <w:szCs w:val="24"/>
        </w:rPr>
        <w:br/>
        <w:t xml:space="preserve">Minnesota has the following </w:t>
      </w:r>
      <w:r w:rsidR="00073ADE">
        <w:rPr>
          <w:rFonts w:eastAsia="Times New Roman" w:cstheme="minorHAnsi"/>
          <w:sz w:val="24"/>
          <w:szCs w:val="24"/>
        </w:rPr>
        <w:t>resources available to assist in elder abuse prevention</w:t>
      </w:r>
    </w:p>
    <w:p w:rsidR="00A43226" w:rsidRPr="00A43226" w:rsidRDefault="00A43226" w:rsidP="00A43226">
      <w:pPr>
        <w:numPr>
          <w:ilvl w:val="1"/>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The following state agencies</w:t>
      </w:r>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9" w:tgtFrame="_blank" w:history="1">
        <w:r w:rsidRPr="00A43226">
          <w:rPr>
            <w:rStyle w:val="Hyperlink"/>
            <w:rFonts w:cstheme="minorHAnsi"/>
            <w:sz w:val="24"/>
            <w:szCs w:val="24"/>
          </w:rPr>
          <w:t>Minnesota Board on Aging</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0" w:tgtFrame="_blank" w:history="1">
        <w:r w:rsidRPr="00A43226">
          <w:rPr>
            <w:rStyle w:val="Hyperlink"/>
            <w:rFonts w:cstheme="minorHAnsi"/>
            <w:sz w:val="24"/>
            <w:szCs w:val="24"/>
          </w:rPr>
          <w:t>Minnesota Department of Health</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1" w:tgtFrame="_blank" w:history="1">
        <w:r w:rsidRPr="00A43226">
          <w:rPr>
            <w:rStyle w:val="Hyperlink"/>
            <w:rFonts w:cstheme="minorHAnsi"/>
            <w:sz w:val="24"/>
            <w:szCs w:val="24"/>
          </w:rPr>
          <w:t>Minnesota Department of Human Services Licensing</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2" w:tgtFrame="_blank" w:history="1">
        <w:r w:rsidRPr="00A43226">
          <w:rPr>
            <w:rStyle w:val="Hyperlink"/>
            <w:rFonts w:cstheme="minorHAnsi"/>
            <w:sz w:val="24"/>
            <w:szCs w:val="24"/>
          </w:rPr>
          <w:t>Minnesota Office of Ombudsman for Long-Term Care</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3" w:tgtFrame="_blank" w:history="1">
        <w:r w:rsidRPr="00A43226">
          <w:rPr>
            <w:rStyle w:val="Hyperlink"/>
            <w:rFonts w:cstheme="minorHAnsi"/>
            <w:sz w:val="24"/>
            <w:szCs w:val="24"/>
          </w:rPr>
          <w:t>Minnesota Office of Attorney General</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4" w:tgtFrame="_blank" w:history="1">
        <w:r w:rsidRPr="00A43226">
          <w:rPr>
            <w:rStyle w:val="Hyperlink"/>
            <w:rFonts w:cstheme="minorHAnsi"/>
            <w:sz w:val="24"/>
            <w:szCs w:val="24"/>
          </w:rPr>
          <w:t>Minnesota Adult Abuse Reporting Center</w:t>
        </w:r>
      </w:hyperlink>
    </w:p>
    <w:p w:rsidR="00A43226" w:rsidRPr="00A43226" w:rsidRDefault="00A43226" w:rsidP="00A43226">
      <w:pPr>
        <w:numPr>
          <w:ilvl w:val="2"/>
          <w:numId w:val="1"/>
        </w:numPr>
        <w:spacing w:before="100" w:beforeAutospacing="1" w:after="100" w:afterAutospacing="1" w:line="240" w:lineRule="auto"/>
        <w:rPr>
          <w:rFonts w:cstheme="minorHAnsi"/>
          <w:sz w:val="24"/>
          <w:szCs w:val="24"/>
        </w:rPr>
      </w:pPr>
      <w:hyperlink r:id="rId15" w:tgtFrame="_blank" w:history="1">
        <w:r w:rsidRPr="00A43226">
          <w:rPr>
            <w:rStyle w:val="Hyperlink"/>
            <w:rFonts w:cstheme="minorHAnsi"/>
            <w:sz w:val="24"/>
            <w:szCs w:val="24"/>
          </w:rPr>
          <w:t>Minnesota Office of Inspector General</w:t>
        </w:r>
      </w:hyperlink>
    </w:p>
    <w:p w:rsidR="00A43226" w:rsidRPr="00A43226" w:rsidRDefault="00A43226" w:rsidP="00A43226">
      <w:pPr>
        <w:numPr>
          <w:ilvl w:val="1"/>
          <w:numId w:val="1"/>
        </w:numPr>
        <w:spacing w:before="100" w:beforeAutospacing="1" w:after="100" w:afterAutospacing="1" w:line="240" w:lineRule="auto"/>
        <w:rPr>
          <w:rFonts w:cstheme="minorHAnsi"/>
          <w:sz w:val="24"/>
          <w:szCs w:val="24"/>
        </w:rPr>
      </w:pPr>
      <w:r w:rsidRPr="00A43226">
        <w:rPr>
          <w:rFonts w:cstheme="minorHAnsi"/>
          <w:sz w:val="24"/>
          <w:szCs w:val="24"/>
        </w:rPr>
        <w:t>The following numbers</w:t>
      </w:r>
    </w:p>
    <w:p w:rsidR="00A43226" w:rsidRPr="00A43226" w:rsidRDefault="00A43226" w:rsidP="00A43226">
      <w:pPr>
        <w:numPr>
          <w:ilvl w:val="2"/>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844-880-1574 (Adult Abuse Reporting Center)</w:t>
      </w:r>
    </w:p>
    <w:p w:rsidR="00A43226" w:rsidRPr="00A43226" w:rsidRDefault="00A43226" w:rsidP="00A43226">
      <w:pPr>
        <w:numPr>
          <w:ilvl w:val="2"/>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800-333-2433 (Senior Linkage Line)</w:t>
      </w:r>
    </w:p>
    <w:p w:rsidR="00A43226" w:rsidRPr="00A43226" w:rsidRDefault="00A43226" w:rsidP="00A43226">
      <w:pPr>
        <w:numPr>
          <w:ilvl w:val="3"/>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Informational line that can direct calls further</w:t>
      </w:r>
    </w:p>
    <w:p w:rsidR="00A43226" w:rsidRDefault="00A43226" w:rsidP="00A43226">
      <w:pPr>
        <w:numPr>
          <w:ilvl w:val="2"/>
          <w:numId w:val="1"/>
        </w:numPr>
        <w:spacing w:before="100" w:beforeAutospacing="1" w:after="100" w:afterAutospacing="1" w:line="240" w:lineRule="auto"/>
        <w:rPr>
          <w:rFonts w:eastAsia="Times New Roman" w:cstheme="minorHAnsi"/>
          <w:sz w:val="24"/>
          <w:szCs w:val="24"/>
        </w:rPr>
      </w:pPr>
      <w:r w:rsidRPr="00A43226">
        <w:rPr>
          <w:rFonts w:eastAsia="Times New Roman" w:cstheme="minorHAnsi"/>
          <w:sz w:val="24"/>
          <w:szCs w:val="24"/>
        </w:rPr>
        <w:t>800-627-3529 (</w:t>
      </w:r>
      <w:r w:rsidRPr="00A43226">
        <w:rPr>
          <w:rFonts w:cstheme="minorHAnsi"/>
          <w:sz w:val="24"/>
          <w:szCs w:val="24"/>
        </w:rPr>
        <w:t>Minnesota Office of Ombudsman for Long-Term Care</w:t>
      </w:r>
      <w:r w:rsidRPr="00A43226">
        <w:rPr>
          <w:rFonts w:eastAsia="Times New Roman" w:cstheme="minorHAnsi"/>
          <w:sz w:val="24"/>
          <w:szCs w:val="24"/>
        </w:rPr>
        <w:t>)</w:t>
      </w:r>
    </w:p>
    <w:p w:rsidR="00A43226" w:rsidRDefault="00073ADE" w:rsidP="00A43226">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To help the community understand and potentially help the NCEA offers certain trainings</w:t>
      </w:r>
    </w:p>
    <w:p w:rsidR="00073ADE" w:rsidRDefault="00073ADE" w:rsidP="00073ADE">
      <w:pPr>
        <w:numPr>
          <w:ilvl w:val="1"/>
          <w:numId w:val="1"/>
        </w:numPr>
        <w:spacing w:before="100" w:beforeAutospacing="1" w:after="100" w:afterAutospacing="1" w:line="240" w:lineRule="auto"/>
        <w:rPr>
          <w:rFonts w:eastAsia="Times New Roman" w:cstheme="minorHAnsi"/>
          <w:sz w:val="24"/>
          <w:szCs w:val="24"/>
        </w:rPr>
      </w:pPr>
      <w:hyperlink r:id="rId16" w:history="1">
        <w:r w:rsidRPr="00EA0F9D">
          <w:rPr>
            <w:rStyle w:val="Hyperlink"/>
            <w:rFonts w:eastAsia="Times New Roman" w:cstheme="minorHAnsi"/>
            <w:sz w:val="24"/>
            <w:szCs w:val="24"/>
          </w:rPr>
          <w:t>https://ncea.acl.gov/whatwedo/education/videos.html</w:t>
        </w:r>
      </w:hyperlink>
      <w:r>
        <w:rPr>
          <w:rFonts w:eastAsia="Times New Roman" w:cstheme="minorHAnsi"/>
          <w:sz w:val="24"/>
          <w:szCs w:val="24"/>
        </w:rPr>
        <w:br/>
        <w:t>Training videos are available at the link above. The videos seem to focus on identifying elder abuse, and what to do about it when it is identified.</w:t>
      </w:r>
    </w:p>
    <w:p w:rsidR="00073ADE" w:rsidRDefault="00073ADE" w:rsidP="00073ADE">
      <w:pPr>
        <w:numPr>
          <w:ilvl w:val="1"/>
          <w:numId w:val="1"/>
        </w:numPr>
        <w:spacing w:before="100" w:beforeAutospacing="1" w:after="100" w:afterAutospacing="1" w:line="240" w:lineRule="auto"/>
        <w:rPr>
          <w:rFonts w:eastAsia="Times New Roman" w:cstheme="minorHAnsi"/>
          <w:sz w:val="24"/>
          <w:szCs w:val="24"/>
        </w:rPr>
      </w:pPr>
      <w:hyperlink r:id="rId17" w:history="1">
        <w:r w:rsidRPr="00EA0F9D">
          <w:rPr>
            <w:rStyle w:val="Hyperlink"/>
            <w:rFonts w:eastAsia="Times New Roman" w:cstheme="minorHAnsi"/>
            <w:sz w:val="24"/>
            <w:szCs w:val="24"/>
          </w:rPr>
          <w:t>https://ncea.acl.gov/whatwedo/education/curricula.html</w:t>
        </w:r>
      </w:hyperlink>
      <w:r>
        <w:rPr>
          <w:rFonts w:eastAsia="Times New Roman" w:cstheme="minorHAnsi"/>
          <w:sz w:val="24"/>
          <w:szCs w:val="24"/>
        </w:rPr>
        <w:br/>
        <w:t>Many documents are available to assist in the training of others. Almost like a classroom setting type of worksheets.</w:t>
      </w:r>
    </w:p>
    <w:p w:rsidR="00073ADE" w:rsidRDefault="00073ADE" w:rsidP="00073ADE">
      <w:pPr>
        <w:numPr>
          <w:ilvl w:val="1"/>
          <w:numId w:val="1"/>
        </w:numPr>
        <w:spacing w:before="100" w:beforeAutospacing="1" w:after="100" w:afterAutospacing="1" w:line="240" w:lineRule="auto"/>
        <w:rPr>
          <w:rFonts w:eastAsia="Times New Roman" w:cstheme="minorHAnsi"/>
          <w:sz w:val="24"/>
          <w:szCs w:val="24"/>
        </w:rPr>
      </w:pPr>
      <w:hyperlink r:id="rId18" w:history="1">
        <w:r w:rsidRPr="00EA0F9D">
          <w:rPr>
            <w:rStyle w:val="Hyperlink"/>
            <w:rFonts w:eastAsia="Times New Roman" w:cstheme="minorHAnsi"/>
            <w:sz w:val="24"/>
            <w:szCs w:val="24"/>
          </w:rPr>
          <w:t>https://ncea.acl.gov/resources/calendar.html</w:t>
        </w:r>
      </w:hyperlink>
      <w:r>
        <w:rPr>
          <w:rFonts w:eastAsia="Times New Roman" w:cstheme="minorHAnsi"/>
          <w:sz w:val="24"/>
          <w:szCs w:val="24"/>
        </w:rPr>
        <w:br/>
        <w:t>They also have a calendar of events through which community members and orga</w:t>
      </w:r>
      <w:bookmarkStart w:id="0" w:name="_GoBack"/>
      <w:bookmarkEnd w:id="0"/>
      <w:r>
        <w:rPr>
          <w:rFonts w:eastAsia="Times New Roman" w:cstheme="minorHAnsi"/>
          <w:sz w:val="24"/>
          <w:szCs w:val="24"/>
        </w:rPr>
        <w:t>nizations can help and show support.</w:t>
      </w:r>
    </w:p>
    <w:p w:rsidR="00073ADE" w:rsidRPr="00A43226" w:rsidRDefault="00073ADE" w:rsidP="00073AD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We imagine that your state ombudsman of long term care would have even more resources and ideas in which people could show support, including more local events, and state specific trainings.</w:t>
      </w:r>
    </w:p>
    <w:sectPr w:rsidR="00073ADE" w:rsidRPr="00A4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D2BB0"/>
    <w:multiLevelType w:val="hybridMultilevel"/>
    <w:tmpl w:val="51B85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4CA"/>
    <w:multiLevelType w:val="multilevel"/>
    <w:tmpl w:val="29E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17A8C"/>
    <w:multiLevelType w:val="multilevel"/>
    <w:tmpl w:val="4DB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B76C0"/>
    <w:multiLevelType w:val="multilevel"/>
    <w:tmpl w:val="020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EC"/>
    <w:rsid w:val="00073ADE"/>
    <w:rsid w:val="001939EC"/>
    <w:rsid w:val="00645142"/>
    <w:rsid w:val="00943A73"/>
    <w:rsid w:val="00A43226"/>
    <w:rsid w:val="00C2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3104"/>
  <w15:chartTrackingRefBased/>
  <w15:docId w15:val="{AA66A248-A8D4-47DC-A7E4-B4C43ED0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9EC"/>
    <w:pPr>
      <w:ind w:left="720"/>
      <w:contextualSpacing/>
    </w:pPr>
  </w:style>
  <w:style w:type="character" w:styleId="Hyperlink">
    <w:name w:val="Hyperlink"/>
    <w:basedOn w:val="DefaultParagraphFont"/>
    <w:uiPriority w:val="99"/>
    <w:unhideWhenUsed/>
    <w:rsid w:val="001939EC"/>
    <w:rPr>
      <w:color w:val="0563C1" w:themeColor="hyperlink"/>
      <w:u w:val="single"/>
    </w:rPr>
  </w:style>
  <w:style w:type="character" w:styleId="UnresolvedMention">
    <w:name w:val="Unresolved Mention"/>
    <w:basedOn w:val="DefaultParagraphFont"/>
    <w:uiPriority w:val="99"/>
    <w:semiHidden/>
    <w:unhideWhenUsed/>
    <w:rsid w:val="001939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5239">
      <w:bodyDiv w:val="1"/>
      <w:marLeft w:val="0"/>
      <w:marRight w:val="0"/>
      <w:marTop w:val="0"/>
      <w:marBottom w:val="0"/>
      <w:divBdr>
        <w:top w:val="none" w:sz="0" w:space="0" w:color="auto"/>
        <w:left w:val="none" w:sz="0" w:space="0" w:color="auto"/>
        <w:bottom w:val="none" w:sz="0" w:space="0" w:color="auto"/>
        <w:right w:val="none" w:sz="0" w:space="0" w:color="auto"/>
      </w:divBdr>
    </w:div>
    <w:div w:id="1217157869">
      <w:bodyDiv w:val="1"/>
      <w:marLeft w:val="0"/>
      <w:marRight w:val="0"/>
      <w:marTop w:val="0"/>
      <w:marBottom w:val="0"/>
      <w:divBdr>
        <w:top w:val="none" w:sz="0" w:space="0" w:color="auto"/>
        <w:left w:val="none" w:sz="0" w:space="0" w:color="auto"/>
        <w:bottom w:val="none" w:sz="0" w:space="0" w:color="auto"/>
        <w:right w:val="none" w:sz="0" w:space="0" w:color="auto"/>
      </w:divBdr>
    </w:div>
    <w:div w:id="17686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a.acl.gov/resources/state.html#Minnesota" TargetMode="External"/><Relationship Id="rId13" Type="http://schemas.openxmlformats.org/officeDocument/2006/relationships/hyperlink" Target="http://www.ag.state.mn.us/Consumer/Seniors/Default.asp" TargetMode="External"/><Relationship Id="rId18" Type="http://schemas.openxmlformats.org/officeDocument/2006/relationships/hyperlink" Target="https://ncea.acl.gov/resources/calendar.html" TargetMode="External"/><Relationship Id="rId3" Type="http://schemas.openxmlformats.org/officeDocument/2006/relationships/settings" Target="settings.xml"/><Relationship Id="rId7" Type="http://schemas.openxmlformats.org/officeDocument/2006/relationships/hyperlink" Target="https://ncea.acl.gov/whatwedo/practice/intervention-ltc.html" TargetMode="External"/><Relationship Id="rId12" Type="http://schemas.openxmlformats.org/officeDocument/2006/relationships/hyperlink" Target="http://www.mnaging.net/en/Advocate/OLTC.aspx" TargetMode="External"/><Relationship Id="rId17" Type="http://schemas.openxmlformats.org/officeDocument/2006/relationships/hyperlink" Target="https://ncea.acl.gov/whatwedo/education/curricula.html" TargetMode="External"/><Relationship Id="rId2" Type="http://schemas.openxmlformats.org/officeDocument/2006/relationships/styles" Target="styles.xml"/><Relationship Id="rId16" Type="http://schemas.openxmlformats.org/officeDocument/2006/relationships/hyperlink" Target="https://ncea.acl.gov/whatwedo/education/video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cea.acl.gov/resources/docs/Abuse-Adults-Disabilities-2012.pdf" TargetMode="External"/><Relationship Id="rId11" Type="http://schemas.openxmlformats.org/officeDocument/2006/relationships/hyperlink" Target="http://mn.gov/dhs/general-public/licensing/" TargetMode="External"/><Relationship Id="rId5" Type="http://schemas.openxmlformats.org/officeDocument/2006/relationships/hyperlink" Target="https://ncea.acl.gov/whatwedo/research/statistics.html#disabilities" TargetMode="External"/><Relationship Id="rId15" Type="http://schemas.openxmlformats.org/officeDocument/2006/relationships/hyperlink" Target="http://mn.gov/dhs/general-public/office-of-inspector-general/" TargetMode="External"/><Relationship Id="rId10" Type="http://schemas.openxmlformats.org/officeDocument/2006/relationships/hyperlink" Target="http://www.health.state.mn.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naging.net/en.aspx" TargetMode="External"/><Relationship Id="rId14" Type="http://schemas.openxmlformats.org/officeDocument/2006/relationships/hyperlink" Target="http://mn.gov/dhs/people-we-serve/adults/services/adult-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Stammer, Adam R</dc:creator>
  <cp:keywords/>
  <dc:description/>
  <cp:lastModifiedBy>Stammer, Adam R</cp:lastModifiedBy>
  <cp:revision>2</cp:revision>
  <dcterms:created xsi:type="dcterms:W3CDTF">2018-11-29T18:37:00Z</dcterms:created>
  <dcterms:modified xsi:type="dcterms:W3CDTF">2018-11-29T19:48:00Z</dcterms:modified>
</cp:coreProperties>
</file>