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i w:val="0"/>
          <w:color w:val="0070A3"/>
          <w:sz w:val="36"/>
        </w:rPr>
        <w:t>Stevenage Borough Council</w:t>
      </w:r>
    </w:p>
    <w:p>
      <w:pPr>
        <w:spacing w:after="160"/>
        <w:jc w:val="center"/>
      </w:pPr>
      <w:r>
        <w:rPr>
          <w:rFonts w:ascii="Arial" w:hAnsi="Arial"/>
          <w:b/>
          <w:i w:val="0"/>
          <w:color w:val="0070A3"/>
          <w:sz w:val="44"/>
        </w:rPr>
        <w:t>Appendix B County-Level Service Inclusion Report</w:t>
      </w:r>
    </w:p>
    <w:p>
      <w:pPr>
        <w:spacing w:after="80"/>
        <w:jc w:val="center"/>
      </w:pPr>
      <w:r>
        <w:rPr>
          <w:rFonts w:ascii="Arial" w:hAnsi="Arial"/>
          <w:b w:val="0"/>
          <w:i/>
          <w:sz w:val="24"/>
        </w:rPr>
        <w:t>Supporting the LGR Enterprise Architecture Operating Model Strategy</w:t>
      </w:r>
    </w:p>
    <w:p>
      <w:pPr>
        <w:spacing w:after="480"/>
        <w:jc w:val="center"/>
      </w:pPr>
      <w:r>
        <w:rPr>
          <w:rFonts w:ascii="Arial" w:hAnsi="Arial"/>
          <w:b/>
          <w:i w:val="0"/>
          <w:sz w:val="24"/>
        </w:rPr>
        <w:t>2026 - 2030</w:t>
      </w:r>
    </w:p>
    <w:p>
      <w:pPr>
        <w:spacing w:after="360"/>
      </w:pPr>
      <w:r>
        <w:rPr>
          <w:rFonts w:ascii="Arial" w:hAnsi="Arial"/>
          <w:b w:val="0"/>
          <w:i w:val="0"/>
          <w:sz w:val="24"/>
        </w:rPr>
        <w:t xml:space="preserve"> </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top"/>
          </w:tcPr>
          <w:p>
            <w:pPr>
              <w:spacing w:after="40"/>
              <w:jc w:val="left"/>
            </w:pPr>
            <w:r/>
            <w:r>
              <w:rPr>
                <w:rFonts w:ascii="Arial" w:hAnsi="Arial"/>
                <w:b/>
                <w:i w:val="0"/>
                <w:sz w:val="18"/>
              </w:rPr>
              <w:t>Date created</w:t>
            </w:r>
          </w:p>
        </w:tc>
        <w:tc>
          <w:tcPr>
            <w:tcW w:type="dxa" w:w="4986"/>
            <w:vAlign w:val="top"/>
          </w:tcPr>
          <w:p>
            <w:pPr>
              <w:spacing w:after="40"/>
              <w:jc w:val="left"/>
            </w:pPr>
            <w:r/>
            <w:r>
              <w:rPr>
                <w:rFonts w:ascii="Arial" w:hAnsi="Arial"/>
                <w:b w:val="0"/>
                <w:i w:val="0"/>
                <w:sz w:val="18"/>
              </w:rPr>
              <w:t>June 2026</w:t>
            </w:r>
          </w:p>
        </w:tc>
      </w:tr>
      <w:tr>
        <w:tc>
          <w:tcPr>
            <w:tcW w:type="dxa" w:w="4986"/>
            <w:shd w:fill="D9EAD3"/>
            <w:vAlign w:val="top"/>
          </w:tcPr>
          <w:p>
            <w:pPr>
              <w:spacing w:after="40"/>
              <w:jc w:val="left"/>
            </w:pPr>
            <w:r/>
            <w:r>
              <w:rPr>
                <w:rFonts w:ascii="Arial" w:hAnsi="Arial"/>
                <w:b/>
                <w:i w:val="0"/>
                <w:sz w:val="18"/>
              </w:rPr>
              <w:t>Approved by</w:t>
            </w:r>
          </w:p>
        </w:tc>
        <w:tc>
          <w:tcPr>
            <w:tcW w:type="dxa" w:w="4986"/>
            <w:vAlign w:val="top"/>
          </w:tcPr>
          <w:p>
            <w:pPr>
              <w:spacing w:after="40"/>
              <w:jc w:val="left"/>
            </w:pPr>
            <w:r/>
            <w:r>
              <w:rPr>
                <w:rFonts w:ascii="Arial" w:hAnsi="Arial"/>
                <w:b w:val="0"/>
                <w:i w:val="0"/>
                <w:sz w:val="18"/>
              </w:rPr>
              <w:t>Executive Director – Transformation &amp; Digital</w:t>
            </w:r>
          </w:p>
        </w:tc>
      </w:tr>
      <w:tr>
        <w:tc>
          <w:tcPr>
            <w:tcW w:type="dxa" w:w="4986"/>
            <w:shd w:fill="D9EAD3"/>
            <w:vAlign w:val="top"/>
          </w:tcPr>
          <w:p>
            <w:pPr>
              <w:spacing w:after="40"/>
              <w:jc w:val="left"/>
            </w:pPr>
            <w:r/>
            <w:r>
              <w:rPr>
                <w:rFonts w:ascii="Arial" w:hAnsi="Arial"/>
                <w:b/>
                <w:i w:val="0"/>
                <w:sz w:val="18"/>
              </w:rPr>
              <w:t>Owner</w:t>
            </w:r>
          </w:p>
        </w:tc>
        <w:tc>
          <w:tcPr>
            <w:tcW w:type="dxa" w:w="4986"/>
            <w:vAlign w:val="top"/>
          </w:tcPr>
          <w:p>
            <w:pPr>
              <w:spacing w:after="40"/>
              <w:jc w:val="left"/>
            </w:pPr>
            <w:r/>
            <w:r>
              <w:rPr>
                <w:rFonts w:ascii="Arial" w:hAnsi="Arial"/>
                <w:b w:val="0"/>
                <w:i w:val="0"/>
                <w:sz w:val="18"/>
              </w:rPr>
              <w:t>Head of Enterprise Architecture</w:t>
            </w:r>
          </w:p>
        </w:tc>
      </w:tr>
      <w:tr>
        <w:tc>
          <w:tcPr>
            <w:tcW w:type="dxa" w:w="4986"/>
            <w:shd w:fill="D9EAD3"/>
            <w:vAlign w:val="top"/>
          </w:tcPr>
          <w:p>
            <w:pPr>
              <w:spacing w:after="40"/>
              <w:jc w:val="left"/>
            </w:pPr>
            <w:r/>
            <w:r>
              <w:rPr>
                <w:rFonts w:ascii="Arial" w:hAnsi="Arial"/>
                <w:b/>
                <w:i w:val="0"/>
                <w:sz w:val="18"/>
              </w:rPr>
              <w:t>Version</w:t>
            </w:r>
          </w:p>
        </w:tc>
        <w:tc>
          <w:tcPr>
            <w:tcW w:type="dxa" w:w="4986"/>
            <w:vAlign w:val="top"/>
          </w:tcPr>
          <w:p>
            <w:pPr>
              <w:spacing w:after="40"/>
              <w:jc w:val="left"/>
            </w:pPr>
            <w:r/>
            <w:r>
              <w:rPr>
                <w:rFonts w:ascii="Arial" w:hAnsi="Arial"/>
                <w:b w:val="0"/>
                <w:i w:val="0"/>
                <w:sz w:val="18"/>
              </w:rPr>
              <w:t>0.1 Draft</w:t>
            </w:r>
          </w:p>
        </w:tc>
      </w:tr>
      <w:tr>
        <w:tc>
          <w:tcPr>
            <w:tcW w:type="dxa" w:w="4986"/>
            <w:shd w:fill="D9EAD3"/>
            <w:vAlign w:val="top"/>
          </w:tcPr>
          <w:p>
            <w:pPr>
              <w:spacing w:after="40"/>
              <w:jc w:val="left"/>
            </w:pPr>
            <w:r/>
            <w:r>
              <w:rPr>
                <w:rFonts w:ascii="Arial" w:hAnsi="Arial"/>
                <w:b/>
                <w:i w:val="0"/>
                <w:sz w:val="18"/>
              </w:rPr>
              <w:t>Author</w:t>
            </w:r>
          </w:p>
        </w:tc>
        <w:tc>
          <w:tcPr>
            <w:tcW w:type="dxa" w:w="4986"/>
            <w:vAlign w:val="top"/>
          </w:tcPr>
          <w:p>
            <w:pPr>
              <w:spacing w:after="40"/>
              <w:jc w:val="left"/>
            </w:pPr>
            <w:r/>
            <w:r>
              <w:rPr>
                <w:rFonts w:ascii="Arial" w:hAnsi="Arial"/>
                <w:b w:val="0"/>
                <w:i w:val="0"/>
                <w:sz w:val="18"/>
              </w:rPr>
              <w:t>Adam Staples, Head of Enterprise Architecture</w:t>
            </w:r>
          </w:p>
        </w:tc>
      </w:tr>
      <w:tr>
        <w:tc>
          <w:tcPr>
            <w:tcW w:type="dxa" w:w="4986"/>
            <w:shd w:fill="D9EAD3"/>
            <w:vAlign w:val="top"/>
          </w:tcPr>
          <w:p>
            <w:pPr>
              <w:spacing w:after="40"/>
              <w:jc w:val="left"/>
            </w:pPr>
            <w:r/>
            <w:r>
              <w:rPr>
                <w:rFonts w:ascii="Arial" w:hAnsi="Arial"/>
                <w:b/>
                <w:i w:val="0"/>
                <w:sz w:val="18"/>
              </w:rPr>
              <w:t>Business Unit</w:t>
            </w:r>
          </w:p>
        </w:tc>
        <w:tc>
          <w:tcPr>
            <w:tcW w:type="dxa" w:w="4986"/>
            <w:vAlign w:val="top"/>
          </w:tcPr>
          <w:p>
            <w:pPr>
              <w:spacing w:after="40"/>
              <w:jc w:val="left"/>
            </w:pPr>
            <w:r/>
            <w:r>
              <w:rPr>
                <w:rFonts w:ascii="Arial" w:hAnsi="Arial"/>
                <w:b w:val="0"/>
                <w:i w:val="0"/>
                <w:sz w:val="18"/>
              </w:rPr>
              <w:t>Transformation &amp; Digital</w:t>
            </w:r>
          </w:p>
        </w:tc>
      </w:tr>
      <w:tr>
        <w:tc>
          <w:tcPr>
            <w:tcW w:type="dxa" w:w="4986"/>
            <w:shd w:fill="D9EAD3"/>
            <w:vAlign w:val="top"/>
          </w:tcPr>
          <w:p>
            <w:pPr>
              <w:spacing w:after="40"/>
              <w:jc w:val="left"/>
            </w:pPr>
            <w:r/>
            <w:r>
              <w:rPr>
                <w:rFonts w:ascii="Arial" w:hAnsi="Arial"/>
                <w:b/>
                <w:i w:val="0"/>
                <w:sz w:val="18"/>
              </w:rPr>
              <w:t>Strategy Review Date</w:t>
            </w:r>
          </w:p>
        </w:tc>
        <w:tc>
          <w:tcPr>
            <w:tcW w:type="dxa" w:w="4986"/>
            <w:vAlign w:val="top"/>
          </w:tcPr>
          <w:p>
            <w:pPr>
              <w:spacing w:after="40"/>
              <w:jc w:val="left"/>
            </w:pPr>
            <w:r/>
            <w:r>
              <w:rPr>
                <w:rFonts w:ascii="Arial" w:hAnsi="Arial"/>
                <w:b w:val="0"/>
                <w:i w:val="0"/>
                <w:sz w:val="18"/>
              </w:rPr>
              <w:t>June 2027</w:t>
            </w:r>
          </w:p>
        </w:tc>
      </w:tr>
      <w:tr>
        <w:tc>
          <w:tcPr>
            <w:tcW w:type="dxa" w:w="4986"/>
            <w:shd w:fill="D9EAD3"/>
            <w:vAlign w:val="top"/>
          </w:tcPr>
          <w:p>
            <w:pPr>
              <w:spacing w:after="40"/>
              <w:jc w:val="left"/>
            </w:pPr>
            <w:r/>
            <w:r>
              <w:rPr>
                <w:rFonts w:ascii="Arial" w:hAnsi="Arial"/>
                <w:b/>
                <w:i w:val="0"/>
                <w:sz w:val="18"/>
              </w:rPr>
              <w:t>Equality Impact Assessment Completed</w:t>
            </w:r>
          </w:p>
        </w:tc>
        <w:tc>
          <w:tcPr>
            <w:tcW w:type="dxa" w:w="4986"/>
            <w:vAlign w:val="top"/>
          </w:tcPr>
          <w:p>
            <w:pPr>
              <w:spacing w:after="40"/>
              <w:jc w:val="left"/>
            </w:pPr>
            <w:r/>
            <w:r>
              <w:rPr>
                <w:rFonts w:ascii="Arial" w:hAnsi="Arial"/>
                <w:b w:val="0"/>
                <w:i w:val="0"/>
                <w:sz w:val="18"/>
              </w:rPr>
              <w:t>To be completed before approval</w:t>
            </w:r>
          </w:p>
        </w:tc>
      </w:tr>
    </w:tbl>
    <w:p>
      <w:r>
        <w:br w:type="page"/>
      </w:r>
    </w:p>
    <w:p>
      <w:pPr>
        <w:spacing w:before="200" w:after="80"/>
      </w:pPr>
      <w:r>
        <w:rPr>
          <w:rFonts w:ascii="Arial" w:hAnsi="Arial"/>
          <w:b/>
          <w:color w:val="0070A3"/>
          <w:sz w:val="32"/>
        </w:rPr>
        <w:t>Contents</w:t>
      </w:r>
    </w:p>
    <w:p>
      <w:pPr>
        <w:spacing w:after="40"/>
      </w:pPr>
      <w:r>
        <w:rPr>
          <w:rFonts w:ascii="Arial" w:hAnsi="Arial"/>
          <w:b w:val="0"/>
          <w:i w:val="0"/>
          <w:sz w:val="20"/>
        </w:rPr>
        <w:t>1. Purpose</w:t>
      </w:r>
    </w:p>
    <w:p>
      <w:pPr>
        <w:spacing w:after="40"/>
      </w:pPr>
      <w:r>
        <w:rPr>
          <w:rFonts w:ascii="Arial" w:hAnsi="Arial"/>
          <w:b w:val="0"/>
          <w:i w:val="0"/>
          <w:sz w:val="20"/>
        </w:rPr>
        <w:t>2. Context</w:t>
      </w:r>
    </w:p>
    <w:p>
      <w:pPr>
        <w:spacing w:after="40"/>
      </w:pPr>
      <w:r>
        <w:rPr>
          <w:rFonts w:ascii="Arial" w:hAnsi="Arial"/>
          <w:b w:val="0"/>
          <w:i w:val="0"/>
          <w:sz w:val="20"/>
        </w:rPr>
        <w:t>3. Summary of County-Level Services to be Included</w:t>
      </w:r>
    </w:p>
    <w:p>
      <w:pPr>
        <w:spacing w:after="40"/>
      </w:pPr>
      <w:r>
        <w:rPr>
          <w:rFonts w:ascii="Arial" w:hAnsi="Arial"/>
          <w:b w:val="0"/>
          <w:i w:val="0"/>
          <w:sz w:val="20"/>
        </w:rPr>
        <w:t>4. Appendix B Service Cluster Impact Table</w:t>
      </w:r>
    </w:p>
    <w:p>
      <w:pPr>
        <w:spacing w:after="40"/>
      </w:pPr>
      <w:r>
        <w:rPr>
          <w:rFonts w:ascii="Arial" w:hAnsi="Arial"/>
          <w:b w:val="0"/>
          <w:i w:val="0"/>
          <w:sz w:val="20"/>
        </w:rPr>
        <w:t>5. Detailed Service Cluster Make-Up</w:t>
      </w:r>
    </w:p>
    <w:p>
      <w:pPr>
        <w:spacing w:after="40"/>
      </w:pPr>
      <w:r>
        <w:rPr>
          <w:rFonts w:ascii="Arial" w:hAnsi="Arial"/>
          <w:b w:val="0"/>
          <w:i w:val="0"/>
          <w:sz w:val="20"/>
        </w:rPr>
        <w:t>6. Architecture Implications</w:t>
      </w:r>
    </w:p>
    <w:p>
      <w:pPr>
        <w:spacing w:after="40"/>
      </w:pPr>
      <w:r>
        <w:rPr>
          <w:rFonts w:ascii="Arial" w:hAnsi="Arial"/>
          <w:b w:val="0"/>
          <w:i w:val="0"/>
          <w:sz w:val="20"/>
        </w:rPr>
        <w:t>7. Recommended Changes to Appendix B</w:t>
      </w:r>
    </w:p>
    <w:p>
      <w:pPr>
        <w:spacing w:after="40"/>
      </w:pPr>
      <w:r>
        <w:rPr>
          <w:rFonts w:ascii="Arial" w:hAnsi="Arial"/>
          <w:b w:val="0"/>
          <w:i w:val="0"/>
          <w:sz w:val="20"/>
        </w:rPr>
        <w:t>8. References</w:t>
      </w:r>
    </w:p>
    <w:p>
      <w:pPr>
        <w:spacing w:after="40"/>
      </w:pPr>
      <w:r>
        <w:rPr>
          <w:rFonts w:ascii="Arial" w:hAnsi="Arial"/>
          <w:b w:val="0"/>
          <w:i w:val="0"/>
          <w:sz w:val="20"/>
        </w:rPr>
        <w:t>9. Version History</w:t>
      </w:r>
    </w:p>
    <w:p>
      <w:r>
        <w:br w:type="page"/>
      </w:r>
    </w:p>
    <w:p>
      <w:pPr>
        <w:spacing w:before="200" w:after="80"/>
      </w:pPr>
      <w:r>
        <w:rPr>
          <w:rFonts w:ascii="Arial" w:hAnsi="Arial"/>
          <w:b/>
          <w:color w:val="0070A3"/>
          <w:sz w:val="32"/>
        </w:rPr>
        <w:t>1. Purpose</w:t>
      </w:r>
    </w:p>
    <w:p>
      <w:pPr>
        <w:spacing w:after="120"/>
      </w:pPr>
      <w:r>
        <w:rPr>
          <w:rFonts w:ascii="Arial" w:hAnsi="Arial"/>
          <w:b w:val="0"/>
          <w:i w:val="0"/>
          <w:sz w:val="20"/>
        </w:rPr>
        <w:t>1.1 This report expands Appendix B – Service Cluster Model by showing how county-level services should be incorporated into the Local Government Reorganisation architecture model for Stevenage Borough Council.</w:t>
      </w:r>
    </w:p>
    <w:p>
      <w:pPr>
        <w:spacing w:after="160"/>
      </w:pPr>
      <w:r>
        <w:rPr>
          <w:rFonts w:ascii="Arial" w:hAnsi="Arial"/>
          <w:b w:val="0"/>
          <w:i/>
          <w:color w:val="2F2F2F"/>
          <w:sz w:val="18"/>
        </w:rPr>
        <w:t>Thinking and justification: Appendix B currently provides the service-cluster structure. This report adds the county-level service lens so that the model can support a move from a two-tier environment to a future unitary operating model.</w:t>
      </w:r>
    </w:p>
    <w:p>
      <w:pPr>
        <w:spacing w:after="120"/>
      </w:pPr>
      <w:r>
        <w:rPr>
          <w:rFonts w:ascii="Arial" w:hAnsi="Arial"/>
          <w:b w:val="0"/>
          <w:i w:val="0"/>
          <w:sz w:val="20"/>
        </w:rPr>
        <w:t>1.2 The report is intended to help the Enterprise Architecture team, LGR programme, service leaders and senior decision-makers understand where additional county-level services would sit within the five service clusters.</w:t>
      </w:r>
    </w:p>
    <w:p>
      <w:pPr>
        <w:spacing w:after="160"/>
      </w:pPr>
      <w:r>
        <w:rPr>
          <w:rFonts w:ascii="Arial" w:hAnsi="Arial"/>
          <w:b w:val="0"/>
          <w:i/>
          <w:color w:val="2F2F2F"/>
          <w:sz w:val="18"/>
        </w:rPr>
        <w:t>Thinking and justification: This is necessary because LGR will not simply add more systems. It will change the scope of the organisation by bringing together district, borough and county responsibilities into a larger service model.</w:t>
      </w:r>
    </w:p>
    <w:p>
      <w:pPr>
        <w:spacing w:before="200" w:after="80"/>
      </w:pPr>
      <w:r>
        <w:rPr>
          <w:rFonts w:ascii="Arial" w:hAnsi="Arial"/>
          <w:b/>
          <w:color w:val="0070A3"/>
          <w:sz w:val="32"/>
        </w:rPr>
        <w:t>2. Context</w:t>
      </w:r>
    </w:p>
    <w:p>
      <w:pPr>
        <w:spacing w:after="120"/>
      </w:pPr>
      <w:r>
        <w:rPr>
          <w:rFonts w:ascii="Arial" w:hAnsi="Arial"/>
          <w:b w:val="0"/>
          <w:i w:val="0"/>
          <w:sz w:val="20"/>
        </w:rPr>
        <w:t>2.1 Hertfordshire County Council’s public service information identifies county-level responsibilities including adult social services, children’s services and schools, highways, roads and pavements, libraries and archives, births, deaths, marriages and citizenship, fire and rescue, health, business and trading standards, recycling and waste, transport, and related support services.</w:t>
      </w:r>
    </w:p>
    <w:p>
      <w:pPr>
        <w:spacing w:after="160"/>
      </w:pPr>
      <w:r>
        <w:rPr>
          <w:rFonts w:ascii="Arial" w:hAnsi="Arial"/>
          <w:b w:val="0"/>
          <w:i/>
          <w:color w:val="2F2F2F"/>
          <w:sz w:val="18"/>
        </w:rPr>
        <w:t>Thinking and justification: These services introduce major additional architecture complexity. They bring new statutory duties, high-risk casework, larger operational workforces, greater data sensitivity, different resident journeys and significant technology dependencies.</w:t>
      </w:r>
    </w:p>
    <w:p>
      <w:pPr>
        <w:spacing w:after="120"/>
      </w:pPr>
      <w:r>
        <w:rPr>
          <w:rFonts w:ascii="Arial" w:hAnsi="Arial"/>
          <w:b w:val="0"/>
          <w:i w:val="0"/>
          <w:sz w:val="20"/>
        </w:rPr>
        <w:t>2.2 The existing Appendix B service clusters remain suitable, but their make-up should be expanded to show the county services that would need to be included in a unitary model.</w:t>
      </w:r>
    </w:p>
    <w:p>
      <w:pPr>
        <w:spacing w:after="160"/>
      </w:pPr>
      <w:r>
        <w:rPr>
          <w:rFonts w:ascii="Arial" w:hAnsi="Arial"/>
          <w:b w:val="0"/>
          <w:i/>
          <w:color w:val="2F2F2F"/>
          <w:sz w:val="18"/>
        </w:rPr>
        <w:t>Thinking and justification: The recommended approach is to keep the five-cluster structure but enrich each cluster. This avoids creating a separate county-services architecture that would undermine the goal of a joined-up future authority.</w:t>
      </w:r>
    </w:p>
    <w:p>
      <w:pPr>
        <w:spacing w:before="200" w:after="80"/>
      </w:pPr>
      <w:r>
        <w:rPr>
          <w:rFonts w:ascii="Arial" w:hAnsi="Arial"/>
          <w:b/>
          <w:color w:val="0070A3"/>
          <w:sz w:val="32"/>
        </w:rPr>
        <w:t>3. Summary of County-Level Services to be Included</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D3"/>
            <w:vAlign w:val="top"/>
          </w:tcPr>
          <w:p>
            <w:pPr>
              <w:spacing w:after="40"/>
              <w:jc w:val="left"/>
            </w:pPr>
            <w:r/>
            <w:r>
              <w:rPr>
                <w:rFonts w:ascii="Arial" w:hAnsi="Arial"/>
                <w:b/>
                <w:i w:val="0"/>
                <w:sz w:val="17"/>
              </w:rPr>
              <w:t>County-Level Service Area</w:t>
            </w:r>
          </w:p>
        </w:tc>
        <w:tc>
          <w:tcPr>
            <w:tcW w:type="dxa" w:w="4535"/>
            <w:shd w:fill="D9EAD3"/>
            <w:vAlign w:val="top"/>
          </w:tcPr>
          <w:p>
            <w:pPr>
              <w:spacing w:after="40"/>
              <w:jc w:val="left"/>
            </w:pPr>
            <w:r/>
            <w:r>
              <w:rPr>
                <w:rFonts w:ascii="Arial" w:hAnsi="Arial"/>
                <w:b/>
                <w:i w:val="0"/>
                <w:sz w:val="17"/>
              </w:rPr>
              <w:t>Typical Scope</w:t>
            </w:r>
          </w:p>
        </w:tc>
        <w:tc>
          <w:tcPr>
            <w:tcW w:type="dxa" w:w="2835"/>
            <w:shd w:fill="D9EAD3"/>
            <w:vAlign w:val="top"/>
          </w:tcPr>
          <w:p>
            <w:pPr>
              <w:spacing w:after="40"/>
              <w:jc w:val="left"/>
            </w:pPr>
            <w:r/>
            <w:r>
              <w:rPr>
                <w:rFonts w:ascii="Arial" w:hAnsi="Arial"/>
                <w:b/>
                <w:i w:val="0"/>
                <w:sz w:val="17"/>
              </w:rPr>
              <w:t>Recommended Service Cluster</w:t>
            </w:r>
          </w:p>
        </w:tc>
      </w:tr>
      <w:tr>
        <w:tc>
          <w:tcPr>
            <w:tcW w:type="dxa" w:w="2268"/>
            <w:vAlign w:val="top"/>
          </w:tcPr>
          <w:p>
            <w:pPr>
              <w:spacing w:after="40"/>
              <w:jc w:val="left"/>
            </w:pPr>
            <w:r/>
            <w:r>
              <w:rPr>
                <w:rFonts w:ascii="Arial" w:hAnsi="Arial"/>
                <w:b w:val="0"/>
                <w:i w:val="0"/>
                <w:sz w:val="16"/>
              </w:rPr>
              <w:t>Adult social care</w:t>
            </w:r>
          </w:p>
        </w:tc>
        <w:tc>
          <w:tcPr>
            <w:tcW w:type="dxa" w:w="4535"/>
            <w:vAlign w:val="top"/>
          </w:tcPr>
          <w:p>
            <w:pPr>
              <w:spacing w:after="40"/>
              <w:jc w:val="left"/>
            </w:pPr>
            <w:r/>
            <w:r>
              <w:rPr>
                <w:rFonts w:ascii="Arial" w:hAnsi="Arial"/>
                <w:b w:val="0"/>
                <w:i w:val="0"/>
                <w:sz w:val="16"/>
              </w:rPr>
              <w:t>Assessment, safeguarding, carers, care packages, equipment, Blue Badge, day services, mental health, dementia and support for older, disabled and neurodiverse residents.</w:t>
            </w:r>
          </w:p>
        </w:tc>
        <w:tc>
          <w:tcPr>
            <w:tcW w:type="dxa" w:w="2835"/>
            <w:vAlign w:val="top"/>
          </w:tcPr>
          <w:p>
            <w:pPr>
              <w:spacing w:after="40"/>
              <w:jc w:val="left"/>
            </w:pPr>
            <w:r/>
            <w:r>
              <w:rPr>
                <w:rFonts w:ascii="Arial" w:hAnsi="Arial"/>
                <w:b w:val="0"/>
                <w:i w:val="0"/>
                <w:sz w:val="16"/>
              </w:rPr>
              <w:t>Community, Housing and People Services</w:t>
            </w:r>
          </w:p>
        </w:tc>
      </w:tr>
      <w:tr>
        <w:tc>
          <w:tcPr>
            <w:tcW w:type="dxa" w:w="2268"/>
            <w:vAlign w:val="top"/>
          </w:tcPr>
          <w:p>
            <w:pPr>
              <w:spacing w:after="40"/>
              <w:jc w:val="left"/>
            </w:pPr>
            <w:r/>
            <w:r>
              <w:rPr>
                <w:rFonts w:ascii="Arial" w:hAnsi="Arial"/>
                <w:b w:val="0"/>
                <w:i w:val="0"/>
                <w:sz w:val="16"/>
              </w:rPr>
              <w:t>Children’s services and schools</w:t>
            </w:r>
          </w:p>
        </w:tc>
        <w:tc>
          <w:tcPr>
            <w:tcW w:type="dxa" w:w="4535"/>
            <w:vAlign w:val="top"/>
          </w:tcPr>
          <w:p>
            <w:pPr>
              <w:spacing w:after="40"/>
              <w:jc w:val="left"/>
            </w:pPr>
            <w:r/>
            <w:r>
              <w:rPr>
                <w:rFonts w:ascii="Arial" w:hAnsi="Arial"/>
                <w:b w:val="0"/>
                <w:i w:val="0"/>
                <w:sz w:val="16"/>
              </w:rPr>
              <w:t>Children’s social care, child protection, care leavers, fostering, adoption, school admissions, SEND, family centres, early years and school transport.</w:t>
            </w:r>
          </w:p>
        </w:tc>
        <w:tc>
          <w:tcPr>
            <w:tcW w:type="dxa" w:w="2835"/>
            <w:vAlign w:val="top"/>
          </w:tcPr>
          <w:p>
            <w:pPr>
              <w:spacing w:after="40"/>
              <w:jc w:val="left"/>
            </w:pPr>
            <w:r/>
            <w:r>
              <w:rPr>
                <w:rFonts w:ascii="Arial" w:hAnsi="Arial"/>
                <w:b w:val="0"/>
                <w:i w:val="0"/>
                <w:sz w:val="16"/>
              </w:rPr>
              <w:t>Community, Housing and People Services</w:t>
            </w:r>
          </w:p>
        </w:tc>
      </w:tr>
      <w:tr>
        <w:tc>
          <w:tcPr>
            <w:tcW w:type="dxa" w:w="2268"/>
            <w:vAlign w:val="top"/>
          </w:tcPr>
          <w:p>
            <w:pPr>
              <w:spacing w:after="40"/>
              <w:jc w:val="left"/>
            </w:pPr>
            <w:r/>
            <w:r>
              <w:rPr>
                <w:rFonts w:ascii="Arial" w:hAnsi="Arial"/>
                <w:b w:val="0"/>
                <w:i w:val="0"/>
                <w:sz w:val="16"/>
              </w:rPr>
              <w:t>Highways, transport and public realm</w:t>
            </w:r>
          </w:p>
        </w:tc>
        <w:tc>
          <w:tcPr>
            <w:tcW w:type="dxa" w:w="4535"/>
            <w:vAlign w:val="top"/>
          </w:tcPr>
          <w:p>
            <w:pPr>
              <w:spacing w:after="40"/>
              <w:jc w:val="left"/>
            </w:pPr>
            <w:r/>
            <w:r>
              <w:rPr>
                <w:rFonts w:ascii="Arial" w:hAnsi="Arial"/>
                <w:b w:val="0"/>
                <w:i w:val="0"/>
                <w:sz w:val="16"/>
              </w:rPr>
              <w:t>Roads, pavements, potholes, street lighting, roadworks, public transport, transport permits, bus services and highways emergencies.</w:t>
            </w:r>
          </w:p>
        </w:tc>
        <w:tc>
          <w:tcPr>
            <w:tcW w:type="dxa" w:w="2835"/>
            <w:vAlign w:val="top"/>
          </w:tcPr>
          <w:p>
            <w:pPr>
              <w:spacing w:after="40"/>
              <w:jc w:val="left"/>
            </w:pPr>
            <w:r/>
            <w:r>
              <w:rPr>
                <w:rFonts w:ascii="Arial" w:hAnsi="Arial"/>
                <w:b w:val="0"/>
                <w:i w:val="0"/>
                <w:sz w:val="16"/>
              </w:rPr>
              <w:t>Place, Environment and Regulatory Services</w:t>
            </w:r>
          </w:p>
        </w:tc>
      </w:tr>
      <w:tr>
        <w:tc>
          <w:tcPr>
            <w:tcW w:type="dxa" w:w="2268"/>
            <w:vAlign w:val="top"/>
          </w:tcPr>
          <w:p>
            <w:pPr>
              <w:spacing w:after="40"/>
              <w:jc w:val="left"/>
            </w:pPr>
            <w:r/>
            <w:r>
              <w:rPr>
                <w:rFonts w:ascii="Arial" w:hAnsi="Arial"/>
                <w:b w:val="0"/>
                <w:i w:val="0"/>
                <w:sz w:val="16"/>
              </w:rPr>
              <w:t>Libraries and archives</w:t>
            </w:r>
          </w:p>
        </w:tc>
        <w:tc>
          <w:tcPr>
            <w:tcW w:type="dxa" w:w="4535"/>
            <w:vAlign w:val="top"/>
          </w:tcPr>
          <w:p>
            <w:pPr>
              <w:spacing w:after="40"/>
              <w:jc w:val="left"/>
            </w:pPr>
            <w:r/>
            <w:r>
              <w:rPr>
                <w:rFonts w:ascii="Arial" w:hAnsi="Arial"/>
                <w:b w:val="0"/>
                <w:i w:val="0"/>
                <w:sz w:val="16"/>
              </w:rPr>
              <w:t>Libraries, digital inclusion, archives, reading services, community access and local knowledge services.</w:t>
            </w:r>
          </w:p>
        </w:tc>
        <w:tc>
          <w:tcPr>
            <w:tcW w:type="dxa" w:w="2835"/>
            <w:vAlign w:val="top"/>
          </w:tcPr>
          <w:p>
            <w:pPr>
              <w:spacing w:after="40"/>
              <w:jc w:val="left"/>
            </w:pPr>
            <w:r/>
            <w:r>
              <w:rPr>
                <w:rFonts w:ascii="Arial" w:hAnsi="Arial"/>
                <w:b w:val="0"/>
                <w:i w:val="0"/>
                <w:sz w:val="16"/>
              </w:rPr>
              <w:t>Customer, Access and Resident Experience / Community Services</w:t>
            </w:r>
          </w:p>
        </w:tc>
      </w:tr>
      <w:tr>
        <w:tc>
          <w:tcPr>
            <w:tcW w:type="dxa" w:w="2268"/>
            <w:vAlign w:val="top"/>
          </w:tcPr>
          <w:p>
            <w:pPr>
              <w:spacing w:after="40"/>
              <w:jc w:val="left"/>
            </w:pPr>
            <w:r/>
            <w:r>
              <w:rPr>
                <w:rFonts w:ascii="Arial" w:hAnsi="Arial"/>
                <w:b w:val="0"/>
                <w:i w:val="0"/>
                <w:sz w:val="16"/>
              </w:rPr>
              <w:t>Registration services</w:t>
            </w:r>
          </w:p>
        </w:tc>
        <w:tc>
          <w:tcPr>
            <w:tcW w:type="dxa" w:w="4535"/>
            <w:vAlign w:val="top"/>
          </w:tcPr>
          <w:p>
            <w:pPr>
              <w:spacing w:after="40"/>
              <w:jc w:val="left"/>
            </w:pPr>
            <w:r/>
            <w:r>
              <w:rPr>
                <w:rFonts w:ascii="Arial" w:hAnsi="Arial"/>
                <w:b w:val="0"/>
                <w:i w:val="0"/>
                <w:sz w:val="16"/>
              </w:rPr>
              <w:t>Births, deaths, marriages and citizenship appointments, certificates and statutory registration records.</w:t>
            </w:r>
          </w:p>
        </w:tc>
        <w:tc>
          <w:tcPr>
            <w:tcW w:type="dxa" w:w="2835"/>
            <w:vAlign w:val="top"/>
          </w:tcPr>
          <w:p>
            <w:pPr>
              <w:spacing w:after="40"/>
              <w:jc w:val="left"/>
            </w:pPr>
            <w:r/>
            <w:r>
              <w:rPr>
                <w:rFonts w:ascii="Arial" w:hAnsi="Arial"/>
                <w:b w:val="0"/>
                <w:i w:val="0"/>
                <w:sz w:val="16"/>
              </w:rPr>
              <w:t>Customer, Access and Resident Experience</w:t>
            </w:r>
          </w:p>
        </w:tc>
      </w:tr>
      <w:tr>
        <w:tc>
          <w:tcPr>
            <w:tcW w:type="dxa" w:w="2268"/>
            <w:vAlign w:val="top"/>
          </w:tcPr>
          <w:p>
            <w:pPr>
              <w:spacing w:after="40"/>
              <w:jc w:val="left"/>
            </w:pPr>
            <w:r/>
            <w:r>
              <w:rPr>
                <w:rFonts w:ascii="Arial" w:hAnsi="Arial"/>
                <w:b w:val="0"/>
                <w:i w:val="0"/>
                <w:sz w:val="16"/>
              </w:rPr>
              <w:t>Fire and rescue / community protection</w:t>
            </w:r>
          </w:p>
        </w:tc>
        <w:tc>
          <w:tcPr>
            <w:tcW w:type="dxa" w:w="4535"/>
            <w:vAlign w:val="top"/>
          </w:tcPr>
          <w:p>
            <w:pPr>
              <w:spacing w:after="40"/>
              <w:jc w:val="left"/>
            </w:pPr>
            <w:r/>
            <w:r>
              <w:rPr>
                <w:rFonts w:ascii="Arial" w:hAnsi="Arial"/>
                <w:b w:val="0"/>
                <w:i w:val="0"/>
                <w:sz w:val="16"/>
              </w:rPr>
              <w:t>Fire prevention, fire safety, emergency response, community safety education, business fire safety and resilience support.</w:t>
            </w:r>
          </w:p>
        </w:tc>
        <w:tc>
          <w:tcPr>
            <w:tcW w:type="dxa" w:w="2835"/>
            <w:vAlign w:val="top"/>
          </w:tcPr>
          <w:p>
            <w:pPr>
              <w:spacing w:after="40"/>
              <w:jc w:val="left"/>
            </w:pPr>
            <w:r/>
            <w:r>
              <w:rPr>
                <w:rFonts w:ascii="Arial" w:hAnsi="Arial"/>
                <w:b w:val="0"/>
                <w:i w:val="0"/>
                <w:sz w:val="16"/>
              </w:rPr>
              <w:t>Place, Environment and Regulatory Services / Community Services</w:t>
            </w:r>
          </w:p>
        </w:tc>
      </w:tr>
      <w:tr>
        <w:tc>
          <w:tcPr>
            <w:tcW w:type="dxa" w:w="2268"/>
            <w:vAlign w:val="top"/>
          </w:tcPr>
          <w:p>
            <w:pPr>
              <w:spacing w:after="40"/>
              <w:jc w:val="left"/>
            </w:pPr>
            <w:r/>
            <w:r>
              <w:rPr>
                <w:rFonts w:ascii="Arial" w:hAnsi="Arial"/>
                <w:b w:val="0"/>
                <w:i w:val="0"/>
                <w:sz w:val="16"/>
              </w:rPr>
              <w:t>Public health</w:t>
            </w:r>
          </w:p>
        </w:tc>
        <w:tc>
          <w:tcPr>
            <w:tcW w:type="dxa" w:w="4535"/>
            <w:vAlign w:val="top"/>
          </w:tcPr>
          <w:p>
            <w:pPr>
              <w:spacing w:after="40"/>
              <w:jc w:val="left"/>
            </w:pPr>
            <w:r/>
            <w:r>
              <w:rPr>
                <w:rFonts w:ascii="Arial" w:hAnsi="Arial"/>
                <w:b w:val="0"/>
                <w:i w:val="0"/>
                <w:sz w:val="16"/>
              </w:rPr>
              <w:t>Population health, prevention, health improvement, partnership working and health intelligence.</w:t>
            </w:r>
          </w:p>
        </w:tc>
        <w:tc>
          <w:tcPr>
            <w:tcW w:type="dxa" w:w="2835"/>
            <w:vAlign w:val="top"/>
          </w:tcPr>
          <w:p>
            <w:pPr>
              <w:spacing w:after="40"/>
              <w:jc w:val="left"/>
            </w:pPr>
            <w:r/>
            <w:r>
              <w:rPr>
                <w:rFonts w:ascii="Arial" w:hAnsi="Arial"/>
                <w:b w:val="0"/>
                <w:i w:val="0"/>
                <w:sz w:val="16"/>
              </w:rPr>
              <w:t>Community, Housing and People Services</w:t>
            </w:r>
          </w:p>
        </w:tc>
      </w:tr>
      <w:tr>
        <w:tc>
          <w:tcPr>
            <w:tcW w:type="dxa" w:w="2268"/>
            <w:vAlign w:val="top"/>
          </w:tcPr>
          <w:p>
            <w:pPr>
              <w:spacing w:after="40"/>
              <w:jc w:val="left"/>
            </w:pPr>
            <w:r/>
            <w:r>
              <w:rPr>
                <w:rFonts w:ascii="Arial" w:hAnsi="Arial"/>
                <w:b w:val="0"/>
                <w:i w:val="0"/>
                <w:sz w:val="16"/>
              </w:rPr>
              <w:t>Business and trading standards</w:t>
            </w:r>
          </w:p>
        </w:tc>
        <w:tc>
          <w:tcPr>
            <w:tcW w:type="dxa" w:w="4535"/>
            <w:vAlign w:val="top"/>
          </w:tcPr>
          <w:p>
            <w:pPr>
              <w:spacing w:after="40"/>
              <w:jc w:val="left"/>
            </w:pPr>
            <w:r/>
            <w:r>
              <w:rPr>
                <w:rFonts w:ascii="Arial" w:hAnsi="Arial"/>
                <w:b w:val="0"/>
                <w:i w:val="0"/>
                <w:sz w:val="16"/>
              </w:rPr>
              <w:t>Consumer protection, trading standards, business advice, product safety and fraud prevention.</w:t>
            </w:r>
          </w:p>
        </w:tc>
        <w:tc>
          <w:tcPr>
            <w:tcW w:type="dxa" w:w="2835"/>
            <w:vAlign w:val="top"/>
          </w:tcPr>
          <w:p>
            <w:pPr>
              <w:spacing w:after="40"/>
              <w:jc w:val="left"/>
            </w:pPr>
            <w:r/>
            <w:r>
              <w:rPr>
                <w:rFonts w:ascii="Arial" w:hAnsi="Arial"/>
                <w:b w:val="0"/>
                <w:i w:val="0"/>
                <w:sz w:val="16"/>
              </w:rPr>
              <w:t>Place, Environment and Regulatory Services</w:t>
            </w:r>
          </w:p>
        </w:tc>
      </w:tr>
      <w:tr>
        <w:tc>
          <w:tcPr>
            <w:tcW w:type="dxa" w:w="2268"/>
            <w:vAlign w:val="top"/>
          </w:tcPr>
          <w:p>
            <w:pPr>
              <w:spacing w:after="40"/>
              <w:jc w:val="left"/>
            </w:pPr>
            <w:r/>
            <w:r>
              <w:rPr>
                <w:rFonts w:ascii="Arial" w:hAnsi="Arial"/>
                <w:b w:val="0"/>
                <w:i w:val="0"/>
                <w:sz w:val="16"/>
              </w:rPr>
              <w:t>Waste disposal and recycling centres</w:t>
            </w:r>
          </w:p>
        </w:tc>
        <w:tc>
          <w:tcPr>
            <w:tcW w:type="dxa" w:w="4535"/>
            <w:vAlign w:val="top"/>
          </w:tcPr>
          <w:p>
            <w:pPr>
              <w:spacing w:after="40"/>
              <w:jc w:val="left"/>
            </w:pPr>
            <w:r/>
            <w:r>
              <w:rPr>
                <w:rFonts w:ascii="Arial" w:hAnsi="Arial"/>
                <w:b w:val="0"/>
                <w:i w:val="0"/>
                <w:sz w:val="16"/>
              </w:rPr>
              <w:t>Household waste recycling centres, waste disposal infrastructure and county-level recycling operations.</w:t>
            </w:r>
          </w:p>
        </w:tc>
        <w:tc>
          <w:tcPr>
            <w:tcW w:type="dxa" w:w="2835"/>
            <w:vAlign w:val="top"/>
          </w:tcPr>
          <w:p>
            <w:pPr>
              <w:spacing w:after="40"/>
              <w:jc w:val="left"/>
            </w:pPr>
            <w:r/>
            <w:r>
              <w:rPr>
                <w:rFonts w:ascii="Arial" w:hAnsi="Arial"/>
                <w:b w:val="0"/>
                <w:i w:val="0"/>
                <w:sz w:val="16"/>
              </w:rPr>
              <w:t>Place, Environment and Regulatory Services</w:t>
            </w:r>
          </w:p>
        </w:tc>
      </w:tr>
      <w:tr>
        <w:tc>
          <w:tcPr>
            <w:tcW w:type="dxa" w:w="2268"/>
            <w:vAlign w:val="top"/>
          </w:tcPr>
          <w:p>
            <w:pPr>
              <w:spacing w:after="40"/>
              <w:jc w:val="left"/>
            </w:pPr>
            <w:r/>
            <w:r>
              <w:rPr>
                <w:rFonts w:ascii="Arial" w:hAnsi="Arial"/>
                <w:b w:val="0"/>
                <w:i w:val="0"/>
                <w:sz w:val="16"/>
              </w:rPr>
              <w:t>Corporate county functions</w:t>
            </w:r>
          </w:p>
        </w:tc>
        <w:tc>
          <w:tcPr>
            <w:tcW w:type="dxa" w:w="4535"/>
            <w:vAlign w:val="top"/>
          </w:tcPr>
          <w:p>
            <w:pPr>
              <w:spacing w:after="40"/>
              <w:jc w:val="left"/>
            </w:pPr>
            <w:r/>
            <w:r>
              <w:rPr>
                <w:rFonts w:ascii="Arial" w:hAnsi="Arial"/>
                <w:b w:val="0"/>
                <w:i w:val="0"/>
                <w:sz w:val="16"/>
              </w:rPr>
              <w:t>County HR, finance, legal, procurement, democratic services, property, commissioning, performance and corporate support.</w:t>
            </w:r>
          </w:p>
        </w:tc>
        <w:tc>
          <w:tcPr>
            <w:tcW w:type="dxa" w:w="2835"/>
            <w:vAlign w:val="top"/>
          </w:tcPr>
          <w:p>
            <w:pPr>
              <w:spacing w:after="40"/>
              <w:jc w:val="left"/>
            </w:pPr>
            <w:r/>
            <w:r>
              <w:rPr>
                <w:rFonts w:ascii="Arial" w:hAnsi="Arial"/>
                <w:b w:val="0"/>
                <w:i w:val="0"/>
                <w:sz w:val="16"/>
              </w:rPr>
              <w:t>Corporate and Enabling Services</w:t>
            </w:r>
          </w:p>
        </w:tc>
      </w:tr>
    </w:tbl>
    <w:p>
      <w:pPr>
        <w:spacing w:after="40"/>
      </w:pPr>
    </w:p>
    <w:p>
      <w:pPr>
        <w:spacing w:after="160"/>
      </w:pPr>
      <w:r>
        <w:rPr>
          <w:rFonts w:ascii="Arial" w:hAnsi="Arial"/>
          <w:b w:val="0"/>
          <w:i/>
          <w:color w:val="2F2F2F"/>
          <w:sz w:val="18"/>
        </w:rPr>
        <w:t>Thinking and justification: This summary table provides the first-level mapping. Some county services appear in more than one cluster because they have both resident-facing and operational dimensions, for example libraries, fire prevention and public health.</w:t>
      </w:r>
    </w:p>
    <w:p>
      <w:pPr>
        <w:spacing w:before="200" w:after="80"/>
      </w:pPr>
      <w:r>
        <w:rPr>
          <w:rFonts w:ascii="Arial" w:hAnsi="Arial"/>
          <w:b/>
          <w:color w:val="0070A3"/>
          <w:sz w:val="32"/>
        </w:rPr>
        <w:t>4. Appendix B Service Cluster Impact Table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14"/>
            <w:shd w:fill="D9EAD3"/>
            <w:vAlign w:val="top"/>
          </w:tcPr>
          <w:p>
            <w:pPr>
              <w:spacing w:after="40"/>
              <w:jc w:val="left"/>
            </w:pPr>
            <w:r/>
            <w:r>
              <w:rPr>
                <w:rFonts w:ascii="Arial" w:hAnsi="Arial"/>
                <w:b/>
                <w:i w:val="0"/>
                <w:sz w:val="17"/>
              </w:rPr>
              <w:t>Appendix B Cluster</w:t>
            </w:r>
          </w:p>
        </w:tc>
        <w:tc>
          <w:tcPr>
            <w:tcW w:type="dxa" w:w="2154"/>
            <w:shd w:fill="D9EAD3"/>
            <w:vAlign w:val="top"/>
          </w:tcPr>
          <w:p>
            <w:pPr>
              <w:spacing w:after="40"/>
              <w:jc w:val="left"/>
            </w:pPr>
            <w:r/>
            <w:r>
              <w:rPr>
                <w:rFonts w:ascii="Arial" w:hAnsi="Arial"/>
                <w:b/>
                <w:i w:val="0"/>
                <w:sz w:val="17"/>
              </w:rPr>
              <w:t>Existing Appendix B Scope</w:t>
            </w:r>
          </w:p>
        </w:tc>
        <w:tc>
          <w:tcPr>
            <w:tcW w:type="dxa" w:w="2835"/>
            <w:shd w:fill="D9EAD3"/>
            <w:vAlign w:val="top"/>
          </w:tcPr>
          <w:p>
            <w:pPr>
              <w:spacing w:after="40"/>
              <w:jc w:val="left"/>
            </w:pPr>
            <w:r/>
            <w:r>
              <w:rPr>
                <w:rFonts w:ascii="Arial" w:hAnsi="Arial"/>
                <w:b/>
                <w:i w:val="0"/>
                <w:sz w:val="17"/>
              </w:rPr>
              <w:t>Additional County-Level Services</w:t>
            </w:r>
          </w:p>
        </w:tc>
        <w:tc>
          <w:tcPr>
            <w:tcW w:type="dxa" w:w="2268"/>
            <w:shd w:fill="D9EAD3"/>
            <w:vAlign w:val="top"/>
          </w:tcPr>
          <w:p>
            <w:pPr>
              <w:spacing w:after="40"/>
              <w:jc w:val="left"/>
            </w:pPr>
            <w:r/>
            <w:r>
              <w:rPr>
                <w:rFonts w:ascii="Arial" w:hAnsi="Arial"/>
                <w:b/>
                <w:i w:val="0"/>
                <w:sz w:val="17"/>
              </w:rPr>
              <w:t>Key Impact</w:t>
            </w:r>
          </w:p>
        </w:tc>
        <w:tc>
          <w:tcPr>
            <w:tcW w:type="dxa" w:w="2268"/>
            <w:shd w:fill="D9EAD3"/>
            <w:vAlign w:val="top"/>
          </w:tcPr>
          <w:p>
            <w:pPr>
              <w:spacing w:after="40"/>
              <w:jc w:val="left"/>
            </w:pPr>
            <w:r/>
            <w:r>
              <w:rPr>
                <w:rFonts w:ascii="Arial" w:hAnsi="Arial"/>
                <w:b/>
                <w:i w:val="0"/>
                <w:sz w:val="17"/>
              </w:rPr>
              <w:t>Architecture Focus</w:t>
            </w:r>
          </w:p>
        </w:tc>
      </w:tr>
      <w:tr>
        <w:tc>
          <w:tcPr>
            <w:tcW w:type="dxa" w:w="1814"/>
            <w:vAlign w:val="top"/>
          </w:tcPr>
          <w:p>
            <w:pPr>
              <w:spacing w:after="40"/>
              <w:jc w:val="left"/>
            </w:pPr>
            <w:r/>
            <w:r>
              <w:rPr>
                <w:rFonts w:ascii="Arial" w:hAnsi="Arial"/>
                <w:b w:val="0"/>
                <w:i w:val="0"/>
                <w:sz w:val="16"/>
              </w:rPr>
              <w:t>1. Customer, Access and Resident Experience</w:t>
            </w:r>
          </w:p>
        </w:tc>
        <w:tc>
          <w:tcPr>
            <w:tcW w:type="dxa" w:w="2154"/>
            <w:vAlign w:val="top"/>
          </w:tcPr>
          <w:p>
            <w:pPr>
              <w:spacing w:after="40"/>
              <w:jc w:val="left"/>
            </w:pPr>
            <w:r/>
            <w:r>
              <w:rPr>
                <w:rFonts w:ascii="Arial" w:hAnsi="Arial"/>
                <w:b w:val="0"/>
                <w:i w:val="0"/>
                <w:sz w:val="16"/>
              </w:rPr>
              <w:t>Customer Services, contact centre, website, CRM, complaints, FOI, assisted digital and channel strategy.</w:t>
            </w:r>
          </w:p>
        </w:tc>
        <w:tc>
          <w:tcPr>
            <w:tcW w:type="dxa" w:w="2835"/>
            <w:vAlign w:val="top"/>
          </w:tcPr>
          <w:p>
            <w:pPr>
              <w:spacing w:after="40"/>
              <w:jc w:val="left"/>
            </w:pPr>
            <w:r/>
            <w:r>
              <w:rPr>
                <w:rFonts w:ascii="Arial" w:hAnsi="Arial"/>
                <w:b w:val="0"/>
                <w:i w:val="0"/>
                <w:sz w:val="16"/>
              </w:rPr>
              <w:t>County contact routes; adult social care first contact; children’s services contact; school admissions; Blue Badge; bus passes; registration appointments; highways fault reporting; library enquiries; recycling centre enquiries.</w:t>
            </w:r>
          </w:p>
        </w:tc>
        <w:tc>
          <w:tcPr>
            <w:tcW w:type="dxa" w:w="2268"/>
            <w:vAlign w:val="top"/>
          </w:tcPr>
          <w:p>
            <w:pPr>
              <w:spacing w:after="40"/>
              <w:jc w:val="left"/>
            </w:pPr>
            <w:r/>
            <w:r>
              <w:rPr>
                <w:rFonts w:ascii="Arial" w:hAnsi="Arial"/>
                <w:b w:val="0"/>
                <w:i w:val="0"/>
                <w:sz w:val="16"/>
              </w:rPr>
              <w:t>A single front door must route requests safely to both district and county services without losing statutory urgency or safeguarding signals.</w:t>
            </w:r>
          </w:p>
        </w:tc>
        <w:tc>
          <w:tcPr>
            <w:tcW w:type="dxa" w:w="2268"/>
            <w:vAlign w:val="top"/>
          </w:tcPr>
          <w:p>
            <w:pPr>
              <w:spacing w:after="40"/>
              <w:jc w:val="left"/>
            </w:pPr>
            <w:r/>
            <w:r>
              <w:rPr>
                <w:rFonts w:ascii="Arial" w:hAnsi="Arial"/>
                <w:b w:val="0"/>
                <w:i w:val="0"/>
                <w:sz w:val="16"/>
              </w:rPr>
              <w:t>Customer access model, triage rules, Single Customer Record, channel strategy, accessibility and assisted digital design.</w:t>
            </w:r>
          </w:p>
        </w:tc>
      </w:tr>
      <w:tr>
        <w:tc>
          <w:tcPr>
            <w:tcW w:type="dxa" w:w="1814"/>
            <w:vAlign w:val="top"/>
          </w:tcPr>
          <w:p>
            <w:pPr>
              <w:spacing w:after="40"/>
              <w:jc w:val="left"/>
            </w:pPr>
            <w:r/>
            <w:r>
              <w:rPr>
                <w:rFonts w:ascii="Arial" w:hAnsi="Arial"/>
                <w:b w:val="0"/>
                <w:i w:val="0"/>
                <w:sz w:val="16"/>
              </w:rPr>
              <w:t>2. Community, Housing and People Services</w:t>
            </w:r>
          </w:p>
        </w:tc>
        <w:tc>
          <w:tcPr>
            <w:tcW w:type="dxa" w:w="2154"/>
            <w:vAlign w:val="top"/>
          </w:tcPr>
          <w:p>
            <w:pPr>
              <w:spacing w:after="40"/>
              <w:jc w:val="left"/>
            </w:pPr>
            <w:r/>
            <w:r>
              <w:rPr>
                <w:rFonts w:ascii="Arial" w:hAnsi="Arial"/>
                <w:b w:val="0"/>
                <w:i w:val="0"/>
                <w:sz w:val="16"/>
              </w:rPr>
              <w:t>Housing, homelessness, community safety, safeguarding interfaces, voluntary sector and health partnerships.</w:t>
            </w:r>
          </w:p>
        </w:tc>
        <w:tc>
          <w:tcPr>
            <w:tcW w:type="dxa" w:w="2835"/>
            <w:vAlign w:val="top"/>
          </w:tcPr>
          <w:p>
            <w:pPr>
              <w:spacing w:after="40"/>
              <w:jc w:val="left"/>
            </w:pPr>
            <w:r/>
            <w:r>
              <w:rPr>
                <w:rFonts w:ascii="Arial" w:hAnsi="Arial"/>
                <w:b w:val="0"/>
                <w:i w:val="0"/>
                <w:sz w:val="16"/>
              </w:rPr>
              <w:t>Adult social care; children’s social care; SEND; schools and education; family support; care leavers; fostering and adoption; public health; carers; mental health links; Blue Badge and transport support.</w:t>
            </w:r>
          </w:p>
        </w:tc>
        <w:tc>
          <w:tcPr>
            <w:tcW w:type="dxa" w:w="2268"/>
            <w:vAlign w:val="top"/>
          </w:tcPr>
          <w:p>
            <w:pPr>
              <w:spacing w:after="40"/>
              <w:jc w:val="left"/>
            </w:pPr>
            <w:r/>
            <w:r>
              <w:rPr>
                <w:rFonts w:ascii="Arial" w:hAnsi="Arial"/>
                <w:b w:val="0"/>
                <w:i w:val="0"/>
                <w:sz w:val="16"/>
              </w:rPr>
              <w:t>This becomes the highest-risk resident service cluster because it includes vulnerable adults, children, safeguarding and complex multi-agency working.</w:t>
            </w:r>
          </w:p>
        </w:tc>
        <w:tc>
          <w:tcPr>
            <w:tcW w:type="dxa" w:w="2268"/>
            <w:vAlign w:val="top"/>
          </w:tcPr>
          <w:p>
            <w:pPr>
              <w:spacing w:after="40"/>
              <w:jc w:val="left"/>
            </w:pPr>
            <w:r/>
            <w:r>
              <w:rPr>
                <w:rFonts w:ascii="Arial" w:hAnsi="Arial"/>
                <w:b w:val="0"/>
                <w:i w:val="0"/>
                <w:sz w:val="16"/>
              </w:rPr>
              <w:t>Case management, safeguarding data, information governance, role-based access, partner integration and equality assessment.</w:t>
            </w:r>
          </w:p>
        </w:tc>
      </w:tr>
      <w:tr>
        <w:tc>
          <w:tcPr>
            <w:tcW w:type="dxa" w:w="1814"/>
            <w:vAlign w:val="top"/>
          </w:tcPr>
          <w:p>
            <w:pPr>
              <w:spacing w:after="40"/>
              <w:jc w:val="left"/>
            </w:pPr>
            <w:r/>
            <w:r>
              <w:rPr>
                <w:rFonts w:ascii="Arial" w:hAnsi="Arial"/>
                <w:b w:val="0"/>
                <w:i w:val="0"/>
                <w:sz w:val="16"/>
              </w:rPr>
              <w:t>3. Place, Environment and Regulatory Services</w:t>
            </w:r>
          </w:p>
        </w:tc>
        <w:tc>
          <w:tcPr>
            <w:tcW w:type="dxa" w:w="2154"/>
            <w:vAlign w:val="top"/>
          </w:tcPr>
          <w:p>
            <w:pPr>
              <w:spacing w:after="40"/>
              <w:jc w:val="left"/>
            </w:pPr>
            <w:r/>
            <w:r>
              <w:rPr>
                <w:rFonts w:ascii="Arial" w:hAnsi="Arial"/>
                <w:b w:val="0"/>
                <w:i w:val="0"/>
                <w:sz w:val="16"/>
              </w:rPr>
              <w:t>Planning, building control, waste, environmental health, licensing, parking, estates and regeneration.</w:t>
            </w:r>
          </w:p>
        </w:tc>
        <w:tc>
          <w:tcPr>
            <w:tcW w:type="dxa" w:w="2835"/>
            <w:vAlign w:val="top"/>
          </w:tcPr>
          <w:p>
            <w:pPr>
              <w:spacing w:after="40"/>
              <w:jc w:val="left"/>
            </w:pPr>
            <w:r/>
            <w:r>
              <w:rPr>
                <w:rFonts w:ascii="Arial" w:hAnsi="Arial"/>
                <w:b w:val="0"/>
                <w:i w:val="0"/>
                <w:sz w:val="16"/>
              </w:rPr>
              <w:t>Highways; roads and pavements; street lighting; roadworks; public transport; waste disposal; recycling centres; fire safety; trading standards; strategic environment; rights of way.</w:t>
            </w:r>
          </w:p>
        </w:tc>
        <w:tc>
          <w:tcPr>
            <w:tcW w:type="dxa" w:w="2268"/>
            <w:vAlign w:val="top"/>
          </w:tcPr>
          <w:p>
            <w:pPr>
              <w:spacing w:after="40"/>
              <w:jc w:val="left"/>
            </w:pPr>
            <w:r/>
            <w:r>
              <w:rPr>
                <w:rFonts w:ascii="Arial" w:hAnsi="Arial"/>
                <w:b w:val="0"/>
                <w:i w:val="0"/>
                <w:sz w:val="16"/>
              </w:rPr>
              <w:t>The cluster expands from district place services into the full place system, including county infrastructure, enforcement and public safety responsibilities.</w:t>
            </w:r>
          </w:p>
        </w:tc>
        <w:tc>
          <w:tcPr>
            <w:tcW w:type="dxa" w:w="2268"/>
            <w:vAlign w:val="top"/>
          </w:tcPr>
          <w:p>
            <w:pPr>
              <w:spacing w:after="40"/>
              <w:jc w:val="left"/>
            </w:pPr>
            <w:r/>
            <w:r>
              <w:rPr>
                <w:rFonts w:ascii="Arial" w:hAnsi="Arial"/>
                <w:b w:val="0"/>
                <w:i w:val="0"/>
                <w:sz w:val="16"/>
              </w:rPr>
              <w:t>Property and asset data, UPRN/USRN, GIS, mobile working, highways asset management, regulatory systems and field-force technology.</w:t>
            </w:r>
          </w:p>
        </w:tc>
      </w:tr>
      <w:tr>
        <w:tc>
          <w:tcPr>
            <w:tcW w:type="dxa" w:w="1814"/>
            <w:vAlign w:val="top"/>
          </w:tcPr>
          <w:p>
            <w:pPr>
              <w:spacing w:after="40"/>
              <w:jc w:val="left"/>
            </w:pPr>
            <w:r/>
            <w:r>
              <w:rPr>
                <w:rFonts w:ascii="Arial" w:hAnsi="Arial"/>
                <w:b w:val="0"/>
                <w:i w:val="0"/>
                <w:sz w:val="16"/>
              </w:rPr>
              <w:t>4. Corporate and Enabling Services</w:t>
            </w:r>
          </w:p>
        </w:tc>
        <w:tc>
          <w:tcPr>
            <w:tcW w:type="dxa" w:w="2154"/>
            <w:vAlign w:val="top"/>
          </w:tcPr>
          <w:p>
            <w:pPr>
              <w:spacing w:after="40"/>
              <w:jc w:val="left"/>
            </w:pPr>
            <w:r/>
            <w:r>
              <w:rPr>
                <w:rFonts w:ascii="Arial" w:hAnsi="Arial"/>
                <w:b w:val="0"/>
                <w:i w:val="0"/>
                <w:sz w:val="16"/>
              </w:rPr>
              <w:t>HR, Finance, Payroll, Procurement, Legal, Democratic Services, PMO, performance and risk.</w:t>
            </w:r>
          </w:p>
        </w:tc>
        <w:tc>
          <w:tcPr>
            <w:tcW w:type="dxa" w:w="2835"/>
            <w:vAlign w:val="top"/>
          </w:tcPr>
          <w:p>
            <w:pPr>
              <w:spacing w:after="40"/>
              <w:jc w:val="left"/>
            </w:pPr>
            <w:r/>
            <w:r>
              <w:rPr>
                <w:rFonts w:ascii="Arial" w:hAnsi="Arial"/>
                <w:b w:val="0"/>
                <w:i w:val="0"/>
                <w:sz w:val="16"/>
              </w:rPr>
              <w:t>County corporate services including HR, payroll, finance, legal, procurement, democratic services, pensions interfaces, commissioning, property, risk, audit and performance.</w:t>
            </w:r>
          </w:p>
        </w:tc>
        <w:tc>
          <w:tcPr>
            <w:tcW w:type="dxa" w:w="2268"/>
            <w:vAlign w:val="top"/>
          </w:tcPr>
          <w:p>
            <w:pPr>
              <w:spacing w:after="40"/>
              <w:jc w:val="left"/>
            </w:pPr>
            <w:r/>
            <w:r>
              <w:rPr>
                <w:rFonts w:ascii="Arial" w:hAnsi="Arial"/>
                <w:b w:val="0"/>
                <w:i w:val="0"/>
                <w:sz w:val="16"/>
              </w:rPr>
              <w:t>The new authority will need to absorb larger workforce, financial, governance and commissioning responsibilities before vesting day.</w:t>
            </w:r>
          </w:p>
        </w:tc>
        <w:tc>
          <w:tcPr>
            <w:tcW w:type="dxa" w:w="2268"/>
            <w:vAlign w:val="top"/>
          </w:tcPr>
          <w:p>
            <w:pPr>
              <w:spacing w:after="40"/>
              <w:jc w:val="left"/>
            </w:pPr>
            <w:r/>
            <w:r>
              <w:rPr>
                <w:rFonts w:ascii="Arial" w:hAnsi="Arial"/>
                <w:b w:val="0"/>
                <w:i w:val="0"/>
                <w:sz w:val="16"/>
              </w:rPr>
              <w:t>ERP, HR/payroll, finance codes, workforce records, delegations, procurement rules, scheme of delegation and corporate reporting.</w:t>
            </w:r>
          </w:p>
        </w:tc>
      </w:tr>
      <w:tr>
        <w:tc>
          <w:tcPr>
            <w:tcW w:type="dxa" w:w="1814"/>
            <w:vAlign w:val="top"/>
          </w:tcPr>
          <w:p>
            <w:pPr>
              <w:spacing w:after="40"/>
              <w:jc w:val="left"/>
            </w:pPr>
            <w:r/>
            <w:r>
              <w:rPr>
                <w:rFonts w:ascii="Arial" w:hAnsi="Arial"/>
                <w:b w:val="0"/>
                <w:i w:val="0"/>
                <w:sz w:val="16"/>
              </w:rPr>
              <w:t>5. Technology, Data, AI and Shared Platforms</w:t>
            </w:r>
          </w:p>
        </w:tc>
        <w:tc>
          <w:tcPr>
            <w:tcW w:type="dxa" w:w="2154"/>
            <w:vAlign w:val="top"/>
          </w:tcPr>
          <w:p>
            <w:pPr>
              <w:spacing w:after="40"/>
              <w:jc w:val="left"/>
            </w:pPr>
            <w:r/>
            <w:r>
              <w:rPr>
                <w:rFonts w:ascii="Arial" w:hAnsi="Arial"/>
                <w:b w:val="0"/>
                <w:i w:val="0"/>
                <w:sz w:val="16"/>
              </w:rPr>
              <w:t>Identity, integrations, data platform, reporting, cyber, M365, ERP, infrastructure and AI governance.</w:t>
            </w:r>
          </w:p>
        </w:tc>
        <w:tc>
          <w:tcPr>
            <w:tcW w:type="dxa" w:w="2835"/>
            <w:vAlign w:val="top"/>
          </w:tcPr>
          <w:p>
            <w:pPr>
              <w:spacing w:after="40"/>
              <w:jc w:val="left"/>
            </w:pPr>
            <w:r/>
            <w:r>
              <w:rPr>
                <w:rFonts w:ascii="Arial" w:hAnsi="Arial"/>
                <w:b w:val="0"/>
                <w:i w:val="0"/>
                <w:sz w:val="16"/>
              </w:rPr>
              <w:t>County systems for adult care, children’s services, education, highways, libraries, registration, fire, public health, trading standards, transport and corporate platforms.</w:t>
            </w:r>
          </w:p>
        </w:tc>
        <w:tc>
          <w:tcPr>
            <w:tcW w:type="dxa" w:w="2268"/>
            <w:vAlign w:val="top"/>
          </w:tcPr>
          <w:p>
            <w:pPr>
              <w:spacing w:after="40"/>
              <w:jc w:val="left"/>
            </w:pPr>
            <w:r/>
            <w:r>
              <w:rPr>
                <w:rFonts w:ascii="Arial" w:hAnsi="Arial"/>
                <w:b w:val="0"/>
                <w:i w:val="0"/>
                <w:sz w:val="16"/>
              </w:rPr>
              <w:t>County services introduce complex, sensitive, high-volume platforms and partner integrations that must be designed as shared foundations.</w:t>
            </w:r>
          </w:p>
        </w:tc>
        <w:tc>
          <w:tcPr>
            <w:tcW w:type="dxa" w:w="2268"/>
            <w:vAlign w:val="top"/>
          </w:tcPr>
          <w:p>
            <w:pPr>
              <w:spacing w:after="40"/>
              <w:jc w:val="left"/>
            </w:pPr>
            <w:r/>
            <w:r>
              <w:rPr>
                <w:rFonts w:ascii="Arial" w:hAnsi="Arial"/>
                <w:b w:val="0"/>
                <w:i w:val="0"/>
                <w:sz w:val="16"/>
              </w:rPr>
              <w:t>Identity, cyber, integration, data migration, API patterns, records management, reporting, business continuity and AI governance.</w:t>
            </w:r>
          </w:p>
        </w:tc>
      </w:tr>
    </w:tbl>
    <w:p>
      <w:pPr>
        <w:spacing w:after="40"/>
      </w:pPr>
    </w:p>
    <w:p>
      <w:pPr>
        <w:spacing w:after="160"/>
      </w:pPr>
      <w:r>
        <w:rPr>
          <w:rFonts w:ascii="Arial" w:hAnsi="Arial"/>
          <w:b w:val="0"/>
          <w:i/>
          <w:color w:val="2F2F2F"/>
          <w:sz w:val="18"/>
        </w:rPr>
        <w:t>Thinking and justification: This table is the main change to Appendix B. It shows that county services can be absorbed into the existing cluster model without changing the overall structure.</w:t>
      </w:r>
    </w:p>
    <w:p>
      <w:pPr>
        <w:spacing w:before="200" w:after="80"/>
      </w:pPr>
      <w:r>
        <w:rPr>
          <w:rFonts w:ascii="Arial" w:hAnsi="Arial"/>
          <w:b/>
          <w:color w:val="0070A3"/>
          <w:sz w:val="32"/>
        </w:rPr>
        <w:t>5. Detailed Service Cluster Make-Up</w:t>
      </w:r>
    </w:p>
    <w:p>
      <w:pPr>
        <w:spacing w:before="120" w:after="80"/>
      </w:pPr>
      <w:r>
        <w:rPr>
          <w:rFonts w:ascii="Arial" w:hAnsi="Arial"/>
          <w:b/>
          <w:color w:val="0070A3"/>
          <w:sz w:val="26"/>
        </w:rPr>
        <w:t>5.1 Cluster 1 – Customer, Access and Resident Experience</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Aspect</w:t>
            </w:r>
          </w:p>
        </w:tc>
        <w:tc>
          <w:tcPr>
            <w:tcW w:type="dxa" w:w="6803"/>
            <w:shd w:fill="D9EAD3"/>
            <w:vAlign w:val="top"/>
          </w:tcPr>
          <w:p>
            <w:pPr>
              <w:spacing w:after="40"/>
              <w:jc w:val="left"/>
            </w:pPr>
            <w:r/>
            <w:r>
              <w:rPr>
                <w:rFonts w:ascii="Arial" w:hAnsi="Arial"/>
                <w:b/>
                <w:i w:val="0"/>
                <w:sz w:val="17"/>
              </w:rPr>
              <w:t>Detail</w:t>
            </w:r>
          </w:p>
        </w:tc>
      </w:tr>
      <w:tr>
        <w:tc>
          <w:tcPr>
            <w:tcW w:type="dxa" w:w="2268"/>
            <w:vAlign w:val="top"/>
          </w:tcPr>
          <w:p>
            <w:pPr>
              <w:spacing w:after="40"/>
              <w:jc w:val="left"/>
            </w:pPr>
            <w:r/>
            <w:r>
              <w:rPr>
                <w:rFonts w:ascii="Arial" w:hAnsi="Arial"/>
                <w:b w:val="0"/>
                <w:i w:val="0"/>
                <w:sz w:val="16"/>
              </w:rPr>
              <w:t>County service addition</w:t>
            </w:r>
          </w:p>
        </w:tc>
        <w:tc>
          <w:tcPr>
            <w:tcW w:type="dxa" w:w="6803"/>
            <w:vAlign w:val="top"/>
          </w:tcPr>
          <w:p>
            <w:pPr>
              <w:spacing w:after="40"/>
              <w:jc w:val="left"/>
            </w:pPr>
            <w:r/>
            <w:r>
              <w:rPr>
                <w:rFonts w:ascii="Arial" w:hAnsi="Arial"/>
                <w:b w:val="0"/>
                <w:i w:val="0"/>
                <w:sz w:val="16"/>
              </w:rPr>
              <w:t>Adult social care contact, children’s services contact, school admissions, Blue Badge, bus passes, highways reporting, registration services, libraries and archives, recycling centre enquiries.</w:t>
            </w:r>
          </w:p>
        </w:tc>
      </w:tr>
      <w:tr>
        <w:tc>
          <w:tcPr>
            <w:tcW w:type="dxa" w:w="2268"/>
            <w:vAlign w:val="top"/>
          </w:tcPr>
          <w:p>
            <w:pPr>
              <w:spacing w:after="40"/>
              <w:jc w:val="left"/>
            </w:pPr>
            <w:r/>
            <w:r>
              <w:rPr>
                <w:rFonts w:ascii="Arial" w:hAnsi="Arial"/>
                <w:b w:val="0"/>
                <w:i w:val="0"/>
                <w:sz w:val="16"/>
              </w:rPr>
              <w:t>Customer journey impact</w:t>
            </w:r>
          </w:p>
        </w:tc>
        <w:tc>
          <w:tcPr>
            <w:tcW w:type="dxa" w:w="6803"/>
            <w:vAlign w:val="top"/>
          </w:tcPr>
          <w:p>
            <w:pPr>
              <w:spacing w:after="40"/>
              <w:jc w:val="left"/>
            </w:pPr>
            <w:r/>
            <w:r>
              <w:rPr>
                <w:rFonts w:ascii="Arial" w:hAnsi="Arial"/>
                <w:b w:val="0"/>
                <w:i w:val="0"/>
                <w:sz w:val="16"/>
              </w:rPr>
              <w:t>Residents may come through one front door for urgent social care, school place queries, road defects, registrations, library services or transport support.</w:t>
            </w:r>
          </w:p>
        </w:tc>
      </w:tr>
      <w:tr>
        <w:tc>
          <w:tcPr>
            <w:tcW w:type="dxa" w:w="2268"/>
            <w:vAlign w:val="top"/>
          </w:tcPr>
          <w:p>
            <w:pPr>
              <w:spacing w:after="40"/>
              <w:jc w:val="left"/>
            </w:pPr>
            <w:r/>
            <w:r>
              <w:rPr>
                <w:rFonts w:ascii="Arial" w:hAnsi="Arial"/>
                <w:b w:val="0"/>
                <w:i w:val="0"/>
                <w:sz w:val="16"/>
              </w:rPr>
              <w:t>Data impact</w:t>
            </w:r>
          </w:p>
        </w:tc>
        <w:tc>
          <w:tcPr>
            <w:tcW w:type="dxa" w:w="6803"/>
            <w:vAlign w:val="top"/>
          </w:tcPr>
          <w:p>
            <w:pPr>
              <w:spacing w:after="40"/>
              <w:jc w:val="left"/>
            </w:pPr>
            <w:r/>
            <w:r>
              <w:rPr>
                <w:rFonts w:ascii="Arial" w:hAnsi="Arial"/>
                <w:b w:val="0"/>
                <w:i w:val="0"/>
                <w:sz w:val="16"/>
              </w:rPr>
              <w:t>Customer identity, resident record, property/address, case reference, eligibility, contact preferences and accessibility needs.</w:t>
            </w:r>
          </w:p>
        </w:tc>
      </w:tr>
      <w:tr>
        <w:tc>
          <w:tcPr>
            <w:tcW w:type="dxa" w:w="2268"/>
            <w:vAlign w:val="top"/>
          </w:tcPr>
          <w:p>
            <w:pPr>
              <w:spacing w:after="40"/>
              <w:jc w:val="left"/>
            </w:pPr>
            <w:r/>
            <w:r>
              <w:rPr>
                <w:rFonts w:ascii="Arial" w:hAnsi="Arial"/>
                <w:b w:val="0"/>
                <w:i w:val="0"/>
                <w:sz w:val="16"/>
              </w:rPr>
              <w:t>Application impact</w:t>
            </w:r>
          </w:p>
        </w:tc>
        <w:tc>
          <w:tcPr>
            <w:tcW w:type="dxa" w:w="6803"/>
            <w:vAlign w:val="top"/>
          </w:tcPr>
          <w:p>
            <w:pPr>
              <w:spacing w:after="40"/>
              <w:jc w:val="left"/>
            </w:pPr>
            <w:r/>
            <w:r>
              <w:rPr>
                <w:rFonts w:ascii="Arial" w:hAnsi="Arial"/>
                <w:b w:val="0"/>
                <w:i w:val="0"/>
                <w:sz w:val="16"/>
              </w:rPr>
              <w:t>CRM, web forms, adult care portals, school admissions systems, Blue Badge systems, registration booking, highways fault reporting and library systems.</w:t>
            </w:r>
          </w:p>
        </w:tc>
      </w:tr>
      <w:tr>
        <w:tc>
          <w:tcPr>
            <w:tcW w:type="dxa" w:w="2268"/>
            <w:vAlign w:val="top"/>
          </w:tcPr>
          <w:p>
            <w:pPr>
              <w:spacing w:after="40"/>
              <w:jc w:val="left"/>
            </w:pPr>
            <w:r/>
            <w:r>
              <w:rPr>
                <w:rFonts w:ascii="Arial" w:hAnsi="Arial"/>
                <w:b w:val="0"/>
                <w:i w:val="0"/>
                <w:sz w:val="16"/>
              </w:rPr>
              <w:t>Design concern</w:t>
            </w:r>
          </w:p>
        </w:tc>
        <w:tc>
          <w:tcPr>
            <w:tcW w:type="dxa" w:w="6803"/>
            <w:vAlign w:val="top"/>
          </w:tcPr>
          <w:p>
            <w:pPr>
              <w:spacing w:after="40"/>
              <w:jc w:val="left"/>
            </w:pPr>
            <w:r/>
            <w:r>
              <w:rPr>
                <w:rFonts w:ascii="Arial" w:hAnsi="Arial"/>
                <w:b w:val="0"/>
                <w:i w:val="0"/>
                <w:sz w:val="16"/>
              </w:rPr>
              <w:t>Triage must distinguish routine enquiries from urgent safeguarding, social care or highways emergency issues.</w:t>
            </w:r>
          </w:p>
        </w:tc>
      </w:tr>
    </w:tbl>
    <w:p>
      <w:pPr>
        <w:spacing w:after="40"/>
      </w:pPr>
    </w:p>
    <w:p>
      <w:pPr>
        <w:spacing w:after="160"/>
      </w:pPr>
      <w:r>
        <w:rPr>
          <w:rFonts w:ascii="Arial" w:hAnsi="Arial"/>
          <w:b w:val="0"/>
          <w:i/>
          <w:color w:val="2F2F2F"/>
          <w:sz w:val="18"/>
        </w:rPr>
        <w:t>Thinking and justification: The front door becomes significantly more complex when county services are added. The future authority will need careful triage, channel design and routing to protect urgent and statutory services.</w:t>
      </w:r>
    </w:p>
    <w:p>
      <w:pPr>
        <w:spacing w:before="120" w:after="80"/>
      </w:pPr>
      <w:r>
        <w:rPr>
          <w:rFonts w:ascii="Arial" w:hAnsi="Arial"/>
          <w:b/>
          <w:color w:val="0070A3"/>
          <w:sz w:val="26"/>
        </w:rPr>
        <w:t>5.2 Cluster 2 – Community, Housing and People Services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Aspect</w:t>
            </w:r>
          </w:p>
        </w:tc>
        <w:tc>
          <w:tcPr>
            <w:tcW w:type="dxa" w:w="6803"/>
            <w:shd w:fill="D9EAD3"/>
            <w:vAlign w:val="top"/>
          </w:tcPr>
          <w:p>
            <w:pPr>
              <w:spacing w:after="40"/>
              <w:jc w:val="left"/>
            </w:pPr>
            <w:r/>
            <w:r>
              <w:rPr>
                <w:rFonts w:ascii="Arial" w:hAnsi="Arial"/>
                <w:b/>
                <w:i w:val="0"/>
                <w:sz w:val="17"/>
              </w:rPr>
              <w:t>Detail</w:t>
            </w:r>
          </w:p>
        </w:tc>
      </w:tr>
      <w:tr>
        <w:tc>
          <w:tcPr>
            <w:tcW w:type="dxa" w:w="2268"/>
            <w:vAlign w:val="top"/>
          </w:tcPr>
          <w:p>
            <w:pPr>
              <w:spacing w:after="40"/>
              <w:jc w:val="left"/>
            </w:pPr>
            <w:r/>
            <w:r>
              <w:rPr>
                <w:rFonts w:ascii="Arial" w:hAnsi="Arial"/>
                <w:b w:val="0"/>
                <w:i w:val="0"/>
                <w:sz w:val="16"/>
              </w:rPr>
              <w:t>County service addition</w:t>
            </w:r>
          </w:p>
        </w:tc>
        <w:tc>
          <w:tcPr>
            <w:tcW w:type="dxa" w:w="6803"/>
            <w:vAlign w:val="top"/>
          </w:tcPr>
          <w:p>
            <w:pPr>
              <w:spacing w:after="40"/>
              <w:jc w:val="left"/>
            </w:pPr>
            <w:r/>
            <w:r>
              <w:rPr>
                <w:rFonts w:ascii="Arial" w:hAnsi="Arial"/>
                <w:b w:val="0"/>
                <w:i w:val="0"/>
                <w:sz w:val="16"/>
              </w:rPr>
              <w:t>Adult social care, children’s social care, child protection, SEND, schools, school transport, family centres, fostering, adoption, care leavers, public health, carers and mental health links.</w:t>
            </w:r>
          </w:p>
        </w:tc>
      </w:tr>
      <w:tr>
        <w:tc>
          <w:tcPr>
            <w:tcW w:type="dxa" w:w="2268"/>
            <w:vAlign w:val="top"/>
          </w:tcPr>
          <w:p>
            <w:pPr>
              <w:spacing w:after="40"/>
              <w:jc w:val="left"/>
            </w:pPr>
            <w:r/>
            <w:r>
              <w:rPr>
                <w:rFonts w:ascii="Arial" w:hAnsi="Arial"/>
                <w:b w:val="0"/>
                <w:i w:val="0"/>
                <w:sz w:val="16"/>
              </w:rPr>
              <w:t>Customer journey impact</w:t>
            </w:r>
          </w:p>
        </w:tc>
        <w:tc>
          <w:tcPr>
            <w:tcW w:type="dxa" w:w="6803"/>
            <w:vAlign w:val="top"/>
          </w:tcPr>
          <w:p>
            <w:pPr>
              <w:spacing w:after="40"/>
              <w:jc w:val="left"/>
            </w:pPr>
            <w:r/>
            <w:r>
              <w:rPr>
                <w:rFonts w:ascii="Arial" w:hAnsi="Arial"/>
                <w:b w:val="0"/>
                <w:i w:val="0"/>
                <w:sz w:val="16"/>
              </w:rPr>
              <w:t>Residents may move between housing, homelessness, adult care, children’s services, public health and voluntary sector support.</w:t>
            </w:r>
          </w:p>
        </w:tc>
      </w:tr>
      <w:tr>
        <w:tc>
          <w:tcPr>
            <w:tcW w:type="dxa" w:w="2268"/>
            <w:vAlign w:val="top"/>
          </w:tcPr>
          <w:p>
            <w:pPr>
              <w:spacing w:after="40"/>
              <w:jc w:val="left"/>
            </w:pPr>
            <w:r/>
            <w:r>
              <w:rPr>
                <w:rFonts w:ascii="Arial" w:hAnsi="Arial"/>
                <w:b w:val="0"/>
                <w:i w:val="0"/>
                <w:sz w:val="16"/>
              </w:rPr>
              <w:t>Data impact</w:t>
            </w:r>
          </w:p>
        </w:tc>
        <w:tc>
          <w:tcPr>
            <w:tcW w:type="dxa" w:w="6803"/>
            <w:vAlign w:val="top"/>
          </w:tcPr>
          <w:p>
            <w:pPr>
              <w:spacing w:after="40"/>
              <w:jc w:val="left"/>
            </w:pPr>
            <w:r/>
            <w:r>
              <w:rPr>
                <w:rFonts w:ascii="Arial" w:hAnsi="Arial"/>
                <w:b w:val="0"/>
                <w:i w:val="0"/>
                <w:sz w:val="16"/>
              </w:rPr>
              <w:t>Highly sensitive personal data, special category data, safeguarding records, education data, care records and multi-agency information sharing.</w:t>
            </w:r>
          </w:p>
        </w:tc>
      </w:tr>
      <w:tr>
        <w:tc>
          <w:tcPr>
            <w:tcW w:type="dxa" w:w="2268"/>
            <w:vAlign w:val="top"/>
          </w:tcPr>
          <w:p>
            <w:pPr>
              <w:spacing w:after="40"/>
              <w:jc w:val="left"/>
            </w:pPr>
            <w:r/>
            <w:r>
              <w:rPr>
                <w:rFonts w:ascii="Arial" w:hAnsi="Arial"/>
                <w:b w:val="0"/>
                <w:i w:val="0"/>
                <w:sz w:val="16"/>
              </w:rPr>
              <w:t>Application impact</w:t>
            </w:r>
          </w:p>
        </w:tc>
        <w:tc>
          <w:tcPr>
            <w:tcW w:type="dxa" w:w="6803"/>
            <w:vAlign w:val="top"/>
          </w:tcPr>
          <w:p>
            <w:pPr>
              <w:spacing w:after="40"/>
              <w:jc w:val="left"/>
            </w:pPr>
            <w:r/>
            <w:r>
              <w:rPr>
                <w:rFonts w:ascii="Arial" w:hAnsi="Arial"/>
                <w:b w:val="0"/>
                <w:i w:val="0"/>
                <w:sz w:val="16"/>
              </w:rPr>
              <w:t>Adult social care systems, children’s case management, education systems, SEND systems, public health reporting, housing systems and partner portals.</w:t>
            </w:r>
          </w:p>
        </w:tc>
      </w:tr>
      <w:tr>
        <w:tc>
          <w:tcPr>
            <w:tcW w:type="dxa" w:w="2268"/>
            <w:vAlign w:val="top"/>
          </w:tcPr>
          <w:p>
            <w:pPr>
              <w:spacing w:after="40"/>
              <w:jc w:val="left"/>
            </w:pPr>
            <w:r/>
            <w:r>
              <w:rPr>
                <w:rFonts w:ascii="Arial" w:hAnsi="Arial"/>
                <w:b w:val="0"/>
                <w:i w:val="0"/>
                <w:sz w:val="16"/>
              </w:rPr>
              <w:t>Design concern</w:t>
            </w:r>
          </w:p>
        </w:tc>
        <w:tc>
          <w:tcPr>
            <w:tcW w:type="dxa" w:w="6803"/>
            <w:vAlign w:val="top"/>
          </w:tcPr>
          <w:p>
            <w:pPr>
              <w:spacing w:after="40"/>
              <w:jc w:val="left"/>
            </w:pPr>
            <w:r/>
            <w:r>
              <w:rPr>
                <w:rFonts w:ascii="Arial" w:hAnsi="Arial"/>
                <w:b w:val="0"/>
                <w:i w:val="0"/>
                <w:sz w:val="16"/>
              </w:rPr>
              <w:t>The cluster requires strong information governance, role-based access, data-sharing agreements and careful service continuity planning.</w:t>
            </w:r>
          </w:p>
        </w:tc>
      </w:tr>
    </w:tbl>
    <w:p>
      <w:pPr>
        <w:spacing w:after="40"/>
      </w:pPr>
    </w:p>
    <w:p>
      <w:pPr>
        <w:spacing w:after="160"/>
      </w:pPr>
      <w:r>
        <w:rPr>
          <w:rFonts w:ascii="Arial" w:hAnsi="Arial"/>
          <w:b w:val="0"/>
          <w:i/>
          <w:color w:val="2F2F2F"/>
          <w:sz w:val="18"/>
        </w:rPr>
        <w:t>Thinking and justification: This cluster will carry the greatest safeguarding and equality implications. It should receive early architecture attention because failures here could affect vulnerable residents and statutory duties.</w:t>
      </w:r>
    </w:p>
    <w:p>
      <w:pPr>
        <w:spacing w:before="120" w:after="80"/>
      </w:pPr>
      <w:r>
        <w:rPr>
          <w:rFonts w:ascii="Arial" w:hAnsi="Arial"/>
          <w:b/>
          <w:color w:val="0070A3"/>
          <w:sz w:val="26"/>
        </w:rPr>
        <w:t>5.3 Cluster 3 – Place, Environment and Regulatory Services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Aspect</w:t>
            </w:r>
          </w:p>
        </w:tc>
        <w:tc>
          <w:tcPr>
            <w:tcW w:type="dxa" w:w="6803"/>
            <w:shd w:fill="D9EAD3"/>
            <w:vAlign w:val="top"/>
          </w:tcPr>
          <w:p>
            <w:pPr>
              <w:spacing w:after="40"/>
              <w:jc w:val="left"/>
            </w:pPr>
            <w:r/>
            <w:r>
              <w:rPr>
                <w:rFonts w:ascii="Arial" w:hAnsi="Arial"/>
                <w:b/>
                <w:i w:val="0"/>
                <w:sz w:val="17"/>
              </w:rPr>
              <w:t>Detail</w:t>
            </w:r>
          </w:p>
        </w:tc>
      </w:tr>
      <w:tr>
        <w:tc>
          <w:tcPr>
            <w:tcW w:type="dxa" w:w="2268"/>
            <w:vAlign w:val="top"/>
          </w:tcPr>
          <w:p>
            <w:pPr>
              <w:spacing w:after="40"/>
              <w:jc w:val="left"/>
            </w:pPr>
            <w:r/>
            <w:r>
              <w:rPr>
                <w:rFonts w:ascii="Arial" w:hAnsi="Arial"/>
                <w:b w:val="0"/>
                <w:i w:val="0"/>
                <w:sz w:val="16"/>
              </w:rPr>
              <w:t>County service addition</w:t>
            </w:r>
          </w:p>
        </w:tc>
        <w:tc>
          <w:tcPr>
            <w:tcW w:type="dxa" w:w="6803"/>
            <w:vAlign w:val="top"/>
          </w:tcPr>
          <w:p>
            <w:pPr>
              <w:spacing w:after="40"/>
              <w:jc w:val="left"/>
            </w:pPr>
            <w:r/>
            <w:r>
              <w:rPr>
                <w:rFonts w:ascii="Arial" w:hAnsi="Arial"/>
                <w:b w:val="0"/>
                <w:i w:val="0"/>
                <w:sz w:val="16"/>
              </w:rPr>
              <w:t>Highways, roads and pavements, roadworks, public transport, street lighting, waste disposal, recycling centres, fire safety, trading standards, rights of way and strategic environment.</w:t>
            </w:r>
          </w:p>
        </w:tc>
      </w:tr>
      <w:tr>
        <w:tc>
          <w:tcPr>
            <w:tcW w:type="dxa" w:w="2268"/>
            <w:vAlign w:val="top"/>
          </w:tcPr>
          <w:p>
            <w:pPr>
              <w:spacing w:after="40"/>
              <w:jc w:val="left"/>
            </w:pPr>
            <w:r/>
            <w:r>
              <w:rPr>
                <w:rFonts w:ascii="Arial" w:hAnsi="Arial"/>
                <w:b w:val="0"/>
                <w:i w:val="0"/>
                <w:sz w:val="16"/>
              </w:rPr>
              <w:t>Customer journey impact</w:t>
            </w:r>
          </w:p>
        </w:tc>
        <w:tc>
          <w:tcPr>
            <w:tcW w:type="dxa" w:w="6803"/>
            <w:vAlign w:val="top"/>
          </w:tcPr>
          <w:p>
            <w:pPr>
              <w:spacing w:after="40"/>
              <w:jc w:val="left"/>
            </w:pPr>
            <w:r/>
            <w:r>
              <w:rPr>
                <w:rFonts w:ascii="Arial" w:hAnsi="Arial"/>
                <w:b w:val="0"/>
                <w:i w:val="0"/>
                <w:sz w:val="16"/>
              </w:rPr>
              <w:t>Residents and businesses will expect joined-up reporting and updates across potholes, waste, planning, licensing, highways, fire safety and environmental issues.</w:t>
            </w:r>
          </w:p>
        </w:tc>
      </w:tr>
      <w:tr>
        <w:tc>
          <w:tcPr>
            <w:tcW w:type="dxa" w:w="2268"/>
            <w:vAlign w:val="top"/>
          </w:tcPr>
          <w:p>
            <w:pPr>
              <w:spacing w:after="40"/>
              <w:jc w:val="left"/>
            </w:pPr>
            <w:r/>
            <w:r>
              <w:rPr>
                <w:rFonts w:ascii="Arial" w:hAnsi="Arial"/>
                <w:b w:val="0"/>
                <w:i w:val="0"/>
                <w:sz w:val="16"/>
              </w:rPr>
              <w:t>Data impact</w:t>
            </w:r>
          </w:p>
        </w:tc>
        <w:tc>
          <w:tcPr>
            <w:tcW w:type="dxa" w:w="6803"/>
            <w:vAlign w:val="top"/>
          </w:tcPr>
          <w:p>
            <w:pPr>
              <w:spacing w:after="40"/>
              <w:jc w:val="left"/>
            </w:pPr>
            <w:r/>
            <w:r>
              <w:rPr>
                <w:rFonts w:ascii="Arial" w:hAnsi="Arial"/>
                <w:b w:val="0"/>
                <w:i w:val="0"/>
                <w:sz w:val="16"/>
              </w:rPr>
              <w:t>UPRN, USRN, GIS, asset records, road network data, business records, inspection records, permits, licences and enforcement case data.</w:t>
            </w:r>
          </w:p>
        </w:tc>
      </w:tr>
      <w:tr>
        <w:tc>
          <w:tcPr>
            <w:tcW w:type="dxa" w:w="2268"/>
            <w:vAlign w:val="top"/>
          </w:tcPr>
          <w:p>
            <w:pPr>
              <w:spacing w:after="40"/>
              <w:jc w:val="left"/>
            </w:pPr>
            <w:r/>
            <w:r>
              <w:rPr>
                <w:rFonts w:ascii="Arial" w:hAnsi="Arial"/>
                <w:b w:val="0"/>
                <w:i w:val="0"/>
                <w:sz w:val="16"/>
              </w:rPr>
              <w:t>Application impact</w:t>
            </w:r>
          </w:p>
        </w:tc>
        <w:tc>
          <w:tcPr>
            <w:tcW w:type="dxa" w:w="6803"/>
            <w:vAlign w:val="top"/>
          </w:tcPr>
          <w:p>
            <w:pPr>
              <w:spacing w:after="40"/>
              <w:jc w:val="left"/>
            </w:pPr>
            <w:r/>
            <w:r>
              <w:rPr>
                <w:rFonts w:ascii="Arial" w:hAnsi="Arial"/>
                <w:b w:val="0"/>
                <w:i w:val="0"/>
                <w:sz w:val="16"/>
              </w:rPr>
              <w:t>Highways asset systems, GIS, waste and recycling platforms, regulatory systems, licensing, planning, mobile inspection tools and fire safety systems.</w:t>
            </w:r>
          </w:p>
        </w:tc>
      </w:tr>
      <w:tr>
        <w:tc>
          <w:tcPr>
            <w:tcW w:type="dxa" w:w="2268"/>
            <w:vAlign w:val="top"/>
          </w:tcPr>
          <w:p>
            <w:pPr>
              <w:spacing w:after="40"/>
              <w:jc w:val="left"/>
            </w:pPr>
            <w:r/>
            <w:r>
              <w:rPr>
                <w:rFonts w:ascii="Arial" w:hAnsi="Arial"/>
                <w:b w:val="0"/>
                <w:i w:val="0"/>
                <w:sz w:val="16"/>
              </w:rPr>
              <w:t>Design concern</w:t>
            </w:r>
          </w:p>
        </w:tc>
        <w:tc>
          <w:tcPr>
            <w:tcW w:type="dxa" w:w="6803"/>
            <w:vAlign w:val="top"/>
          </w:tcPr>
          <w:p>
            <w:pPr>
              <w:spacing w:after="40"/>
              <w:jc w:val="left"/>
            </w:pPr>
            <w:r/>
            <w:r>
              <w:rPr>
                <w:rFonts w:ascii="Arial" w:hAnsi="Arial"/>
                <w:b w:val="0"/>
                <w:i w:val="0"/>
                <w:sz w:val="16"/>
              </w:rPr>
              <w:t>Place-based services require common location data and strong links between customer reporting, field operations and asset management.</w:t>
            </w:r>
          </w:p>
        </w:tc>
      </w:tr>
    </w:tbl>
    <w:p>
      <w:pPr>
        <w:spacing w:after="40"/>
      </w:pPr>
    </w:p>
    <w:p>
      <w:pPr>
        <w:spacing w:after="160"/>
      </w:pPr>
      <w:r>
        <w:rPr>
          <w:rFonts w:ascii="Arial" w:hAnsi="Arial"/>
          <w:b w:val="0"/>
          <w:i/>
          <w:color w:val="2F2F2F"/>
          <w:sz w:val="18"/>
        </w:rPr>
        <w:t>Thinking and justification: Adding county place services turns this cluster into a full place-management model. UPRN, USRN and GIS become critical foundations because so many services depend on location and asset data.</w:t>
      </w:r>
    </w:p>
    <w:p>
      <w:pPr>
        <w:spacing w:before="120" w:after="80"/>
      </w:pPr>
      <w:r>
        <w:rPr>
          <w:rFonts w:ascii="Arial" w:hAnsi="Arial"/>
          <w:b/>
          <w:color w:val="0070A3"/>
          <w:sz w:val="26"/>
        </w:rPr>
        <w:t>5.4 Cluster 4 – Corporate and Enabling Services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Aspect</w:t>
            </w:r>
          </w:p>
        </w:tc>
        <w:tc>
          <w:tcPr>
            <w:tcW w:type="dxa" w:w="6803"/>
            <w:shd w:fill="D9EAD3"/>
            <w:vAlign w:val="top"/>
          </w:tcPr>
          <w:p>
            <w:pPr>
              <w:spacing w:after="40"/>
              <w:jc w:val="left"/>
            </w:pPr>
            <w:r/>
            <w:r>
              <w:rPr>
                <w:rFonts w:ascii="Arial" w:hAnsi="Arial"/>
                <w:b/>
                <w:i w:val="0"/>
                <w:sz w:val="17"/>
              </w:rPr>
              <w:t>Detail</w:t>
            </w:r>
          </w:p>
        </w:tc>
      </w:tr>
      <w:tr>
        <w:tc>
          <w:tcPr>
            <w:tcW w:type="dxa" w:w="2268"/>
            <w:vAlign w:val="top"/>
          </w:tcPr>
          <w:p>
            <w:pPr>
              <w:spacing w:after="40"/>
              <w:jc w:val="left"/>
            </w:pPr>
            <w:r/>
            <w:r>
              <w:rPr>
                <w:rFonts w:ascii="Arial" w:hAnsi="Arial"/>
                <w:b w:val="0"/>
                <w:i w:val="0"/>
                <w:sz w:val="16"/>
              </w:rPr>
              <w:t>County service addition</w:t>
            </w:r>
          </w:p>
        </w:tc>
        <w:tc>
          <w:tcPr>
            <w:tcW w:type="dxa" w:w="6803"/>
            <w:vAlign w:val="top"/>
          </w:tcPr>
          <w:p>
            <w:pPr>
              <w:spacing w:after="40"/>
              <w:jc w:val="left"/>
            </w:pPr>
            <w:r/>
            <w:r>
              <w:rPr>
                <w:rFonts w:ascii="Arial" w:hAnsi="Arial"/>
                <w:b w:val="0"/>
                <w:i w:val="0"/>
                <w:sz w:val="16"/>
              </w:rPr>
              <w:t>County HR, payroll, finance, procurement, legal, democratic services, commissioning, audit, risk, property, corporate performance and workforce development.</w:t>
            </w:r>
          </w:p>
        </w:tc>
      </w:tr>
      <w:tr>
        <w:tc>
          <w:tcPr>
            <w:tcW w:type="dxa" w:w="2268"/>
            <w:vAlign w:val="top"/>
          </w:tcPr>
          <w:p>
            <w:pPr>
              <w:spacing w:after="40"/>
              <w:jc w:val="left"/>
            </w:pPr>
            <w:r/>
            <w:r>
              <w:rPr>
                <w:rFonts w:ascii="Arial" w:hAnsi="Arial"/>
                <w:b w:val="0"/>
                <w:i w:val="0"/>
                <w:sz w:val="16"/>
              </w:rPr>
              <w:t>Customer journey impact</w:t>
            </w:r>
          </w:p>
        </w:tc>
        <w:tc>
          <w:tcPr>
            <w:tcW w:type="dxa" w:w="6803"/>
            <w:vAlign w:val="top"/>
          </w:tcPr>
          <w:p>
            <w:pPr>
              <w:spacing w:after="40"/>
              <w:jc w:val="left"/>
            </w:pPr>
            <w:r/>
            <w:r>
              <w:rPr>
                <w:rFonts w:ascii="Arial" w:hAnsi="Arial"/>
                <w:b w:val="0"/>
                <w:i w:val="0"/>
                <w:sz w:val="16"/>
              </w:rPr>
              <w:t>Residents may not see this cluster directly, but it determines whether the new authority can employ staff, pay suppliers, govern decisions and manage budgets.</w:t>
            </w:r>
          </w:p>
        </w:tc>
      </w:tr>
      <w:tr>
        <w:tc>
          <w:tcPr>
            <w:tcW w:type="dxa" w:w="2268"/>
            <w:vAlign w:val="top"/>
          </w:tcPr>
          <w:p>
            <w:pPr>
              <w:spacing w:after="40"/>
              <w:jc w:val="left"/>
            </w:pPr>
            <w:r/>
            <w:r>
              <w:rPr>
                <w:rFonts w:ascii="Arial" w:hAnsi="Arial"/>
                <w:b w:val="0"/>
                <w:i w:val="0"/>
                <w:sz w:val="16"/>
              </w:rPr>
              <w:t>Data impact</w:t>
            </w:r>
          </w:p>
        </w:tc>
        <w:tc>
          <w:tcPr>
            <w:tcW w:type="dxa" w:w="6803"/>
            <w:vAlign w:val="top"/>
          </w:tcPr>
          <w:p>
            <w:pPr>
              <w:spacing w:after="40"/>
              <w:jc w:val="left"/>
            </w:pPr>
            <w:r/>
            <w:r>
              <w:rPr>
                <w:rFonts w:ascii="Arial" w:hAnsi="Arial"/>
                <w:b w:val="0"/>
                <w:i w:val="0"/>
                <w:sz w:val="16"/>
              </w:rPr>
              <w:t>Employee records, payroll, finance codes, supplier data, contracts, member records, delegations, assets, budgets and performance indicators.</w:t>
            </w:r>
          </w:p>
        </w:tc>
      </w:tr>
      <w:tr>
        <w:tc>
          <w:tcPr>
            <w:tcW w:type="dxa" w:w="2268"/>
            <w:vAlign w:val="top"/>
          </w:tcPr>
          <w:p>
            <w:pPr>
              <w:spacing w:after="40"/>
              <w:jc w:val="left"/>
            </w:pPr>
            <w:r/>
            <w:r>
              <w:rPr>
                <w:rFonts w:ascii="Arial" w:hAnsi="Arial"/>
                <w:b w:val="0"/>
                <w:i w:val="0"/>
                <w:sz w:val="16"/>
              </w:rPr>
              <w:t>Application impact</w:t>
            </w:r>
          </w:p>
        </w:tc>
        <w:tc>
          <w:tcPr>
            <w:tcW w:type="dxa" w:w="6803"/>
            <w:vAlign w:val="top"/>
          </w:tcPr>
          <w:p>
            <w:pPr>
              <w:spacing w:after="40"/>
              <w:jc w:val="left"/>
            </w:pPr>
            <w:r/>
            <w:r>
              <w:rPr>
                <w:rFonts w:ascii="Arial" w:hAnsi="Arial"/>
                <w:b w:val="0"/>
                <w:i w:val="0"/>
                <w:sz w:val="16"/>
              </w:rPr>
              <w:t>ERP, HR/payroll, finance, procurement, legal case management, democratic services, risk management, document management and reporting platforms.</w:t>
            </w:r>
          </w:p>
        </w:tc>
      </w:tr>
      <w:tr>
        <w:tc>
          <w:tcPr>
            <w:tcW w:type="dxa" w:w="2268"/>
            <w:vAlign w:val="top"/>
          </w:tcPr>
          <w:p>
            <w:pPr>
              <w:spacing w:after="40"/>
              <w:jc w:val="left"/>
            </w:pPr>
            <w:r/>
            <w:r>
              <w:rPr>
                <w:rFonts w:ascii="Arial" w:hAnsi="Arial"/>
                <w:b w:val="0"/>
                <w:i w:val="0"/>
                <w:sz w:val="16"/>
              </w:rPr>
              <w:t>Design concern</w:t>
            </w:r>
          </w:p>
        </w:tc>
        <w:tc>
          <w:tcPr>
            <w:tcW w:type="dxa" w:w="6803"/>
            <w:vAlign w:val="top"/>
          </w:tcPr>
          <w:p>
            <w:pPr>
              <w:spacing w:after="40"/>
              <w:jc w:val="left"/>
            </w:pPr>
            <w:r/>
            <w:r>
              <w:rPr>
                <w:rFonts w:ascii="Arial" w:hAnsi="Arial"/>
                <w:b w:val="0"/>
                <w:i w:val="0"/>
                <w:sz w:val="16"/>
              </w:rPr>
              <w:t>This cluster is essential for vesting day readiness. The authority cannot operate without HR, payroll, finance, legal and democratic governance capability.</w:t>
            </w:r>
          </w:p>
        </w:tc>
      </w:tr>
    </w:tbl>
    <w:p>
      <w:pPr>
        <w:spacing w:after="40"/>
      </w:pPr>
    </w:p>
    <w:p>
      <w:pPr>
        <w:spacing w:after="160"/>
      </w:pPr>
      <w:r>
        <w:rPr>
          <w:rFonts w:ascii="Arial" w:hAnsi="Arial"/>
          <w:b w:val="0"/>
          <w:i/>
          <w:color w:val="2F2F2F"/>
          <w:sz w:val="18"/>
        </w:rPr>
        <w:t>Thinking and justification: Corporate services are often described as back-office, but during LGR they are critical path services. They provide the legal, financial and workforce capability needed to make the new authority real.</w:t>
      </w:r>
    </w:p>
    <w:p>
      <w:pPr>
        <w:spacing w:before="120" w:after="80"/>
      </w:pPr>
      <w:r>
        <w:rPr>
          <w:rFonts w:ascii="Arial" w:hAnsi="Arial"/>
          <w:b/>
          <w:color w:val="0070A3"/>
          <w:sz w:val="26"/>
        </w:rPr>
        <w:t>5.5 Cluster 5 – Technology, Data, AI and Shared Platforms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Aspect</w:t>
            </w:r>
          </w:p>
        </w:tc>
        <w:tc>
          <w:tcPr>
            <w:tcW w:type="dxa" w:w="6803"/>
            <w:shd w:fill="D9EAD3"/>
            <w:vAlign w:val="top"/>
          </w:tcPr>
          <w:p>
            <w:pPr>
              <w:spacing w:after="40"/>
              <w:jc w:val="left"/>
            </w:pPr>
            <w:r/>
            <w:r>
              <w:rPr>
                <w:rFonts w:ascii="Arial" w:hAnsi="Arial"/>
                <w:b/>
                <w:i w:val="0"/>
                <w:sz w:val="17"/>
              </w:rPr>
              <w:t>Detail</w:t>
            </w:r>
          </w:p>
        </w:tc>
      </w:tr>
      <w:tr>
        <w:tc>
          <w:tcPr>
            <w:tcW w:type="dxa" w:w="2268"/>
            <w:vAlign w:val="top"/>
          </w:tcPr>
          <w:p>
            <w:pPr>
              <w:spacing w:after="40"/>
              <w:jc w:val="left"/>
            </w:pPr>
            <w:r/>
            <w:r>
              <w:rPr>
                <w:rFonts w:ascii="Arial" w:hAnsi="Arial"/>
                <w:b w:val="0"/>
                <w:i w:val="0"/>
                <w:sz w:val="16"/>
              </w:rPr>
              <w:t>County service addition</w:t>
            </w:r>
          </w:p>
        </w:tc>
        <w:tc>
          <w:tcPr>
            <w:tcW w:type="dxa" w:w="6803"/>
            <w:vAlign w:val="top"/>
          </w:tcPr>
          <w:p>
            <w:pPr>
              <w:spacing w:after="40"/>
              <w:jc w:val="left"/>
            </w:pPr>
            <w:r/>
            <w:r>
              <w:rPr>
                <w:rFonts w:ascii="Arial" w:hAnsi="Arial"/>
                <w:b w:val="0"/>
                <w:i w:val="0"/>
                <w:sz w:val="16"/>
              </w:rPr>
              <w:t>County-wide platforms for social care, education, highways, libraries, registration, public health, fire, transport, trading standards and corporate functions.</w:t>
            </w:r>
          </w:p>
        </w:tc>
      </w:tr>
      <w:tr>
        <w:tc>
          <w:tcPr>
            <w:tcW w:type="dxa" w:w="2268"/>
            <w:vAlign w:val="top"/>
          </w:tcPr>
          <w:p>
            <w:pPr>
              <w:spacing w:after="40"/>
              <w:jc w:val="left"/>
            </w:pPr>
            <w:r/>
            <w:r>
              <w:rPr>
                <w:rFonts w:ascii="Arial" w:hAnsi="Arial"/>
                <w:b w:val="0"/>
                <w:i w:val="0"/>
                <w:sz w:val="16"/>
              </w:rPr>
              <w:t>Customer journey impact</w:t>
            </w:r>
          </w:p>
        </w:tc>
        <w:tc>
          <w:tcPr>
            <w:tcW w:type="dxa" w:w="6803"/>
            <w:vAlign w:val="top"/>
          </w:tcPr>
          <w:p>
            <w:pPr>
              <w:spacing w:after="40"/>
              <w:jc w:val="left"/>
            </w:pPr>
            <w:r/>
            <w:r>
              <w:rPr>
                <w:rFonts w:ascii="Arial" w:hAnsi="Arial"/>
                <w:b w:val="0"/>
                <w:i w:val="0"/>
                <w:sz w:val="16"/>
              </w:rPr>
              <w:t>A resident should not need to understand whether a service was previously district or county. Shared platforms should support a joined-up experience.</w:t>
            </w:r>
          </w:p>
        </w:tc>
      </w:tr>
      <w:tr>
        <w:tc>
          <w:tcPr>
            <w:tcW w:type="dxa" w:w="2268"/>
            <w:vAlign w:val="top"/>
          </w:tcPr>
          <w:p>
            <w:pPr>
              <w:spacing w:after="40"/>
              <w:jc w:val="left"/>
            </w:pPr>
            <w:r/>
            <w:r>
              <w:rPr>
                <w:rFonts w:ascii="Arial" w:hAnsi="Arial"/>
                <w:b w:val="0"/>
                <w:i w:val="0"/>
                <w:sz w:val="16"/>
              </w:rPr>
              <w:t>Data impact</w:t>
            </w:r>
          </w:p>
        </w:tc>
        <w:tc>
          <w:tcPr>
            <w:tcW w:type="dxa" w:w="6803"/>
            <w:vAlign w:val="top"/>
          </w:tcPr>
          <w:p>
            <w:pPr>
              <w:spacing w:after="40"/>
              <w:jc w:val="left"/>
            </w:pPr>
            <w:r/>
            <w:r>
              <w:rPr>
                <w:rFonts w:ascii="Arial" w:hAnsi="Arial"/>
                <w:b w:val="0"/>
                <w:i w:val="0"/>
                <w:sz w:val="16"/>
              </w:rPr>
              <w:t>Master data, data migration, information governance, reporting, statutory returns, data lineage, retention, records management and data-sharing controls.</w:t>
            </w:r>
          </w:p>
        </w:tc>
      </w:tr>
      <w:tr>
        <w:tc>
          <w:tcPr>
            <w:tcW w:type="dxa" w:w="2268"/>
            <w:vAlign w:val="top"/>
          </w:tcPr>
          <w:p>
            <w:pPr>
              <w:spacing w:after="40"/>
              <w:jc w:val="left"/>
            </w:pPr>
            <w:r/>
            <w:r>
              <w:rPr>
                <w:rFonts w:ascii="Arial" w:hAnsi="Arial"/>
                <w:b w:val="0"/>
                <w:i w:val="0"/>
                <w:sz w:val="16"/>
              </w:rPr>
              <w:t>Application impact</w:t>
            </w:r>
          </w:p>
        </w:tc>
        <w:tc>
          <w:tcPr>
            <w:tcW w:type="dxa" w:w="6803"/>
            <w:vAlign w:val="top"/>
          </w:tcPr>
          <w:p>
            <w:pPr>
              <w:spacing w:after="40"/>
              <w:jc w:val="left"/>
            </w:pPr>
            <w:r/>
            <w:r>
              <w:rPr>
                <w:rFonts w:ascii="Arial" w:hAnsi="Arial"/>
                <w:b w:val="0"/>
                <w:i w:val="0"/>
                <w:sz w:val="16"/>
              </w:rPr>
              <w:t>Integration platform, data platform, identity, M365, ERP, analytics, reporting, API management, cyber tooling and service management.</w:t>
            </w:r>
          </w:p>
        </w:tc>
      </w:tr>
      <w:tr>
        <w:tc>
          <w:tcPr>
            <w:tcW w:type="dxa" w:w="2268"/>
            <w:vAlign w:val="top"/>
          </w:tcPr>
          <w:p>
            <w:pPr>
              <w:spacing w:after="40"/>
              <w:jc w:val="left"/>
            </w:pPr>
            <w:r/>
            <w:r>
              <w:rPr>
                <w:rFonts w:ascii="Arial" w:hAnsi="Arial"/>
                <w:b w:val="0"/>
                <w:i w:val="0"/>
                <w:sz w:val="16"/>
              </w:rPr>
              <w:t>Design concern</w:t>
            </w:r>
          </w:p>
        </w:tc>
        <w:tc>
          <w:tcPr>
            <w:tcW w:type="dxa" w:w="6803"/>
            <w:vAlign w:val="top"/>
          </w:tcPr>
          <w:p>
            <w:pPr>
              <w:spacing w:after="40"/>
              <w:jc w:val="left"/>
            </w:pPr>
            <w:r/>
            <w:r>
              <w:rPr>
                <w:rFonts w:ascii="Arial" w:hAnsi="Arial"/>
                <w:b w:val="0"/>
                <w:i w:val="0"/>
                <w:sz w:val="16"/>
              </w:rPr>
              <w:t>The shared platform layer must protect sensitive data while enabling service integration across a much larger and more complex estate.</w:t>
            </w:r>
          </w:p>
        </w:tc>
      </w:tr>
    </w:tbl>
    <w:p>
      <w:pPr>
        <w:spacing w:after="40"/>
      </w:pPr>
    </w:p>
    <w:p>
      <w:pPr>
        <w:spacing w:after="160"/>
      </w:pPr>
      <w:r>
        <w:rPr>
          <w:rFonts w:ascii="Arial" w:hAnsi="Arial"/>
          <w:b w:val="0"/>
          <w:i/>
          <w:color w:val="2F2F2F"/>
          <w:sz w:val="18"/>
        </w:rPr>
        <w:t>Thinking and justification: This cluster provides the technical and data foundations for all other clusters. County-level services make shared identity, cyber, integration and data governance more important, not optional.</w:t>
      </w:r>
    </w:p>
    <w:p>
      <w:pPr>
        <w:spacing w:before="200" w:after="80"/>
      </w:pPr>
      <w:r>
        <w:rPr>
          <w:rFonts w:ascii="Arial" w:hAnsi="Arial"/>
          <w:b/>
          <w:color w:val="0070A3"/>
          <w:sz w:val="32"/>
        </w:rPr>
        <w:t>6. Architecture Implications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ign w:val="top"/>
          </w:tcPr>
          <w:p>
            <w:pPr>
              <w:spacing w:after="40"/>
              <w:jc w:val="left"/>
            </w:pPr>
            <w:r/>
            <w:r>
              <w:rPr>
                <w:rFonts w:ascii="Arial" w:hAnsi="Arial"/>
                <w:b/>
                <w:i w:val="0"/>
                <w:sz w:val="17"/>
              </w:rPr>
              <w:t>Architecture Domain</w:t>
            </w:r>
          </w:p>
        </w:tc>
        <w:tc>
          <w:tcPr>
            <w:tcW w:type="dxa" w:w="6803"/>
            <w:shd w:fill="D9EAD3"/>
            <w:vAlign w:val="top"/>
          </w:tcPr>
          <w:p>
            <w:pPr>
              <w:spacing w:after="40"/>
              <w:jc w:val="left"/>
            </w:pPr>
            <w:r/>
            <w:r>
              <w:rPr>
                <w:rFonts w:ascii="Arial" w:hAnsi="Arial"/>
                <w:b/>
                <w:i w:val="0"/>
                <w:sz w:val="17"/>
              </w:rPr>
              <w:t>Implication</w:t>
            </w:r>
          </w:p>
        </w:tc>
      </w:tr>
      <w:tr>
        <w:tc>
          <w:tcPr>
            <w:tcW w:type="dxa" w:w="2268"/>
            <w:vAlign w:val="top"/>
          </w:tcPr>
          <w:p>
            <w:pPr>
              <w:spacing w:after="40"/>
              <w:jc w:val="left"/>
            </w:pPr>
            <w:r/>
            <w:r>
              <w:rPr>
                <w:rFonts w:ascii="Arial" w:hAnsi="Arial"/>
                <w:b w:val="0"/>
                <w:i w:val="0"/>
                <w:sz w:val="16"/>
              </w:rPr>
              <w:t>Business Architecture</w:t>
            </w:r>
          </w:p>
        </w:tc>
        <w:tc>
          <w:tcPr>
            <w:tcW w:type="dxa" w:w="6803"/>
            <w:vAlign w:val="top"/>
          </w:tcPr>
          <w:p>
            <w:pPr>
              <w:spacing w:after="40"/>
              <w:jc w:val="left"/>
            </w:pPr>
            <w:r/>
            <w:r>
              <w:rPr>
                <w:rFonts w:ascii="Arial" w:hAnsi="Arial"/>
                <w:b w:val="0"/>
                <w:i w:val="0"/>
                <w:sz w:val="16"/>
              </w:rPr>
              <w:t>The business capability map must be expanded to include adult care, children’s services, education, highways, public health, fire, libraries, registration and trading standards.</w:t>
            </w:r>
          </w:p>
        </w:tc>
      </w:tr>
      <w:tr>
        <w:tc>
          <w:tcPr>
            <w:tcW w:type="dxa" w:w="2268"/>
            <w:vAlign w:val="top"/>
          </w:tcPr>
          <w:p>
            <w:pPr>
              <w:spacing w:after="40"/>
              <w:jc w:val="left"/>
            </w:pPr>
            <w:r/>
            <w:r>
              <w:rPr>
                <w:rFonts w:ascii="Arial" w:hAnsi="Arial"/>
                <w:b w:val="0"/>
                <w:i w:val="0"/>
                <w:sz w:val="16"/>
              </w:rPr>
              <w:t>Data Architecture</w:t>
            </w:r>
          </w:p>
        </w:tc>
        <w:tc>
          <w:tcPr>
            <w:tcW w:type="dxa" w:w="6803"/>
            <w:vAlign w:val="top"/>
          </w:tcPr>
          <w:p>
            <w:pPr>
              <w:spacing w:after="40"/>
              <w:jc w:val="left"/>
            </w:pPr>
            <w:r/>
            <w:r>
              <w:rPr>
                <w:rFonts w:ascii="Arial" w:hAnsi="Arial"/>
                <w:b w:val="0"/>
                <w:i w:val="0"/>
                <w:sz w:val="16"/>
              </w:rPr>
              <w:t>The master data model must include sensitive care, education, highways asset, registration, public health, business and corporate data domains.</w:t>
            </w:r>
          </w:p>
        </w:tc>
      </w:tr>
      <w:tr>
        <w:tc>
          <w:tcPr>
            <w:tcW w:type="dxa" w:w="2268"/>
            <w:vAlign w:val="top"/>
          </w:tcPr>
          <w:p>
            <w:pPr>
              <w:spacing w:after="40"/>
              <w:jc w:val="left"/>
            </w:pPr>
            <w:r/>
            <w:r>
              <w:rPr>
                <w:rFonts w:ascii="Arial" w:hAnsi="Arial"/>
                <w:b w:val="0"/>
                <w:i w:val="0"/>
                <w:sz w:val="16"/>
              </w:rPr>
              <w:t>Application &amp; Digital Architecture</w:t>
            </w:r>
          </w:p>
        </w:tc>
        <w:tc>
          <w:tcPr>
            <w:tcW w:type="dxa" w:w="6803"/>
            <w:vAlign w:val="top"/>
          </w:tcPr>
          <w:p>
            <w:pPr>
              <w:spacing w:after="40"/>
              <w:jc w:val="left"/>
            </w:pPr>
            <w:r/>
            <w:r>
              <w:rPr>
                <w:rFonts w:ascii="Arial" w:hAnsi="Arial"/>
                <w:b w:val="0"/>
                <w:i w:val="0"/>
                <w:sz w:val="16"/>
              </w:rPr>
              <w:t>The application portfolio must capture county systems, integration points, contract dates, supplier dependencies and criticality for vesting day.</w:t>
            </w:r>
          </w:p>
        </w:tc>
      </w:tr>
      <w:tr>
        <w:tc>
          <w:tcPr>
            <w:tcW w:type="dxa" w:w="2268"/>
            <w:vAlign w:val="top"/>
          </w:tcPr>
          <w:p>
            <w:pPr>
              <w:spacing w:after="40"/>
              <w:jc w:val="left"/>
            </w:pPr>
            <w:r/>
            <w:r>
              <w:rPr>
                <w:rFonts w:ascii="Arial" w:hAnsi="Arial"/>
                <w:b w:val="0"/>
                <w:i w:val="0"/>
                <w:sz w:val="16"/>
              </w:rPr>
              <w:t>Technology &amp; Security Architecture</w:t>
            </w:r>
          </w:p>
        </w:tc>
        <w:tc>
          <w:tcPr>
            <w:tcW w:type="dxa" w:w="6803"/>
            <w:vAlign w:val="top"/>
          </w:tcPr>
          <w:p>
            <w:pPr>
              <w:spacing w:after="40"/>
              <w:jc w:val="left"/>
            </w:pPr>
            <w:r/>
            <w:r>
              <w:rPr>
                <w:rFonts w:ascii="Arial" w:hAnsi="Arial"/>
                <w:b w:val="0"/>
                <w:i w:val="0"/>
                <w:sz w:val="16"/>
              </w:rPr>
              <w:t>The technology model must include county networks, identity, cyber controls, end-user devices, cloud platforms, resilience and operational service management.</w:t>
            </w:r>
          </w:p>
        </w:tc>
      </w:tr>
      <w:tr>
        <w:tc>
          <w:tcPr>
            <w:tcW w:type="dxa" w:w="2268"/>
            <w:vAlign w:val="top"/>
          </w:tcPr>
          <w:p>
            <w:pPr>
              <w:spacing w:after="40"/>
              <w:jc w:val="left"/>
            </w:pPr>
            <w:r/>
            <w:r>
              <w:rPr>
                <w:rFonts w:ascii="Arial" w:hAnsi="Arial"/>
                <w:b w:val="0"/>
                <w:i w:val="0"/>
                <w:sz w:val="16"/>
              </w:rPr>
              <w:t>AI Governance</w:t>
            </w:r>
          </w:p>
        </w:tc>
        <w:tc>
          <w:tcPr>
            <w:tcW w:type="dxa" w:w="6803"/>
            <w:vAlign w:val="top"/>
          </w:tcPr>
          <w:p>
            <w:pPr>
              <w:spacing w:after="40"/>
              <w:jc w:val="left"/>
            </w:pPr>
            <w:r/>
            <w:r>
              <w:rPr>
                <w:rFonts w:ascii="Arial" w:hAnsi="Arial"/>
                <w:b w:val="0"/>
                <w:i w:val="0"/>
                <w:sz w:val="16"/>
              </w:rPr>
              <w:t>AI or automation in adult care, children’s services, housing, enforcement, public health or customer triage must be treated as high-scrutiny and subject to AI Board review.</w:t>
            </w:r>
          </w:p>
        </w:tc>
      </w:tr>
    </w:tbl>
    <w:p>
      <w:pPr>
        <w:spacing w:after="40"/>
      </w:pPr>
    </w:p>
    <w:p>
      <w:pPr>
        <w:spacing w:after="160"/>
      </w:pPr>
      <w:r>
        <w:rPr>
          <w:rFonts w:ascii="Arial" w:hAnsi="Arial"/>
          <w:b w:val="0"/>
          <w:i/>
          <w:color w:val="2F2F2F"/>
          <w:sz w:val="18"/>
        </w:rPr>
        <w:t>Thinking and justification: The inclusion of county services increases architectural complexity across every domain. It reinforces the need for the four architects to work as a single team around service clusters.</w:t>
      </w:r>
    </w:p>
    <w:p>
      <w:pPr>
        <w:spacing w:before="200" w:after="80"/>
      </w:pPr>
      <w:r>
        <w:rPr>
          <w:rFonts w:ascii="Arial" w:hAnsi="Arial"/>
          <w:b/>
          <w:color w:val="0070A3"/>
          <w:sz w:val="32"/>
        </w:rPr>
        <w:t>7. Recommended Changes to Appendix B</w:t>
      </w:r>
    </w:p>
    <w:p>
      <w:pPr>
        <w:spacing w:after="60"/>
      </w:pPr>
      <w:r>
        <w:rPr>
          <w:rFonts w:ascii="Arial" w:hAnsi="Arial"/>
          <w:b w:val="0"/>
          <w:i w:val="0"/>
          <w:sz w:val="20"/>
        </w:rPr>
        <w:t>1. Add a short statement confirming that Appendix B applies to both existing district/borough services and county-level services that may transfer into the future unitary authority.</w:t>
      </w:r>
    </w:p>
    <w:p>
      <w:pPr>
        <w:spacing w:after="60"/>
      </w:pPr>
      <w:r>
        <w:rPr>
          <w:rFonts w:ascii="Arial" w:hAnsi="Arial"/>
          <w:b w:val="0"/>
          <w:i w:val="0"/>
          <w:sz w:val="20"/>
        </w:rPr>
        <w:t>2. Add the county-level service summary table from section 3 of this report.</w:t>
      </w:r>
    </w:p>
    <w:p>
      <w:pPr>
        <w:spacing w:after="60"/>
      </w:pPr>
      <w:r>
        <w:rPr>
          <w:rFonts w:ascii="Arial" w:hAnsi="Arial"/>
          <w:b w:val="0"/>
          <w:i w:val="0"/>
          <w:sz w:val="20"/>
        </w:rPr>
        <w:t>3. Replace the current five-cluster overview with the expanded impact table in section 4.</w:t>
      </w:r>
    </w:p>
    <w:p>
      <w:pPr>
        <w:spacing w:after="60"/>
      </w:pPr>
      <w:r>
        <w:rPr>
          <w:rFonts w:ascii="Arial" w:hAnsi="Arial"/>
          <w:b w:val="0"/>
          <w:i w:val="0"/>
          <w:sz w:val="20"/>
        </w:rPr>
        <w:t>4. Add explicit references to adult social care, children’s services, education, highways, public health, libraries, registration, fire and rescue, trading standards and county corporate services.</w:t>
      </w:r>
    </w:p>
    <w:p>
      <w:pPr>
        <w:spacing w:after="60"/>
      </w:pPr>
      <w:r>
        <w:rPr>
          <w:rFonts w:ascii="Arial" w:hAnsi="Arial"/>
          <w:b w:val="0"/>
          <w:i w:val="0"/>
          <w:sz w:val="20"/>
        </w:rPr>
        <w:t>5. Add an additional architecture discovery question: 'Which county-level services, systems, data, statutory duties or partner interfaces are included in this cluster?'</w:t>
      </w:r>
    </w:p>
    <w:p>
      <w:pPr>
        <w:spacing w:after="60"/>
      </w:pPr>
      <w:r>
        <w:rPr>
          <w:rFonts w:ascii="Arial" w:hAnsi="Arial"/>
          <w:b w:val="0"/>
          <w:i w:val="0"/>
          <w:sz w:val="20"/>
        </w:rPr>
        <w:t>6. Treat Community, Housing and People Services as the highest-risk cluster for safeguarding, equality, information governance and statutory continuity.</w:t>
      </w:r>
    </w:p>
    <w:p>
      <w:pPr>
        <w:spacing w:after="60"/>
      </w:pPr>
      <w:r>
        <w:rPr>
          <w:rFonts w:ascii="Arial" w:hAnsi="Arial"/>
          <w:b w:val="0"/>
          <w:i w:val="0"/>
          <w:sz w:val="20"/>
        </w:rPr>
        <w:t>7. Treat Corporate and Enabling Services as a vesting day critical-path cluster, not a later optimisation area.</w:t>
      </w:r>
    </w:p>
    <w:p>
      <w:pPr>
        <w:spacing w:after="160"/>
      </w:pPr>
      <w:r>
        <w:rPr>
          <w:rFonts w:ascii="Arial" w:hAnsi="Arial"/>
          <w:b w:val="0"/>
          <w:i/>
          <w:color w:val="2F2F2F"/>
          <w:sz w:val="18"/>
        </w:rPr>
        <w:t>Thinking and justification: These recommendations allow Appendix B to remain stable while making it more accurate for LGR. They also make the model easier to use in service workshops and programme planning.</w:t>
      </w:r>
    </w:p>
    <w:p>
      <w:pPr>
        <w:spacing w:before="200" w:after="80"/>
      </w:pPr>
      <w:r>
        <w:rPr>
          <w:rFonts w:ascii="Arial" w:hAnsi="Arial"/>
          <w:b/>
          <w:color w:val="0070A3"/>
          <w:sz w:val="32"/>
        </w:rPr>
        <w:t>8. References</w:t>
      </w:r>
    </w:p>
    <w:tbl>
      <w:tblPr>
        <w:tblStyle w:val="TableGrid"/>
        <w:tblW w:type="auto" w:w="0"/>
        <w:jc w:val="center"/>
        <w:tblLook w:firstColumn="1" w:firstRow="1" w:lastColumn="0" w:lastRow="0" w:noHBand="0" w:noVBand="1" w:val="04A0"/>
      </w:tblPr>
      <w:tblGrid>
        <w:gridCol w:w="4986"/>
        <w:gridCol w:w="4986"/>
      </w:tblGrid>
      <w:tr>
        <w:tc>
          <w:tcPr>
            <w:tcW w:type="dxa" w:w="3402"/>
            <w:shd w:fill="D9EAD3"/>
            <w:vAlign w:val="top"/>
          </w:tcPr>
          <w:p>
            <w:pPr>
              <w:spacing w:after="40"/>
              <w:jc w:val="left"/>
            </w:pPr>
            <w:r/>
            <w:r>
              <w:rPr>
                <w:rFonts w:ascii="Arial" w:hAnsi="Arial"/>
                <w:b/>
                <w:i w:val="0"/>
                <w:sz w:val="17"/>
              </w:rPr>
              <w:t>Reference</w:t>
            </w:r>
          </w:p>
        </w:tc>
        <w:tc>
          <w:tcPr>
            <w:tcW w:type="dxa" w:w="5669"/>
            <w:shd w:fill="D9EAD3"/>
            <w:vAlign w:val="top"/>
          </w:tcPr>
          <w:p>
            <w:pPr>
              <w:spacing w:after="40"/>
              <w:jc w:val="left"/>
            </w:pPr>
            <w:r/>
            <w:r>
              <w:rPr>
                <w:rFonts w:ascii="Arial" w:hAnsi="Arial"/>
                <w:b/>
                <w:i w:val="0"/>
                <w:sz w:val="17"/>
              </w:rPr>
              <w:t>Link</w:t>
            </w:r>
          </w:p>
        </w:tc>
      </w:tr>
      <w:tr>
        <w:tc>
          <w:tcPr>
            <w:tcW w:type="dxa" w:w="3402"/>
            <w:vAlign w:val="top"/>
          </w:tcPr>
          <w:p>
            <w:pPr>
              <w:spacing w:after="40"/>
              <w:jc w:val="left"/>
            </w:pPr>
            <w:r/>
            <w:r>
              <w:rPr>
                <w:rFonts w:ascii="Arial" w:hAnsi="Arial"/>
                <w:b w:val="0"/>
                <w:i w:val="0"/>
                <w:sz w:val="16"/>
              </w:rPr>
              <w:t>Hertfordshire County Council – Our services</w:t>
            </w:r>
          </w:p>
        </w:tc>
        <w:tc>
          <w:tcPr>
            <w:tcW w:type="dxa" w:w="5669"/>
            <w:vAlign w:val="top"/>
          </w:tcPr>
          <w:p>
            <w:pPr>
              <w:spacing w:after="40"/>
              <w:jc w:val="left"/>
            </w:pPr>
            <w:r/>
            <w:r>
              <w:rPr>
                <w:rFonts w:ascii="Arial" w:hAnsi="Arial"/>
                <w:b w:val="0"/>
                <w:i w:val="0"/>
                <w:sz w:val="16"/>
              </w:rPr>
              <w:t>https://www.hertfordshire.gov.uk/services/our-services.aspx</w:t>
            </w:r>
          </w:p>
        </w:tc>
      </w:tr>
      <w:tr>
        <w:tc>
          <w:tcPr>
            <w:tcW w:type="dxa" w:w="3402"/>
            <w:vAlign w:val="top"/>
          </w:tcPr>
          <w:p>
            <w:pPr>
              <w:spacing w:after="40"/>
              <w:jc w:val="left"/>
            </w:pPr>
            <w:r/>
            <w:r>
              <w:rPr>
                <w:rFonts w:ascii="Arial" w:hAnsi="Arial"/>
                <w:b w:val="0"/>
                <w:i w:val="0"/>
                <w:sz w:val="16"/>
              </w:rPr>
              <w:t>Hertfordshire County Council – What we do</w:t>
            </w:r>
          </w:p>
        </w:tc>
        <w:tc>
          <w:tcPr>
            <w:tcW w:type="dxa" w:w="5669"/>
            <w:vAlign w:val="top"/>
          </w:tcPr>
          <w:p>
            <w:pPr>
              <w:spacing w:after="40"/>
              <w:jc w:val="left"/>
            </w:pPr>
            <w:r/>
            <w:r>
              <w:rPr>
                <w:rFonts w:ascii="Arial" w:hAnsi="Arial"/>
                <w:b w:val="0"/>
                <w:i w:val="0"/>
                <w:sz w:val="16"/>
              </w:rPr>
              <w:t>https://www.hertfordshire.gov.uk/about-the-council/how-the-council-works/what-we-do.aspx</w:t>
            </w:r>
          </w:p>
        </w:tc>
      </w:tr>
      <w:tr>
        <w:tc>
          <w:tcPr>
            <w:tcW w:type="dxa" w:w="3402"/>
            <w:vAlign w:val="top"/>
          </w:tcPr>
          <w:p>
            <w:pPr>
              <w:spacing w:after="40"/>
              <w:jc w:val="left"/>
            </w:pPr>
            <w:r/>
            <w:r>
              <w:rPr>
                <w:rFonts w:ascii="Arial" w:hAnsi="Arial"/>
                <w:b w:val="0"/>
                <w:i w:val="0"/>
                <w:sz w:val="16"/>
              </w:rPr>
              <w:t>Hertfordshire County Council – Contact a service</w:t>
            </w:r>
          </w:p>
        </w:tc>
        <w:tc>
          <w:tcPr>
            <w:tcW w:type="dxa" w:w="5669"/>
            <w:vAlign w:val="top"/>
          </w:tcPr>
          <w:p>
            <w:pPr>
              <w:spacing w:after="40"/>
              <w:jc w:val="left"/>
            </w:pPr>
            <w:r/>
            <w:r>
              <w:rPr>
                <w:rFonts w:ascii="Arial" w:hAnsi="Arial"/>
                <w:b w:val="0"/>
                <w:i w:val="0"/>
                <w:sz w:val="16"/>
              </w:rPr>
              <w:t>https://www.hertfordshire.gov.uk/about-the-council/contact-us/contact-a-service.aspx</w:t>
            </w:r>
          </w:p>
        </w:tc>
      </w:tr>
      <w:tr>
        <w:tc>
          <w:tcPr>
            <w:tcW w:type="dxa" w:w="3402"/>
            <w:vAlign w:val="top"/>
          </w:tcPr>
          <w:p>
            <w:pPr>
              <w:spacing w:after="40"/>
              <w:jc w:val="left"/>
            </w:pPr>
            <w:r/>
            <w:r>
              <w:rPr>
                <w:rFonts w:ascii="Arial" w:hAnsi="Arial"/>
                <w:b w:val="0"/>
                <w:i w:val="0"/>
                <w:sz w:val="16"/>
              </w:rPr>
              <w:t>Hertfordshire County Council – Adult social services</w:t>
            </w:r>
          </w:p>
        </w:tc>
        <w:tc>
          <w:tcPr>
            <w:tcW w:type="dxa" w:w="5669"/>
            <w:vAlign w:val="top"/>
          </w:tcPr>
          <w:p>
            <w:pPr>
              <w:spacing w:after="40"/>
              <w:jc w:val="left"/>
            </w:pPr>
            <w:r/>
            <w:r>
              <w:rPr>
                <w:rFonts w:ascii="Arial" w:hAnsi="Arial"/>
                <w:b w:val="0"/>
                <w:i w:val="0"/>
                <w:sz w:val="16"/>
              </w:rPr>
              <w:t>https://www.hertfordshire.gov.uk/services/adult-social-services/adult-social-services.aspx</w:t>
            </w:r>
          </w:p>
        </w:tc>
      </w:tr>
      <w:tr>
        <w:tc>
          <w:tcPr>
            <w:tcW w:type="dxa" w:w="3402"/>
            <w:vAlign w:val="top"/>
          </w:tcPr>
          <w:p>
            <w:pPr>
              <w:spacing w:after="40"/>
              <w:jc w:val="left"/>
            </w:pPr>
            <w:r/>
            <w:r>
              <w:rPr>
                <w:rFonts w:ascii="Arial" w:hAnsi="Arial"/>
                <w:b w:val="0"/>
                <w:i w:val="0"/>
                <w:sz w:val="16"/>
              </w:rPr>
              <w:t>Hertfordshire County Council – Highways, roads and pavements</w:t>
            </w:r>
          </w:p>
        </w:tc>
        <w:tc>
          <w:tcPr>
            <w:tcW w:type="dxa" w:w="5669"/>
            <w:vAlign w:val="top"/>
          </w:tcPr>
          <w:p>
            <w:pPr>
              <w:spacing w:after="40"/>
              <w:jc w:val="left"/>
            </w:pPr>
            <w:r/>
            <w:r>
              <w:rPr>
                <w:rFonts w:ascii="Arial" w:hAnsi="Arial"/>
                <w:b w:val="0"/>
                <w:i w:val="0"/>
                <w:sz w:val="16"/>
              </w:rPr>
              <w:t>https://www.hertfordshire.gov.uk/services/highways-roads-and-pavements/highways-roads-and-pavements.aspx</w:t>
            </w:r>
          </w:p>
        </w:tc>
      </w:tr>
      <w:tr>
        <w:tc>
          <w:tcPr>
            <w:tcW w:type="dxa" w:w="3402"/>
            <w:vAlign w:val="top"/>
          </w:tcPr>
          <w:p>
            <w:pPr>
              <w:spacing w:after="40"/>
              <w:jc w:val="left"/>
            </w:pPr>
            <w:r/>
            <w:r>
              <w:rPr>
                <w:rFonts w:ascii="Arial" w:hAnsi="Arial"/>
                <w:b w:val="0"/>
                <w:i w:val="0"/>
                <w:sz w:val="16"/>
              </w:rPr>
              <w:t>MHCLG – Local Government Reorganisation policy and programme updates</w:t>
            </w:r>
          </w:p>
        </w:tc>
        <w:tc>
          <w:tcPr>
            <w:tcW w:type="dxa" w:w="5669"/>
            <w:vAlign w:val="top"/>
          </w:tcPr>
          <w:p>
            <w:pPr>
              <w:spacing w:after="40"/>
              <w:jc w:val="left"/>
            </w:pPr>
            <w:r/>
            <w:r>
              <w:rPr>
                <w:rFonts w:ascii="Arial" w:hAnsi="Arial"/>
                <w:b w:val="0"/>
                <w:i w:val="0"/>
                <w:sz w:val="16"/>
              </w:rPr>
              <w:t>https://www.gov.uk/government/collections/local-government-reorganisation-policy-and-programme-updates</w:t>
            </w:r>
          </w:p>
        </w:tc>
      </w:tr>
      <w:tr>
        <w:tc>
          <w:tcPr>
            <w:tcW w:type="dxa" w:w="3402"/>
            <w:vAlign w:val="top"/>
          </w:tcPr>
          <w:p>
            <w:pPr>
              <w:spacing w:after="40"/>
              <w:jc w:val="left"/>
            </w:pPr>
            <w:r/>
            <w:r>
              <w:rPr>
                <w:rFonts w:ascii="Arial" w:hAnsi="Arial"/>
                <w:b w:val="0"/>
                <w:i w:val="0"/>
                <w:sz w:val="16"/>
              </w:rPr>
              <w:t>GDS Technology in Government Blog – Publishing a common architectural model for local government</w:t>
            </w:r>
          </w:p>
        </w:tc>
        <w:tc>
          <w:tcPr>
            <w:tcW w:type="dxa" w:w="5669"/>
            <w:vAlign w:val="top"/>
          </w:tcPr>
          <w:p>
            <w:pPr>
              <w:spacing w:after="40"/>
              <w:jc w:val="left"/>
            </w:pPr>
            <w:r/>
            <w:r>
              <w:rPr>
                <w:rFonts w:ascii="Arial" w:hAnsi="Arial"/>
                <w:b w:val="0"/>
                <w:i w:val="0"/>
                <w:sz w:val="16"/>
              </w:rPr>
              <w:t>https://technology.blog.gov.uk/2026/04/14/publishing-a-common-architectural-model-for-local-government/</w:t>
            </w:r>
          </w:p>
        </w:tc>
      </w:tr>
      <w:tr>
        <w:tc>
          <w:tcPr>
            <w:tcW w:type="dxa" w:w="3402"/>
            <w:vAlign w:val="top"/>
          </w:tcPr>
          <w:p>
            <w:pPr>
              <w:spacing w:after="40"/>
              <w:jc w:val="left"/>
            </w:pPr>
            <w:r/>
            <w:r>
              <w:rPr>
                <w:rFonts w:ascii="Arial" w:hAnsi="Arial"/>
                <w:b w:val="0"/>
                <w:i w:val="0"/>
                <w:sz w:val="16"/>
              </w:rPr>
              <w:t>TOGAF Standard, 10th Edition</w:t>
            </w:r>
          </w:p>
        </w:tc>
        <w:tc>
          <w:tcPr>
            <w:tcW w:type="dxa" w:w="5669"/>
            <w:vAlign w:val="top"/>
          </w:tcPr>
          <w:p>
            <w:pPr>
              <w:spacing w:after="40"/>
              <w:jc w:val="left"/>
            </w:pPr>
            <w:r/>
            <w:r>
              <w:rPr>
                <w:rFonts w:ascii="Arial" w:hAnsi="Arial"/>
                <w:b w:val="0"/>
                <w:i w:val="0"/>
                <w:sz w:val="16"/>
              </w:rPr>
              <w:t>https://www.opengroup.org/togaf</w:t>
            </w:r>
          </w:p>
        </w:tc>
      </w:tr>
    </w:tbl>
    <w:p>
      <w:pPr>
        <w:spacing w:after="40"/>
      </w:pPr>
    </w:p>
    <w:p>
      <w:pPr>
        <w:spacing w:after="160"/>
      </w:pPr>
      <w:r>
        <w:rPr>
          <w:rFonts w:ascii="Arial" w:hAnsi="Arial"/>
          <w:b w:val="0"/>
          <w:i/>
          <w:color w:val="2F2F2F"/>
          <w:sz w:val="18"/>
        </w:rPr>
        <w:t>Thinking and justification: The references use public sources for the county service categories and recognised architecture standards for the operating model.</w:t>
      </w:r>
    </w:p>
    <w:p>
      <w:pPr>
        <w:spacing w:before="200" w:after="80"/>
      </w:pPr>
      <w:r>
        <w:rPr>
          <w:rFonts w:ascii="Arial" w:hAnsi="Arial"/>
          <w:b/>
          <w:color w:val="0070A3"/>
          <w:sz w:val="32"/>
        </w:rPr>
        <w:t>9. Version History</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D9EAD3"/>
            <w:vAlign w:val="top"/>
          </w:tcPr>
          <w:p>
            <w:pPr>
              <w:spacing w:after="40"/>
              <w:jc w:val="left"/>
            </w:pPr>
            <w:r/>
            <w:r>
              <w:rPr>
                <w:rFonts w:ascii="Arial" w:hAnsi="Arial"/>
                <w:b/>
                <w:i w:val="0"/>
                <w:sz w:val="17"/>
              </w:rPr>
              <w:t>Date</w:t>
            </w:r>
          </w:p>
        </w:tc>
        <w:tc>
          <w:tcPr>
            <w:tcW w:type="dxa" w:w="5669"/>
            <w:shd w:fill="D9EAD3"/>
            <w:vAlign w:val="top"/>
          </w:tcPr>
          <w:p>
            <w:pPr>
              <w:spacing w:after="40"/>
              <w:jc w:val="left"/>
            </w:pPr>
            <w:r/>
            <w:r>
              <w:rPr>
                <w:rFonts w:ascii="Arial" w:hAnsi="Arial"/>
                <w:b/>
                <w:i w:val="0"/>
                <w:sz w:val="17"/>
              </w:rPr>
              <w:t>Amendments</w:t>
            </w:r>
          </w:p>
        </w:tc>
        <w:tc>
          <w:tcPr>
            <w:tcW w:type="dxa" w:w="2268"/>
            <w:shd w:fill="D9EAD3"/>
            <w:vAlign w:val="top"/>
          </w:tcPr>
          <w:p>
            <w:pPr>
              <w:spacing w:after="40"/>
              <w:jc w:val="left"/>
            </w:pPr>
            <w:r/>
            <w:r>
              <w:rPr>
                <w:rFonts w:ascii="Arial" w:hAnsi="Arial"/>
                <w:b/>
                <w:i w:val="0"/>
                <w:sz w:val="17"/>
              </w:rPr>
              <w:t>Author</w:t>
            </w:r>
          </w:p>
        </w:tc>
      </w:tr>
      <w:tr>
        <w:tc>
          <w:tcPr>
            <w:tcW w:type="dxa" w:w="1701"/>
            <w:vAlign w:val="top"/>
          </w:tcPr>
          <w:p>
            <w:pPr>
              <w:spacing w:after="40"/>
              <w:jc w:val="left"/>
            </w:pPr>
            <w:r/>
            <w:r>
              <w:rPr>
                <w:rFonts w:ascii="Arial" w:hAnsi="Arial"/>
                <w:b w:val="0"/>
                <w:i w:val="0"/>
                <w:sz w:val="16"/>
              </w:rPr>
              <w:t>June 2026</w:t>
            </w:r>
          </w:p>
        </w:tc>
        <w:tc>
          <w:tcPr>
            <w:tcW w:type="dxa" w:w="5669"/>
            <w:vAlign w:val="top"/>
          </w:tcPr>
          <w:p>
            <w:pPr>
              <w:spacing w:after="40"/>
              <w:jc w:val="left"/>
            </w:pPr>
            <w:r/>
            <w:r>
              <w:rPr>
                <w:rFonts w:ascii="Arial" w:hAnsi="Arial"/>
                <w:b w:val="0"/>
                <w:i w:val="0"/>
                <w:sz w:val="16"/>
              </w:rPr>
              <w:t>Initial draft created to expand Appendix B with county-level service inclusion.</w:t>
            </w:r>
          </w:p>
        </w:tc>
        <w:tc>
          <w:tcPr>
            <w:tcW w:type="dxa" w:w="2268"/>
            <w:vAlign w:val="top"/>
          </w:tcPr>
          <w:p>
            <w:pPr>
              <w:spacing w:after="40"/>
              <w:jc w:val="left"/>
            </w:pPr>
            <w:r/>
            <w:r>
              <w:rPr>
                <w:rFonts w:ascii="Arial" w:hAnsi="Arial"/>
                <w:b w:val="0"/>
                <w:i w:val="0"/>
                <w:sz w:val="16"/>
              </w:rPr>
              <w:t>Adam Staples</w:t>
            </w:r>
          </w:p>
        </w:tc>
      </w:tr>
    </w:tbl>
    <w:p>
      <w:pPr>
        <w:spacing w:after="40"/>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Appendix B County-Level Service Inclusion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