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4"/>
          <w:szCs w:val="24"/>
        </w:rPr>
        <w:id w:val="-1409989828"/>
        <w:docPartObj>
          <w:docPartGallery w:val="Cover Pages"/>
          <w:docPartUnique/>
        </w:docPartObj>
      </w:sdtPr>
      <w:sdtEndPr>
        <w:rPr>
          <w:sz w:val="32"/>
          <w:szCs w:val="32"/>
        </w:rPr>
      </w:sdtEndPr>
      <w:sdtContent>
        <w:p w14:paraId="6CAB864E" w14:textId="002A1432" w:rsidR="007A048D" w:rsidRPr="000F1FA2" w:rsidRDefault="007A048D" w:rsidP="00FE582D">
          <w:pPr>
            <w:spacing w:after="0"/>
            <w:rPr>
              <w:rFonts w:ascii="Arial" w:hAnsi="Arial" w:cs="Arial"/>
              <w:sz w:val="24"/>
              <w:szCs w:val="24"/>
            </w:rPr>
          </w:pPr>
        </w:p>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185"/>
          </w:tblGrid>
          <w:tr w:rsidR="007A048D" w:rsidRPr="000F1FA2" w14:paraId="0A4CB779" w14:textId="77777777" w:rsidTr="00883350">
            <w:sdt>
              <w:sdtPr>
                <w:rPr>
                  <w:rFonts w:ascii="Arial" w:hAnsi="Arial" w:cs="Arial"/>
                  <w:sz w:val="24"/>
                  <w:szCs w:val="24"/>
                </w:rPr>
                <w:alias w:val="Company"/>
                <w:id w:val="13406915"/>
                <w:placeholder>
                  <w:docPart w:val="CD5625E8D7484AC18CEF3B31C47858D7"/>
                </w:placeholder>
                <w:dataBinding w:prefixMappings="xmlns:ns0='http://schemas.openxmlformats.org/officeDocument/2006/extended-properties'" w:xpath="/ns0:Properties[1]/ns0:Company[1]" w:storeItemID="{6668398D-A668-4E3E-A5EB-62B293D839F1}"/>
                <w:text/>
              </w:sdtPr>
              <w:sdtEndPr/>
              <w:sdtContent>
                <w:tc>
                  <w:tcPr>
                    <w:tcW w:w="7209" w:type="dxa"/>
                    <w:tcBorders>
                      <w:left w:val="single" w:sz="36" w:space="0" w:color="00B050"/>
                    </w:tcBorders>
                    <w:tcMar>
                      <w:top w:w="216" w:type="dxa"/>
                      <w:left w:w="115" w:type="dxa"/>
                      <w:bottom w:w="216" w:type="dxa"/>
                      <w:right w:w="115" w:type="dxa"/>
                    </w:tcMar>
                  </w:tcPr>
                  <w:p w14:paraId="0B4C545A" w14:textId="1BD562F3" w:rsidR="007A048D" w:rsidRPr="000F1FA2" w:rsidRDefault="007A048D" w:rsidP="00FE582D">
                    <w:pPr>
                      <w:pStyle w:val="NoSpacing"/>
                      <w:rPr>
                        <w:rFonts w:ascii="Arial" w:hAnsi="Arial" w:cs="Arial"/>
                        <w:sz w:val="24"/>
                        <w:szCs w:val="24"/>
                      </w:rPr>
                    </w:pPr>
                    <w:r w:rsidRPr="000F1FA2">
                      <w:rPr>
                        <w:rFonts w:ascii="Arial" w:hAnsi="Arial" w:cs="Arial"/>
                        <w:sz w:val="24"/>
                        <w:szCs w:val="24"/>
                      </w:rPr>
                      <w:t>Stevenage Borough Council</w:t>
                    </w:r>
                  </w:p>
                </w:tc>
              </w:sdtContent>
            </w:sdt>
          </w:tr>
          <w:tr w:rsidR="007A048D" w:rsidRPr="000F1FA2" w14:paraId="4A00B29C" w14:textId="77777777" w:rsidTr="00883350">
            <w:tc>
              <w:tcPr>
                <w:tcW w:w="7209" w:type="dxa"/>
                <w:tcBorders>
                  <w:left w:val="single" w:sz="36" w:space="0" w:color="00B050"/>
                </w:tcBorders>
              </w:tcPr>
              <w:sdt>
                <w:sdtPr>
                  <w:rPr>
                    <w:rFonts w:ascii="Arial" w:eastAsiaTheme="majorEastAsia" w:hAnsi="Arial" w:cs="Arial"/>
                    <w:color w:val="C00000"/>
                    <w:spacing w:val="5"/>
                    <w:kern w:val="28"/>
                    <w:sz w:val="52"/>
                    <w:szCs w:val="52"/>
                  </w:rPr>
                  <w:alias w:val="Title"/>
                  <w:id w:val="13406919"/>
                  <w:placeholder>
                    <w:docPart w:val="0434096570534F48AED2C8F385CEABEA"/>
                  </w:placeholder>
                  <w:dataBinding w:prefixMappings="xmlns:ns0='http://schemas.openxmlformats.org/package/2006/metadata/core-properties' xmlns:ns1='http://purl.org/dc/elements/1.1/'" w:xpath="/ns0:coreProperties[1]/ns1:title[1]" w:storeItemID="{6C3C8BC8-F283-45AE-878A-BAB7291924A1}"/>
                  <w:text/>
                </w:sdtPr>
                <w:sdtEndPr/>
                <w:sdtContent>
                  <w:p w14:paraId="3C2747F7" w14:textId="26D59FA8" w:rsidR="007A048D" w:rsidRPr="006E4305" w:rsidRDefault="00480805" w:rsidP="00FE582D">
                    <w:pPr>
                      <w:pStyle w:val="NoSpacing"/>
                      <w:spacing w:line="216" w:lineRule="auto"/>
                      <w:rPr>
                        <w:rFonts w:ascii="Arial" w:eastAsiaTheme="majorEastAsia" w:hAnsi="Arial" w:cs="Arial"/>
                        <w:color w:val="C00000"/>
                        <w:sz w:val="24"/>
                        <w:szCs w:val="24"/>
                      </w:rPr>
                    </w:pPr>
                    <w:r w:rsidRPr="006E4305">
                      <w:rPr>
                        <w:rFonts w:ascii="Arial" w:eastAsiaTheme="majorEastAsia" w:hAnsi="Arial" w:cs="Arial"/>
                        <w:color w:val="C00000"/>
                        <w:spacing w:val="5"/>
                        <w:kern w:val="28"/>
                        <w:sz w:val="52"/>
                        <w:szCs w:val="52"/>
                      </w:rPr>
                      <w:t>LGR Enterprise Architecture Operating Model Strategy</w:t>
                    </w:r>
                  </w:p>
                </w:sdtContent>
              </w:sdt>
            </w:tc>
          </w:tr>
          <w:tr w:rsidR="007A048D" w:rsidRPr="000F1FA2" w14:paraId="44961EDB" w14:textId="77777777" w:rsidTr="00883350">
            <w:sdt>
              <w:sdtPr>
                <w:rPr>
                  <w:rFonts w:ascii="Arial" w:eastAsiaTheme="majorEastAsia" w:hAnsi="Arial" w:cs="Arial"/>
                  <w:color w:val="C00000"/>
                  <w:spacing w:val="5"/>
                  <w:kern w:val="28"/>
                  <w:sz w:val="24"/>
                  <w:szCs w:val="24"/>
                </w:rPr>
                <w:alias w:val="Subtitle"/>
                <w:id w:val="13406923"/>
                <w:placeholder>
                  <w:docPart w:val="C88BE25F1A6A4ABE937FDF2FAA6D6CCF"/>
                </w:placeholder>
                <w:dataBinding w:prefixMappings="xmlns:ns0='http://schemas.openxmlformats.org/package/2006/metadata/core-properties' xmlns:ns1='http://purl.org/dc/elements/1.1/'" w:xpath="/ns0:coreProperties[1]/ns1:subject[1]" w:storeItemID="{6C3C8BC8-F283-45AE-878A-BAB7291924A1}"/>
                <w:text/>
              </w:sdtPr>
              <w:sdtEndPr/>
              <w:sdtContent>
                <w:tc>
                  <w:tcPr>
                    <w:tcW w:w="7209" w:type="dxa"/>
                    <w:tcBorders>
                      <w:left w:val="single" w:sz="36" w:space="0" w:color="00B050"/>
                    </w:tcBorders>
                    <w:tcMar>
                      <w:top w:w="216" w:type="dxa"/>
                      <w:left w:w="115" w:type="dxa"/>
                      <w:bottom w:w="216" w:type="dxa"/>
                      <w:right w:w="115" w:type="dxa"/>
                    </w:tcMar>
                  </w:tcPr>
                  <w:p w14:paraId="17D0E962" w14:textId="2FF807BF" w:rsidR="007A048D" w:rsidRPr="006E4305" w:rsidRDefault="007A048D" w:rsidP="00FE582D">
                    <w:pPr>
                      <w:pStyle w:val="NoSpacing"/>
                      <w:rPr>
                        <w:rFonts w:ascii="Arial" w:hAnsi="Arial" w:cs="Arial"/>
                        <w:color w:val="C00000"/>
                        <w:sz w:val="24"/>
                        <w:szCs w:val="24"/>
                      </w:rPr>
                    </w:pPr>
                    <w:r w:rsidRPr="006E4305">
                      <w:rPr>
                        <w:rFonts w:ascii="Arial" w:eastAsiaTheme="majorEastAsia" w:hAnsi="Arial" w:cs="Arial"/>
                        <w:color w:val="C00000"/>
                        <w:spacing w:val="5"/>
                        <w:kern w:val="28"/>
                        <w:sz w:val="24"/>
                        <w:szCs w:val="24"/>
                      </w:rPr>
                      <w:t>2026 - 2030</w:t>
                    </w:r>
                    <w:r w:rsidR="00CF1C6C" w:rsidRPr="006E4305">
                      <w:rPr>
                        <w:rFonts w:ascii="Arial" w:eastAsiaTheme="majorEastAsia" w:hAnsi="Arial" w:cs="Arial"/>
                        <w:color w:val="C00000"/>
                        <w:spacing w:val="5"/>
                        <w:kern w:val="28"/>
                        <w:sz w:val="24"/>
                        <w:szCs w:val="24"/>
                      </w:rPr>
                      <w:t/>
                    </w:r>
                    <w:r w:rsidRPr="006E4305">
                      <w:rPr>
                        <w:rFonts w:ascii="Arial" w:eastAsiaTheme="majorEastAsia" w:hAnsi="Arial" w:cs="Arial"/>
                        <w:color w:val="C00000"/>
                        <w:spacing w:val="5"/>
                        <w:kern w:val="28"/>
                        <w:sz w:val="24"/>
                        <w:szCs w:val="24"/>
                      </w:rPr>
                      <w:t/>
                    </w:r>
                    <w:r w:rsidR="00232B10" w:rsidRPr="006E4305">
                      <w:rPr>
                        <w:rFonts w:ascii="Arial" w:eastAsiaTheme="majorEastAsia" w:hAnsi="Arial" w:cs="Arial"/>
                        <w:color w:val="C00000"/>
                        <w:spacing w:val="5"/>
                        <w:kern w:val="28"/>
                        <w:sz w:val="24"/>
                        <w:szCs w:val="24"/>
                      </w:rPr>
                      <w:t xml:space="preserve"/>
                    </w:r>
                    <w:r w:rsidRPr="006E4305">
                      <w:rPr>
                        <w:rFonts w:ascii="Arial" w:eastAsiaTheme="majorEastAsia" w:hAnsi="Arial" w:cs="Arial"/>
                        <w:color w:val="C00000"/>
                        <w:spacing w:val="5"/>
                        <w:kern w:val="28"/>
                        <w:sz w:val="24"/>
                        <w:szCs w:val="24"/>
                      </w:rPr>
                      <w:t/>
                    </w:r>
                  </w:p>
                </w:tc>
              </w:sdtContent>
            </w:sdt>
          </w:tr>
        </w:tbl>
        <w:p w14:paraId="5F237ECF" w14:textId="78DBB71D" w:rsidR="000F1FA2" w:rsidRDefault="000F1FA2" w:rsidP="00FE582D">
          <w:pPr>
            <w:spacing w:after="0"/>
            <w:rPr>
              <w:rFonts w:ascii="Arial" w:hAnsi="Arial" w:cs="Arial"/>
              <w:sz w:val="32"/>
              <w:szCs w:val="32"/>
            </w:rPr>
          </w:pPr>
        </w:p>
        <w:p w14:paraId="200CC940" w14:textId="1134F962" w:rsidR="00857B10" w:rsidRDefault="00721BBD" w:rsidP="00FE582D">
          <w:pPr>
            <w:spacing w:after="0"/>
            <w:rPr>
              <w:rFonts w:ascii="Arial" w:hAnsi="Arial" w:cs="Arial"/>
              <w:sz w:val="32"/>
              <w:szCs w:val="32"/>
            </w:rPr>
          </w:pPr>
          <w:r>
            <w:rPr>
              <w:rFonts w:ascii="Arial" w:hAnsi="Arial" w:cs="Arial"/>
              <w:sz w:val="32"/>
              <w:szCs w:val="32"/>
            </w:rPr>
            <w:t xml:space="preserve"> </w:t>
          </w:r>
        </w:p>
        <w:p w14:paraId="54BD4C72" w14:textId="7D2A93CB" w:rsidR="00857B10" w:rsidRDefault="00857B10" w:rsidP="00FE582D">
          <w:pPr>
            <w:spacing w:after="0"/>
            <w:rPr>
              <w:rFonts w:ascii="Arial" w:hAnsi="Arial" w:cs="Arial"/>
              <w:sz w:val="32"/>
              <w:szCs w:val="32"/>
            </w:rPr>
          </w:pPr>
        </w:p>
        <w:p w14:paraId="6574BF8A" w14:textId="4AE50772" w:rsidR="00857B10" w:rsidRDefault="00857B10" w:rsidP="00FE582D">
          <w:pPr>
            <w:spacing w:after="0"/>
            <w:rPr>
              <w:rFonts w:ascii="Arial" w:hAnsi="Arial" w:cs="Arial"/>
              <w:sz w:val="32"/>
              <w:szCs w:val="32"/>
            </w:rPr>
          </w:pPr>
        </w:p>
        <w:p w14:paraId="4F5B72FC" w14:textId="02570DD5" w:rsidR="00857B10" w:rsidRDefault="00857B10" w:rsidP="00FE582D">
          <w:pPr>
            <w:spacing w:after="0"/>
            <w:rPr>
              <w:rFonts w:ascii="Arial" w:hAnsi="Arial" w:cs="Arial"/>
              <w:sz w:val="32"/>
              <w:szCs w:val="32"/>
            </w:rPr>
          </w:pPr>
        </w:p>
        <w:p w14:paraId="60BA6783" w14:textId="6A220334" w:rsidR="00857B10" w:rsidRDefault="00857B10" w:rsidP="00FE582D">
          <w:pPr>
            <w:spacing w:after="0"/>
            <w:rPr>
              <w:rFonts w:ascii="Arial" w:hAnsi="Arial" w:cs="Arial"/>
              <w:sz w:val="32"/>
              <w:szCs w:val="32"/>
            </w:rPr>
          </w:pPr>
        </w:p>
        <w:p w14:paraId="35E1C0FA" w14:textId="30B4FD8E" w:rsidR="00857B10" w:rsidRDefault="00857B10" w:rsidP="00FE582D">
          <w:pPr>
            <w:spacing w:after="0"/>
            <w:rPr>
              <w:rFonts w:ascii="Arial" w:hAnsi="Arial" w:cs="Arial"/>
              <w:sz w:val="32"/>
              <w:szCs w:val="32"/>
            </w:rPr>
          </w:pPr>
        </w:p>
        <w:p w14:paraId="2A6FF60C" w14:textId="243EEC73" w:rsidR="00857B10" w:rsidRDefault="00857B10" w:rsidP="00FE582D">
          <w:pPr>
            <w:spacing w:after="0"/>
            <w:rPr>
              <w:rFonts w:ascii="Arial" w:hAnsi="Arial" w:cs="Arial"/>
              <w:sz w:val="32"/>
              <w:szCs w:val="32"/>
            </w:rPr>
          </w:pPr>
        </w:p>
        <w:p w14:paraId="1D01B333" w14:textId="65446093" w:rsidR="00857B10" w:rsidRDefault="00857B10" w:rsidP="00FE582D">
          <w:pPr>
            <w:spacing w:after="0"/>
            <w:rPr>
              <w:rFonts w:ascii="Arial" w:hAnsi="Arial" w:cs="Arial"/>
              <w:sz w:val="32"/>
              <w:szCs w:val="32"/>
            </w:rPr>
          </w:pPr>
        </w:p>
        <w:p w14:paraId="0B39D853" w14:textId="452C915D" w:rsidR="00857B10" w:rsidRDefault="00857B10" w:rsidP="00FE582D">
          <w:pPr>
            <w:spacing w:after="0"/>
            <w:rPr>
              <w:rFonts w:ascii="Arial" w:hAnsi="Arial" w:cs="Arial"/>
              <w:sz w:val="32"/>
              <w:szCs w:val="32"/>
            </w:rPr>
          </w:pPr>
        </w:p>
        <w:p w14:paraId="59D172E0" w14:textId="5330F043" w:rsidR="00857B10" w:rsidRDefault="00857B10" w:rsidP="00FE582D">
          <w:pPr>
            <w:spacing w:after="0"/>
            <w:rPr>
              <w:rFonts w:ascii="Arial" w:hAnsi="Arial" w:cs="Arial"/>
              <w:sz w:val="32"/>
              <w:szCs w:val="32"/>
            </w:rPr>
          </w:pPr>
        </w:p>
        <w:p w14:paraId="177E21F8" w14:textId="5CE9E296" w:rsidR="00857B10" w:rsidRDefault="00857B10" w:rsidP="00FE582D">
          <w:pPr>
            <w:spacing w:after="0"/>
            <w:rPr>
              <w:rFonts w:ascii="Arial" w:hAnsi="Arial" w:cs="Arial"/>
              <w:sz w:val="32"/>
              <w:szCs w:val="32"/>
            </w:rPr>
          </w:pPr>
        </w:p>
        <w:tbl>
          <w:tblPr>
            <w:tblpPr w:leftFromText="187" w:rightFromText="187" w:vertAnchor="page" w:horzAnchor="margin" w:tblpXSpec="center" w:tblpY="7051"/>
            <w:tblW w:w="3847" w:type="pct"/>
            <w:tblLook w:val="04A0" w:firstRow="1" w:lastRow="0" w:firstColumn="1" w:lastColumn="0" w:noHBand="0" w:noVBand="1"/>
          </w:tblPr>
          <w:tblGrid>
            <w:gridCol w:w="6945"/>
          </w:tblGrid>
          <w:tr w:rsidR="00D67DC6" w:rsidRPr="000F1FA2" w14:paraId="7714FFDD" w14:textId="77777777" w:rsidTr="00D67DC6">
            <w:trPr>
              <w:trHeight w:val="996"/>
            </w:trPr>
            <w:tc>
              <w:tcPr>
                <w:tcW w:w="6945" w:type="dxa"/>
                <w:tcMar>
                  <w:top w:w="216" w:type="dxa"/>
                  <w:left w:w="115" w:type="dxa"/>
                  <w:bottom w:w="216" w:type="dxa"/>
                  <w:right w:w="115" w:type="dxa"/>
                </w:tcMar>
              </w:tcPr>
              <w:p w14:paraId="3DF68C2F" w14:textId="77777777" w:rsidR="00D67DC6" w:rsidRDefault="00D67DC6" w:rsidP="00D67DC6">
                <w:pPr>
                  <w:pStyle w:val="NoSpacing"/>
                  <w:jc w:val="center"/>
                  <w:rPr>
                    <w:rFonts w:ascii="Arial" w:hAnsi="Arial" w:cs="Arial"/>
                    <w:color w:val="C00000"/>
                    <w:sz w:val="24"/>
                    <w:szCs w:val="24"/>
                  </w:rPr>
                </w:pPr>
                <w:bookmarkStart w:id="0" w:name="_Hlk152139133"/>
                <w:r w:rsidRPr="00480805">
                  <w:rPr>
                    <w:rFonts w:ascii="Arial" w:hAnsi="Arial" w:cs="Arial"/>
                    <w:color w:val="C00000"/>
                    <w:sz w:val="24"/>
                    <w:szCs w:val="24"/>
                  </w:rPr>
                  <w:t/>
                </w:r>
                <w:bookmarkEnd w:id="0"/>
              </w:p>
              <w:p w14:paraId="366CC137" w14:textId="77777777" w:rsidR="00D67DC6" w:rsidRDefault="00D67DC6" w:rsidP="00D67DC6">
                <w:pPr>
                  <w:pStyle w:val="NoSpacing"/>
                  <w:jc w:val="center"/>
                  <w:rPr>
                    <w:rFonts w:ascii="Arial" w:hAnsi="Arial" w:cs="Arial"/>
                    <w:color w:val="C00000"/>
                    <w:sz w:val="24"/>
                    <w:szCs w:val="24"/>
                  </w:rPr>
                </w:pPr>
              </w:p>
              <w:p w14:paraId="053D222B" w14:textId="77777777" w:rsidR="00D67DC6" w:rsidRDefault="00D67DC6" w:rsidP="00D67DC6">
                <w:pPr>
                  <w:pStyle w:val="NoSpacing"/>
                  <w:jc w:val="center"/>
                  <w:rPr>
                    <w:rFonts w:ascii="Arial" w:hAnsi="Arial" w:cs="Arial"/>
                    <w:color w:val="C00000"/>
                    <w:sz w:val="24"/>
                    <w:szCs w:val="24"/>
                  </w:rPr>
                </w:pPr>
              </w:p>
              <w:p w14:paraId="485B7143" w14:textId="47CBD7BB" w:rsidR="00D67DC6" w:rsidRPr="00B32A0F" w:rsidRDefault="00D67DC6" w:rsidP="00232B10">
                <w:pPr>
                  <w:pStyle w:val="NoSpacing"/>
                  <w:jc w:val="both"/>
                  <w:rPr>
                    <w:rFonts w:ascii="Arial" w:hAnsi="Arial" w:cs="Arial"/>
                    <w:color w:val="C00000"/>
                    <w:sz w:val="24"/>
                    <w:szCs w:val="24"/>
                  </w:rPr>
                </w:pPr>
              </w:p>
            </w:tc>
          </w:tr>
        </w:tbl>
        <w:p w14:paraId="38BC1626" w14:textId="22AA8274" w:rsidR="00857B10" w:rsidRDefault="00857B10" w:rsidP="00FE582D">
          <w:pPr>
            <w:spacing w:after="0"/>
            <w:rPr>
              <w:rFonts w:ascii="Arial" w:hAnsi="Arial" w:cs="Arial"/>
              <w:sz w:val="32"/>
              <w:szCs w:val="32"/>
            </w:rPr>
          </w:pPr>
        </w:p>
        <w:p w14:paraId="025B5D08" w14:textId="060CBAED" w:rsidR="00857B10" w:rsidRDefault="00857B10" w:rsidP="00FE582D">
          <w:pPr>
            <w:spacing w:after="0"/>
            <w:rPr>
              <w:rFonts w:ascii="Arial" w:hAnsi="Arial" w:cs="Arial"/>
              <w:sz w:val="32"/>
              <w:szCs w:val="32"/>
            </w:rPr>
          </w:pPr>
        </w:p>
        <w:p w14:paraId="316BC05C" w14:textId="0DBF64FA" w:rsidR="00857B10" w:rsidRDefault="00857B10" w:rsidP="00FE582D">
          <w:pPr>
            <w:spacing w:after="0"/>
            <w:rPr>
              <w:rFonts w:ascii="Arial" w:hAnsi="Arial" w:cs="Arial"/>
              <w:sz w:val="32"/>
              <w:szCs w:val="32"/>
            </w:rPr>
          </w:pPr>
        </w:p>
        <w:p w14:paraId="02919411" w14:textId="25EA05B7" w:rsidR="00857B10" w:rsidRDefault="00857B10" w:rsidP="00FE582D">
          <w:pPr>
            <w:spacing w:after="0"/>
            <w:rPr>
              <w:rFonts w:ascii="Arial" w:hAnsi="Arial" w:cs="Arial"/>
              <w:sz w:val="32"/>
              <w:szCs w:val="32"/>
            </w:rPr>
          </w:pPr>
        </w:p>
        <w:p w14:paraId="1DE9FBCA" w14:textId="346D2CFE" w:rsidR="00857B10" w:rsidRDefault="00857B10" w:rsidP="00FE582D">
          <w:pPr>
            <w:spacing w:after="0"/>
            <w:rPr>
              <w:rFonts w:ascii="Arial" w:hAnsi="Arial" w:cs="Arial"/>
              <w:sz w:val="32"/>
              <w:szCs w:val="32"/>
            </w:rPr>
          </w:pPr>
        </w:p>
        <w:p w14:paraId="5B63DBBC" w14:textId="20F19A1F" w:rsidR="00857B10" w:rsidRDefault="00857B10" w:rsidP="00FE582D">
          <w:pPr>
            <w:spacing w:after="0"/>
            <w:rPr>
              <w:rFonts w:ascii="Arial" w:hAnsi="Arial" w:cs="Arial"/>
              <w:sz w:val="32"/>
              <w:szCs w:val="32"/>
            </w:rPr>
          </w:pPr>
        </w:p>
        <w:p w14:paraId="6FB258BF" w14:textId="28038E26" w:rsidR="00857B10" w:rsidRDefault="00857B10" w:rsidP="00FE582D">
          <w:pPr>
            <w:spacing w:after="0"/>
            <w:rPr>
              <w:rFonts w:ascii="Arial" w:hAnsi="Arial" w:cs="Arial"/>
              <w:sz w:val="32"/>
              <w:szCs w:val="32"/>
            </w:rPr>
          </w:pPr>
        </w:p>
        <w:p w14:paraId="2B711DE6" w14:textId="2D94CF15" w:rsidR="00857B10" w:rsidRDefault="00857B10" w:rsidP="00FE582D">
          <w:pPr>
            <w:spacing w:after="0"/>
            <w:rPr>
              <w:rFonts w:ascii="Arial" w:hAnsi="Arial" w:cs="Arial"/>
              <w:sz w:val="32"/>
              <w:szCs w:val="32"/>
            </w:rPr>
          </w:pPr>
        </w:p>
        <w:p w14:paraId="40D919E4" w14:textId="63C321AF" w:rsidR="00857B10" w:rsidRDefault="00857B10" w:rsidP="00FE582D">
          <w:pPr>
            <w:spacing w:after="0"/>
            <w:rPr>
              <w:rFonts w:ascii="Arial" w:hAnsi="Arial" w:cs="Arial"/>
              <w:sz w:val="32"/>
              <w:szCs w:val="32"/>
            </w:rPr>
          </w:pPr>
        </w:p>
        <w:p w14:paraId="4FF018F4" w14:textId="48FA3570" w:rsidR="00857B10" w:rsidRDefault="00857B10" w:rsidP="00FE582D">
          <w:pPr>
            <w:spacing w:after="0"/>
            <w:rPr>
              <w:rFonts w:ascii="Arial" w:hAnsi="Arial" w:cs="Arial"/>
              <w:sz w:val="32"/>
              <w:szCs w:val="32"/>
            </w:rPr>
          </w:pPr>
        </w:p>
        <w:p w14:paraId="41E0D9A3" w14:textId="460D3DF6" w:rsidR="00857B10" w:rsidRDefault="00857B10" w:rsidP="00FE582D">
          <w:pPr>
            <w:spacing w:after="0"/>
            <w:rPr>
              <w:rFonts w:ascii="Arial" w:hAnsi="Arial" w:cs="Arial"/>
              <w:sz w:val="32"/>
              <w:szCs w:val="32"/>
            </w:rPr>
          </w:pPr>
        </w:p>
        <w:p w14:paraId="1C1E443C" w14:textId="77777777" w:rsidR="00B32A0F" w:rsidRDefault="00B32A0F" w:rsidP="00FE582D">
          <w:pPr>
            <w:spacing w:after="0"/>
            <w:rPr>
              <w:rFonts w:ascii="Arial" w:hAnsi="Arial" w:cs="Arial"/>
              <w:sz w:val="32"/>
              <w:szCs w:val="32"/>
            </w:rPr>
          </w:pPr>
        </w:p>
        <w:tbl>
          <w:tblPr>
            <w:tblStyle w:val="TableGrid"/>
            <w:tblW w:w="0" w:type="auto"/>
            <w:tblLook w:val="04A0" w:firstRow="1" w:lastRow="0" w:firstColumn="1" w:lastColumn="0" w:noHBand="0" w:noVBand="1"/>
          </w:tblPr>
          <w:tblGrid>
            <w:gridCol w:w="4531"/>
            <w:gridCol w:w="4485"/>
          </w:tblGrid>
          <w:tr w:rsidR="00D87943" w14:paraId="6819B47C" w14:textId="77777777" w:rsidTr="00D67DC6">
            <w:trPr>
              <w:trHeight w:val="340"/>
            </w:trPr>
            <w:tc>
              <w:tcPr>
                <w:tcW w:w="4531" w:type="dxa"/>
                <w:shd w:val="clear" w:color="auto" w:fill="auto"/>
                <w:vAlign w:val="center"/>
              </w:tcPr>
              <w:p w14:paraId="1950E6D9" w14:textId="77777777" w:rsidR="00D87943" w:rsidRPr="00E42310" w:rsidRDefault="00D87943" w:rsidP="00D67DC6">
                <w:pPr>
                  <w:jc w:val="right"/>
                  <w:rPr>
                    <w:rFonts w:ascii="Arial" w:hAnsi="Arial" w:cs="Arial"/>
                    <w:b/>
                  </w:rPr>
                </w:pPr>
                <w:r w:rsidRPr="00E42310">
                  <w:rPr>
                    <w:rFonts w:ascii="Arial" w:hAnsi="Arial" w:cs="Arial"/>
                    <w:b/>
                  </w:rPr>
                  <w:t>Date created</w:t>
                </w:r>
              </w:p>
            </w:tc>
            <w:tc>
              <w:tcPr>
                <w:tcW w:w="4485" w:type="dxa"/>
                <w:vAlign w:val="center"/>
              </w:tcPr>
              <w:p w14:paraId="4FB4D9F0" w14:textId="77777777" w:rsidR="00D87943" w:rsidRPr="00D87943" w:rsidRDefault="00D87943" w:rsidP="00D67DC6">
                <w:pPr>
                  <w:rPr>
                    <w:rFonts w:ascii="Arial" w:hAnsi="Arial" w:cs="Arial"/>
                    <w:color w:val="C00000"/>
                  </w:rPr>
                </w:pPr>
                <w:r>
                  <w:rPr>
                    <w:rFonts w:ascii="Arial" w:hAnsi="Arial"/>
                    <w:color w:val="C00000"/>
                    <w:sz w:val="16"/>
                    <w:szCs w:val="16"/>
                  </w:rPr>
                  <w:t xml:space="preserve">June 2026</w:t>
                </w:r>
              </w:p>
            </w:tc>
          </w:tr>
          <w:tr w:rsidR="00D87943" w14:paraId="10B068E0" w14:textId="77777777" w:rsidTr="00D67DC6">
            <w:trPr>
              <w:trHeight w:val="340"/>
            </w:trPr>
            <w:tc>
              <w:tcPr>
                <w:tcW w:w="4531" w:type="dxa"/>
                <w:shd w:val="clear" w:color="auto" w:fill="auto"/>
                <w:vAlign w:val="center"/>
              </w:tcPr>
              <w:p w14:paraId="3D2DF341" w14:textId="77777777" w:rsidR="00D87943" w:rsidRPr="00E42310" w:rsidRDefault="00D87943" w:rsidP="00D67DC6">
                <w:pPr>
                  <w:jc w:val="right"/>
                  <w:rPr>
                    <w:rFonts w:ascii="Arial" w:hAnsi="Arial" w:cs="Arial"/>
                    <w:b/>
                  </w:rPr>
                </w:pPr>
                <w:r>
                  <w:rPr>
                    <w:rFonts w:ascii="Arial" w:hAnsi="Arial" w:cs="Arial"/>
                    <w:b/>
                  </w:rPr>
                  <w:t>Approved by</w:t>
                </w:r>
              </w:p>
            </w:tc>
            <w:tc>
              <w:tcPr>
                <w:tcW w:w="4485" w:type="dxa"/>
                <w:vAlign w:val="center"/>
              </w:tcPr>
              <w:p w14:paraId="26D9E845" w14:textId="77777777" w:rsidR="00D87943" w:rsidRPr="00D87943" w:rsidRDefault="00D87943" w:rsidP="00D67DC6">
                <w:pPr>
                  <w:rPr>
                    <w:rFonts w:ascii="Arial" w:hAnsi="Arial" w:cs="Arial"/>
                    <w:color w:val="C00000"/>
                  </w:rPr>
                </w:pPr>
                <w:r>
                  <w:rPr>
                    <w:rFonts w:ascii="Arial" w:hAnsi="Arial"/>
                    <w:color w:val="C00000"/>
                    <w:sz w:val="16"/>
                    <w:szCs w:val="16"/>
                  </w:rPr>
                  <w:t xml:space="preserve">Executive / SLT</w:t>
                </w:r>
              </w:p>
            </w:tc>
          </w:tr>
          <w:tr w:rsidR="00D87943" w14:paraId="4D81CCBD" w14:textId="77777777" w:rsidTr="00D67DC6">
            <w:trPr>
              <w:trHeight w:val="340"/>
            </w:trPr>
            <w:tc>
              <w:tcPr>
                <w:tcW w:w="4531" w:type="dxa"/>
                <w:shd w:val="clear" w:color="auto" w:fill="auto"/>
                <w:vAlign w:val="center"/>
              </w:tcPr>
              <w:p w14:paraId="5AB409A1" w14:textId="77777777" w:rsidR="00D87943" w:rsidRDefault="00D87943" w:rsidP="00D67DC6">
                <w:pPr>
                  <w:jc w:val="right"/>
                  <w:rPr>
                    <w:rFonts w:ascii="Arial" w:hAnsi="Arial" w:cs="Arial"/>
                    <w:b/>
                  </w:rPr>
                </w:pPr>
                <w:r>
                  <w:rPr>
                    <w:rFonts w:ascii="Arial" w:hAnsi="Arial" w:cs="Arial"/>
                    <w:b/>
                  </w:rPr>
                  <w:t>Owner</w:t>
                </w:r>
              </w:p>
            </w:tc>
            <w:tc>
              <w:tcPr>
                <w:tcW w:w="4485" w:type="dxa"/>
                <w:vAlign w:val="center"/>
              </w:tcPr>
              <w:p w14:paraId="47E23E6E" w14:textId="77777777" w:rsidR="00D87943" w:rsidRPr="00D87943" w:rsidRDefault="00D87943" w:rsidP="00D67DC6">
                <w:pPr>
                  <w:rPr>
                    <w:rFonts w:ascii="Arial" w:hAnsi="Arial" w:cs="Arial"/>
                    <w:color w:val="C00000"/>
                  </w:rPr>
                </w:pPr>
                <w:r>
                  <w:rPr>
                    <w:rFonts w:ascii="Arial" w:hAnsi="Arial"/>
                    <w:color w:val="C00000"/>
                    <w:sz w:val="16"/>
                    <w:szCs w:val="16"/>
                  </w:rPr>
                  <w:t xml:space="preserve">Head of Enterprise Architecture</w:t>
                </w:r>
              </w:p>
            </w:tc>
          </w:tr>
          <w:tr w:rsidR="00D87943" w14:paraId="7C7AB5D8" w14:textId="77777777" w:rsidTr="00D67DC6">
            <w:trPr>
              <w:trHeight w:val="340"/>
            </w:trPr>
            <w:tc>
              <w:tcPr>
                <w:tcW w:w="4531" w:type="dxa"/>
                <w:shd w:val="clear" w:color="auto" w:fill="auto"/>
                <w:vAlign w:val="center"/>
              </w:tcPr>
              <w:p w14:paraId="07985325" w14:textId="77777777" w:rsidR="00D87943" w:rsidRPr="00E42310" w:rsidRDefault="00D87943" w:rsidP="00D67DC6">
                <w:pPr>
                  <w:jc w:val="right"/>
                  <w:rPr>
                    <w:rFonts w:ascii="Arial" w:hAnsi="Arial" w:cs="Arial"/>
                    <w:b/>
                  </w:rPr>
                </w:pPr>
                <w:r w:rsidRPr="00E42310">
                  <w:rPr>
                    <w:rFonts w:ascii="Arial" w:hAnsi="Arial" w:cs="Arial"/>
                    <w:b/>
                  </w:rPr>
                  <w:t>Version</w:t>
                </w:r>
              </w:p>
            </w:tc>
            <w:tc>
              <w:tcPr>
                <w:tcW w:w="4485" w:type="dxa"/>
                <w:vAlign w:val="center"/>
              </w:tcPr>
              <w:p w14:paraId="79BA55CE" w14:textId="77777777" w:rsidR="00D87943" w:rsidRPr="00D87943" w:rsidRDefault="00D87943" w:rsidP="00D67DC6">
                <w:pPr>
                  <w:rPr>
                    <w:rFonts w:ascii="Arial" w:hAnsi="Arial" w:cs="Arial"/>
                    <w:color w:val="C00000"/>
                  </w:rPr>
                </w:pPr>
                <w:r>
                  <w:rPr>
                    <w:rFonts w:ascii="Arial" w:hAnsi="Arial"/>
                    <w:color w:val="C00000"/>
                    <w:sz w:val="16"/>
                    <w:szCs w:val="16"/>
                  </w:rPr>
                  <w:t xml:space="preserve">0.2 Draft</w:t>
                </w:r>
              </w:p>
            </w:tc>
          </w:tr>
          <w:tr w:rsidR="00D87943" w14:paraId="062F6CC7" w14:textId="77777777" w:rsidTr="00D67DC6">
            <w:trPr>
              <w:trHeight w:val="340"/>
            </w:trPr>
            <w:tc>
              <w:tcPr>
                <w:tcW w:w="4531" w:type="dxa"/>
                <w:shd w:val="clear" w:color="auto" w:fill="auto"/>
                <w:vAlign w:val="center"/>
              </w:tcPr>
              <w:p w14:paraId="0A9F22F9" w14:textId="77777777" w:rsidR="00D87943" w:rsidRPr="00E42310" w:rsidRDefault="00D87943" w:rsidP="00D67DC6">
                <w:pPr>
                  <w:jc w:val="right"/>
                  <w:rPr>
                    <w:rFonts w:ascii="Arial" w:hAnsi="Arial" w:cs="Arial"/>
                    <w:b/>
                  </w:rPr>
                </w:pPr>
                <w:r w:rsidRPr="00E42310">
                  <w:rPr>
                    <w:rFonts w:ascii="Arial" w:hAnsi="Arial" w:cs="Arial"/>
                    <w:b/>
                  </w:rPr>
                  <w:t>Author</w:t>
                </w:r>
              </w:p>
            </w:tc>
            <w:tc>
              <w:tcPr>
                <w:tcW w:w="4485" w:type="dxa"/>
                <w:vAlign w:val="center"/>
              </w:tcPr>
              <w:p w14:paraId="160D558B" w14:textId="77777777" w:rsidR="00D87943" w:rsidRPr="00D87943" w:rsidRDefault="00D87943" w:rsidP="00D67DC6">
                <w:pPr>
                  <w:rPr>
                    <w:rFonts w:ascii="Arial" w:hAnsi="Arial" w:cs="Arial"/>
                    <w:color w:val="C00000"/>
                  </w:rPr>
                </w:pPr>
                <w:r>
                  <w:rPr>
                    <w:rFonts w:ascii="Arial" w:hAnsi="Arial"/>
                    <w:color w:val="C00000"/>
                    <w:sz w:val="16"/>
                    <w:szCs w:val="16"/>
                  </w:rPr>
                  <w:t xml:space="preserve">Adam Staples
Head of Enterprise Architecture</w:t>
                </w:r>
              </w:p>
              <w:p w14:paraId="189779FC" w14:textId="77777777" w:rsidR="00D87943" w:rsidRPr="00D87943" w:rsidRDefault="00D87943" w:rsidP="00D67DC6">
                <w:pPr>
                  <w:rPr>
                    <w:rFonts w:ascii="Arial" w:hAnsi="Arial" w:cs="Arial"/>
                    <w:color w:val="C00000"/>
                  </w:rPr>
                </w:pPr>
                <w:r w:rsidRPr="00D87943">
                  <w:rPr>
                    <w:rFonts w:ascii="Arial" w:hAnsi="Arial" w:cs="Arial"/>
                    <w:color w:val="C00000"/>
                  </w:rPr>
                  <w:t/>
                </w:r>
              </w:p>
            </w:tc>
          </w:tr>
          <w:tr w:rsidR="00D87943" w14:paraId="736C29BE" w14:textId="77777777" w:rsidTr="00D67DC6">
            <w:trPr>
              <w:trHeight w:val="340"/>
            </w:trPr>
            <w:tc>
              <w:tcPr>
                <w:tcW w:w="4531" w:type="dxa"/>
                <w:shd w:val="clear" w:color="auto" w:fill="auto"/>
                <w:vAlign w:val="center"/>
              </w:tcPr>
              <w:p w14:paraId="646CB28E" w14:textId="6352CDE4" w:rsidR="00D87943" w:rsidRPr="00E42310" w:rsidRDefault="00232B10" w:rsidP="00D67DC6">
                <w:pPr>
                  <w:jc w:val="right"/>
                  <w:rPr>
                    <w:rFonts w:ascii="Arial" w:hAnsi="Arial" w:cs="Arial"/>
                    <w:b/>
                  </w:rPr>
                </w:pPr>
                <w:r>
                  <w:rPr>
                    <w:rFonts w:ascii="Arial" w:hAnsi="Arial" w:cs="Arial"/>
                    <w:b/>
                  </w:rPr>
                  <w:t>Business Unit</w:t>
                </w:r>
              </w:p>
            </w:tc>
            <w:tc>
              <w:tcPr>
                <w:tcW w:w="4485" w:type="dxa"/>
                <w:vAlign w:val="center"/>
              </w:tcPr>
              <w:p w14:paraId="390AEE7E" w14:textId="1AAC68F0" w:rsidR="00D87943" w:rsidRPr="00D87943" w:rsidRDefault="00232B10" w:rsidP="00D67DC6">
                <w:pPr>
                  <w:rPr>
                    <w:rFonts w:ascii="Arial" w:hAnsi="Arial" w:cs="Arial"/>
                    <w:color w:val="C00000"/>
                  </w:rPr>
                </w:pPr>
                <w:r>
                  <w:rPr>
                    <w:rFonts w:ascii="Arial" w:hAnsi="Arial"/>
                    <w:color w:val="C00000"/>
                    <w:sz w:val="16"/>
                    <w:szCs w:val="16"/>
                  </w:rPr>
                  <w:t xml:space="preserve">Transformation &amp; Digital</w:t>
                </w:r>
              </w:p>
            </w:tc>
          </w:tr>
          <w:tr w:rsidR="00D87943" w14:paraId="0429D640" w14:textId="77777777" w:rsidTr="00D67DC6">
            <w:trPr>
              <w:trHeight w:val="340"/>
            </w:trPr>
            <w:tc>
              <w:tcPr>
                <w:tcW w:w="4531" w:type="dxa"/>
                <w:shd w:val="clear" w:color="auto" w:fill="auto"/>
                <w:vAlign w:val="center"/>
              </w:tcPr>
              <w:p w14:paraId="178A534A" w14:textId="30764289" w:rsidR="00D87943" w:rsidRPr="00E42310" w:rsidRDefault="00500A6A" w:rsidP="00D67DC6">
                <w:pPr>
                  <w:jc w:val="right"/>
                  <w:rPr>
                    <w:rFonts w:ascii="Arial" w:hAnsi="Arial" w:cs="Arial"/>
                    <w:b/>
                  </w:rPr>
                </w:pPr>
                <w:r>
                  <w:rPr>
                    <w:rFonts w:ascii="Arial" w:hAnsi="Arial" w:cs="Arial"/>
                    <w:b/>
                  </w:rPr>
                  <w:t>Strategy</w:t>
                </w:r>
                <w:r w:rsidR="00D87943" w:rsidRPr="00E42310">
                  <w:rPr>
                    <w:rFonts w:ascii="Arial" w:hAnsi="Arial" w:cs="Arial"/>
                    <w:b/>
                  </w:rPr>
                  <w:t xml:space="preserve"> Review Date</w:t>
                </w:r>
              </w:p>
            </w:tc>
            <w:tc>
              <w:tcPr>
                <w:tcW w:w="4485" w:type="dxa"/>
                <w:vAlign w:val="center"/>
              </w:tcPr>
              <w:p w14:paraId="30A9FBB3" w14:textId="77777777" w:rsidR="00D87943" w:rsidRPr="00D87943" w:rsidRDefault="00D87943" w:rsidP="00D67DC6">
                <w:pPr>
                  <w:rPr>
                    <w:rFonts w:ascii="Arial" w:hAnsi="Arial" w:cs="Arial"/>
                    <w:color w:val="C00000"/>
                  </w:rPr>
                </w:pPr>
                <w:r>
                  <w:rPr>
                    <w:rFonts w:ascii="Arial" w:hAnsi="Arial"/>
                    <w:color w:val="C00000"/>
                    <w:sz w:val="16"/>
                    <w:szCs w:val="16"/>
                  </w:rPr>
                  <w:t xml:space="preserve">June 2027</w:t>
                </w:r>
              </w:p>
            </w:tc>
          </w:tr>
          <w:tr w:rsidR="00D87943" w14:paraId="476277BA" w14:textId="77777777" w:rsidTr="00D67DC6">
            <w:trPr>
              <w:trHeight w:val="340"/>
            </w:trPr>
            <w:tc>
              <w:tcPr>
                <w:tcW w:w="4531" w:type="dxa"/>
                <w:shd w:val="clear" w:color="auto" w:fill="auto"/>
                <w:vAlign w:val="center"/>
              </w:tcPr>
              <w:p w14:paraId="540D0F05" w14:textId="3C6AD972" w:rsidR="00D87943" w:rsidRPr="00E42310" w:rsidRDefault="00D87943" w:rsidP="00D67DC6">
                <w:pPr>
                  <w:jc w:val="right"/>
                  <w:rPr>
                    <w:rFonts w:ascii="Arial" w:hAnsi="Arial" w:cs="Arial"/>
                    <w:b/>
                  </w:rPr>
                </w:pPr>
                <w:r>
                  <w:rPr>
                    <w:rFonts w:ascii="Arial" w:hAnsi="Arial" w:cs="Arial"/>
                    <w:b/>
                  </w:rPr>
                  <w:t>Equality Impact Assessment Complete</w:t>
                </w:r>
                <w:r w:rsidR="000D4B8C">
                  <w:rPr>
                    <w:rFonts w:ascii="Arial" w:hAnsi="Arial" w:cs="Arial"/>
                    <w:b/>
                  </w:rPr>
                  <w:t>d</w:t>
                </w:r>
              </w:p>
            </w:tc>
            <w:tc>
              <w:tcPr>
                <w:tcW w:w="4485" w:type="dxa"/>
                <w:vAlign w:val="center"/>
              </w:tcPr>
              <w:p w14:paraId="14060E62" w14:textId="77777777" w:rsidR="00D87943" w:rsidRPr="00D87943" w:rsidRDefault="00D87943" w:rsidP="00D67DC6">
                <w:pPr>
                  <w:rPr>
                    <w:rFonts w:ascii="Arial" w:hAnsi="Arial" w:cs="Arial"/>
                    <w:color w:val="C00000"/>
                  </w:rPr>
                </w:pPr>
                <w:r>
                  <w:rPr>
                    <w:rFonts w:ascii="Arial" w:hAnsi="Arial"/>
                    <w:color w:val="C00000"/>
                    <w:sz w:val="16"/>
                    <w:szCs w:val="16"/>
                  </w:rPr>
                  <w:t xml:space="preserve">Draft EIA to be completed before approval</w:t>
                </w:r>
              </w:p>
            </w:tc>
          </w:tr>
        </w:tbl>
        <w:p w14:paraId="7D0869C2" w14:textId="1B62D0D1" w:rsidR="0014608C" w:rsidRDefault="0014608C"/>
        <w:sdt>
          <w:sdtPr>
            <w:rPr>
              <w:rFonts w:asciiTheme="minorHAnsi" w:eastAsiaTheme="minorHAnsi" w:hAnsiTheme="minorHAnsi" w:cstheme="minorBidi"/>
              <w:color w:val="auto"/>
              <w:sz w:val="22"/>
              <w:szCs w:val="22"/>
              <w:lang w:val="en-GB"/>
            </w:rPr>
            <w:id w:val="1203983617"/>
            <w:docPartObj>
              <w:docPartGallery w:val="Table of Contents"/>
              <w:docPartUnique/>
            </w:docPartObj>
          </w:sdtPr>
          <w:sdtEndPr>
            <w:rPr>
              <w:b/>
              <w:bCs/>
              <w:noProof/>
            </w:rPr>
          </w:sdtEndPr>
          <w:sdtContent>
            <w:p w14:paraId="4671E041" w14:textId="411D80C5" w:rsidR="0014608C" w:rsidRPr="009D2DD8" w:rsidRDefault="0014608C" w:rsidP="0014608C">
              <w:pPr>
                <w:pStyle w:val="TOCHeading"/>
                <w:spacing w:line="360" w:lineRule="auto"/>
                <w:rPr>
                  <w:rFonts w:ascii="Arial" w:hAnsi="Arial" w:cs="Arial"/>
                  <w:b/>
                  <w:bCs/>
                  <w:color w:val="auto"/>
                  <w:sz w:val="28"/>
                  <w:szCs w:val="28"/>
                </w:rPr>
              </w:pPr>
              <w:r w:rsidRPr="0014608C">
                <w:rPr>
                  <w:rFonts w:ascii="Arial" w:hAnsi="Arial" w:cs="Arial"/>
                  <w:b/>
                  <w:bCs/>
                  <w:color w:val="auto"/>
                  <w:sz w:val="28"/>
                  <w:szCs w:val="28"/>
                </w:rPr>
                <w:t>C</w:t>
              </w:r>
              <w:r w:rsidRPr="009D2DD8">
                <w:rPr>
                  <w:rFonts w:ascii="Arial" w:hAnsi="Arial" w:cs="Arial"/>
                  <w:b/>
                  <w:bCs/>
                  <w:color w:val="auto"/>
                  <w:sz w:val="28"/>
                  <w:szCs w:val="28"/>
                </w:rPr>
                <w:t>ontents</w:t>
              </w:r>
            </w:p>
            <w:p w14:paraId="6B42DB00" w14:textId="35D45361" w:rsidR="00EC295E" w:rsidRDefault="0014608C">
              <w:pPr>
                <w:pStyle w:val="TOC2"/>
                <w:tabs>
                  <w:tab w:val="left" w:pos="72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1. Foreword	3</w:t>
              </w:r>
            </w:p>
            <w:p w14:paraId="7ED870B4" w14:textId="6BE95EAE" w:rsidR="00EC295E" w:rsidRDefault="00EC295E">
              <w:pPr>
                <w:pStyle w:val="TOC2"/>
                <w:tabs>
                  <w:tab w:val="left" w:pos="72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2. Introduction	4</w:t>
              </w:r>
            </w:p>
            <w:p w14:paraId="5068A433" w14:textId="66B8A288" w:rsidR="00EC295E" w:rsidRDefault="00EC295E">
              <w:pPr>
                <w:pStyle w:val="TOC2"/>
                <w:tabs>
                  <w:tab w:val="left" w:pos="72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3. Legal Background	4</w:t>
              </w:r>
            </w:p>
            <w:p w14:paraId="59700747" w14:textId="61E2D6A7" w:rsidR="00EC295E" w:rsidRDefault="00EC295E">
              <w:pPr>
                <w:pStyle w:val="TOC2"/>
                <w:tabs>
                  <w:tab w:val="left" w:pos="72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4. Equalities	5</w:t>
              </w:r>
            </w:p>
            <w:p w14:paraId="39D404F6" w14:textId="383E3764" w:rsidR="00EC295E" w:rsidRDefault="00EC295E">
              <w:pPr>
                <w:pStyle w:val="TOC2"/>
                <w:tabs>
                  <w:tab w:val="left" w:pos="72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5. Data Protection	5</w:t>
              </w:r>
            </w:p>
            <w:p w14:paraId="15CF26DD" w14:textId="3A5907C8" w:rsidR="00EC295E" w:rsidRDefault="00EC295E">
              <w:pPr>
                <w:pStyle w:val="TOC2"/>
                <w:tabs>
                  <w:tab w:val="left" w:pos="72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6. Consultation and Coproduction	6</w:t>
              </w:r>
            </w:p>
            <w:p w14:paraId="4712A96D" w14:textId="69C1593C" w:rsidR="00EC295E" w:rsidRDefault="00EC295E">
              <w:pPr>
                <w:pStyle w:val="TOC2"/>
                <w:tabs>
                  <w:tab w:val="left" w:pos="72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7. Data Insight	7</w:t>
              </w:r>
            </w:p>
            <w:p w14:paraId="31FA9CD4" w14:textId="5AA14E17" w:rsidR="00EC295E" w:rsidRDefault="00EC295E">
              <w:pPr>
                <w:pStyle w:val="TOC2"/>
                <w:tabs>
                  <w:tab w:val="left" w:pos="72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8. Key Objectives	8</w:t>
              </w:r>
            </w:p>
            <w:p w14:paraId="765F4FDF" w14:textId="2C488A6A" w:rsidR="00EC295E" w:rsidRDefault="00EC295E">
              <w:pPr>
                <w:pStyle w:val="TOC2"/>
                <w:tabs>
                  <w:tab w:val="left" w:pos="72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9. Governance	14</w:t>
              </w:r>
            </w:p>
            <w:p w14:paraId="41881C91" w14:textId="6500BB0F" w:rsidR="00EC295E" w:rsidRDefault="00EC295E">
              <w:pPr>
                <w:pStyle w:val="TOC2"/>
                <w:tabs>
                  <w:tab w:val="left" w:pos="96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10. References	16</w:t>
              </w:r>
            </w:p>
            <w:p w14:paraId="1DBCB893" w14:textId="23CB1A2A" w:rsidR="00EC295E" w:rsidRDefault="00EC295E">
              <w:pPr>
                <w:pStyle w:val="TOC2"/>
                <w:tabs>
                  <w:tab w:val="left" w:pos="96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11. Acronyms	17</w:t>
              </w:r>
            </w:p>
            <w:p w14:paraId="6C01A755" w14:textId="37147298" w:rsidR="00EC295E" w:rsidRDefault="00EC295E">
              <w:pPr>
                <w:pStyle w:val="TOC2"/>
                <w:tabs>
                  <w:tab w:val="left" w:pos="96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12. Appendices	18</w:t>
              </w:r>
            </w:p>
            <w:p w14:paraId="167D501B" w14:textId="7E5B2024" w:rsidR="00EC295E" w:rsidRDefault="00EC295E">
              <w:pPr>
                <w:pStyle w:val="TOC2"/>
                <w:tabs>
                  <w:tab w:val="left" w:pos="960"/>
                  <w:tab w:val="right" w:leader="dot" w:pos="9016"/>
                </w:tabs>
                <w:rPr>
                  <w:rFonts w:eastAsiaTheme="minorEastAsia"/>
                  <w:noProof/>
                  <w:kern w:val="2"/>
                  <w:sz w:val="24"/>
                  <w:szCs w:val="24"/>
                  <w:lang w:eastAsia="en-GB"/>
                  <w14:ligatures w14:val="standardContextual"/>
                </w:rPr>
              </w:pPr>
              <w:r>
                <w:rPr>
                  <w:rFonts w:ascii="Arial" w:hAnsi="Arial"/>
                  <w:color w:val="000000"/>
                  <w:sz w:val="18"/>
                  <w:szCs w:val="18"/>
                </w:rPr>
                <w:t xml:space="preserve">13. Version History	18</w:t>
              </w:r>
            </w:p>
            <w:p w14:paraId="19B4E9E5" w14:textId="6076E8C2" w:rsidR="0014608C" w:rsidRDefault="0014608C" w:rsidP="0014608C">
              <w:pPr>
                <w:spacing w:line="360" w:lineRule="auto"/>
              </w:pPr>
              <w:r w:rsidRPr="00C65948">
                <w:rPr>
                  <w:rFonts w:ascii="Arial" w:hAnsi="Arial" w:cs="Arial"/>
                  <w:b/>
                  <w:bCs/>
                  <w:noProof/>
                </w:rPr>
                <w:fldChar w:fldCharType="end"/>
              </w:r>
            </w:p>
          </w:sdtContent>
        </w:sdt>
        <w:p w14:paraId="222BAA3D" w14:textId="77777777" w:rsidR="000B3116" w:rsidRPr="00952A10" w:rsidRDefault="000B3116" w:rsidP="000B3116">
          <w:pPr>
            <w:ind w:right="402"/>
            <w:jc w:val="center"/>
            <w:rPr>
              <w:rFonts w:ascii="Arial" w:hAnsi="Arial" w:cs="Arial"/>
              <w:bCs/>
              <w:color w:val="C00000"/>
              <w:sz w:val="24"/>
              <w:szCs w:val="24"/>
            </w:rPr>
          </w:pPr>
          <w:r w:rsidRPr="00952A10">
            <w:rPr>
              <w:rFonts w:ascii="Arial" w:hAnsi="Arial" w:cs="Arial"/>
              <w:bCs/>
              <w:color w:val="C00000"/>
              <w:sz w:val="24"/>
              <w:szCs w:val="24"/>
            </w:rPr>
            <w:t/>
          </w:r>
        </w:p>
        <w:p w14:paraId="38F19BEC" w14:textId="1CDF68BE" w:rsidR="0014608C" w:rsidRDefault="0014608C">
          <w:r>
            <w:br w:type="page"/>
          </w:r>
        </w:p>
        <w:p w14:paraId="7CC3B6CF" w14:textId="1733E352" w:rsidR="00783260" w:rsidRPr="00783260" w:rsidRDefault="00783260" w:rsidP="00983356">
          <w:pPr>
            <w:pStyle w:val="Heading2"/>
            <w:numPr>
              <w:ilvl w:val="0"/>
              <w:numId w:val="3"/>
            </w:numPr>
            <w:spacing w:after="240"/>
            <w:rPr>
              <w:rFonts w:ascii="Arial" w:hAnsi="Arial" w:cs="Arial"/>
              <w:color w:val="009A44"/>
              <w:sz w:val="30"/>
              <w:szCs w:val="30"/>
            </w:rPr>
          </w:pPr>
          <w:bookmarkStart w:id="1" w:name="_Toc200455426"/>
          <w:r w:rsidRPr="00783260">
            <w:rPr>
              <w:rFonts w:ascii="Arial" w:hAnsi="Arial" w:cs="Arial"/>
              <w:color w:val="009A44"/>
              <w:sz w:val="30"/>
              <w:szCs w:val="30"/>
            </w:rPr>
            <w:lastRenderedPageBreak/>
            <w:t>Foreword</w:t>
          </w:r>
          <w:bookmarkEnd w:id="1"/>
          <w:r w:rsidRPr="00783260">
            <w:rPr>
              <w:rFonts w:ascii="Arial" w:hAnsi="Arial" w:cs="Arial"/>
              <w:color w:val="009A44"/>
              <w:sz w:val="30"/>
              <w:szCs w:val="30"/>
            </w:rPr>
            <w:t xml:space="preserve"> </w:t>
          </w:r>
        </w:p>
        <w:p w14:paraId="2D42C4C7" w14:textId="202D1678" w:rsidR="006E4305" w:rsidRDefault="006E4305" w:rsidP="00FE582D">
          <w:pPr>
            <w:spacing w:after="0"/>
            <w:rPr>
              <w:rFonts w:ascii="Arial" w:hAnsi="Arial" w:cs="Arial"/>
              <w:sz w:val="24"/>
              <w:szCs w:val="24"/>
            </w:rPr>
          </w:pPr>
          <w:r>
            <w:rPr>
              <w:rFonts w:ascii="Arial" w:hAnsi="Arial" w:cs="Arial"/>
              <w:sz w:val="24"/>
              <w:szCs w:val="24"/>
            </w:rPr>
            <w:t>1.1</w:t>
          </w:r>
          <w:r>
            <w:rPr>
              <w:rFonts w:ascii="Arial" w:hAnsi="Arial" w:cs="Arial"/>
              <w:sz w:val="24"/>
              <w:szCs w:val="24"/>
            </w:rPr>
            <w:tab/>
          </w:r>
        </w:p>
        <w:p w14:paraId="62B2FFD2" w14:textId="77777777" w:rsidR="006E4305" w:rsidRPr="000F1FA2" w:rsidRDefault="006E4305" w:rsidP="00FE582D">
          <w:pPr>
            <w:spacing w:after="0"/>
            <w:rPr>
              <w:rFonts w:ascii="Arial" w:hAnsi="Arial" w:cs="Arial"/>
              <w:sz w:val="24"/>
              <w:szCs w:val="24"/>
            </w:rPr>
          </w:pPr>
        </w:p>
        <w:p w14:paraId="70E8D305" w14:textId="32A30158" w:rsidR="00FE582D" w:rsidRPr="00DC7772" w:rsidRDefault="000F1FA2" w:rsidP="004A1230">
          <w:pPr>
            <w:jc w:val="both"/>
            <w:rPr>
              <w:rFonts w:ascii="Arial" w:hAnsi="Arial" w:cs="Arial"/>
              <w:color w:val="C00000"/>
              <w:sz w:val="24"/>
              <w:szCs w:val="24"/>
            </w:rPr>
          </w:pPr>
          <w:r>
            <w:rPr>
              <w:rFonts w:ascii="Arial" w:hAnsi="Arial"/>
              <w:color w:val="000000"/>
              <w:sz w:val="20"/>
              <w:szCs w:val="20"/>
            </w:rPr>
            <w:t xml:space="preserve">Local Government Reorganisation provides Stevenage Borough Council with a significant opportunity to shape services around residents, improve the way information flows across the organisation and prepare for a future authority that is resilient, efficient and easy to work with.</w:t>
          </w:r>
        </w:p>
        <w:p w14:paraId="70E8D305" w14:textId="32A30158" w:rsidR="00FE582D" w:rsidRPr="00DC7772" w:rsidRDefault="000F1FA2" w:rsidP="004A1230">
          <w:pPr>
            <w:jc w:val="both"/>
            <w:rPr>
              <w:rFonts w:ascii="Arial" w:hAnsi="Arial" w:cs="Arial"/>
              <w:color w:val="C00000"/>
              <w:sz w:val="24"/>
              <w:szCs w:val="24"/>
            </w:rPr>
          </w:pPr>
          <w:r>
            <w:rPr>
              <w:rFonts w:ascii="Arial" w:hAnsi="Arial"/>
              <w:i/>
              <w:color w:val="000000"/>
              <w:sz w:val="18"/>
              <w:szCs w:val="18"/>
            </w:rPr>
            <w:t xml:space="preserve">Thinking and justification: The foreword sets the tone for the strategy by focusing on residents, service continuity and practical readiness rather than presenting architecture as a technical exercise.</w:t>
          </w:r>
        </w:p>
        <w:p w14:paraId="3E23D4C5" w14:textId="12A0FF23" w:rsidR="00DC7772" w:rsidRDefault="00DC7772" w:rsidP="00FE582D">
          <w:pPr>
            <w:spacing w:after="0"/>
            <w:rPr>
              <w:rFonts w:ascii="Arial" w:hAnsi="Arial" w:cs="Arial"/>
              <w:sz w:val="24"/>
              <w:szCs w:val="24"/>
            </w:rPr>
          </w:pPr>
        </w:p>
        <w:p w14:paraId="45689C02" w14:textId="5935DEB4" w:rsidR="006E4305" w:rsidRDefault="006E4305" w:rsidP="00FE582D">
          <w:pPr>
            <w:spacing w:after="0"/>
            <w:rPr>
              <w:rFonts w:ascii="Arial" w:hAnsi="Arial" w:cs="Arial"/>
              <w:sz w:val="24"/>
              <w:szCs w:val="24"/>
            </w:rPr>
          </w:pPr>
        </w:p>
        <w:p w14:paraId="713EE920" w14:textId="77777777" w:rsidR="00783260" w:rsidRDefault="00783260" w:rsidP="00FE582D">
          <w:pPr>
            <w:spacing w:after="0"/>
            <w:rPr>
              <w:rFonts w:ascii="Arial" w:hAnsi="Arial" w:cs="Arial"/>
              <w:sz w:val="24"/>
              <w:szCs w:val="24"/>
            </w:rPr>
          </w:pPr>
        </w:p>
        <w:p w14:paraId="6E771B9A" w14:textId="77777777" w:rsidR="00783260" w:rsidRPr="00783260" w:rsidRDefault="00783260" w:rsidP="00983356">
          <w:pPr>
            <w:pStyle w:val="ListParagraph"/>
            <w:keepNext/>
            <w:keepLines/>
            <w:numPr>
              <w:ilvl w:val="0"/>
              <w:numId w:val="4"/>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2" w:name="_Toc200455370"/>
          <w:bookmarkStart w:id="3" w:name="_Toc200455427"/>
          <w:bookmarkEnd w:id="2"/>
          <w:bookmarkEnd w:id="3"/>
        </w:p>
      </w:sdtContent>
    </w:sdt>
    <w:p>
      <w:pPr>
        <w:pStyle w:val="Heading2"/>
        <w:spacing w:before="240" w:after="160"/>
      </w:pPr>
      <w:r>
        <w:t>Introduction</w:t>
      </w:r>
    </w:p>
    <w:p>
      <w:pPr>
        <w:spacing w:after="120" w:line="259" w:lineRule="auto"/>
      </w:pPr>
      <w:r>
        <w:rPr>
          <w:rFonts w:ascii="Arial" w:hAnsi="Arial"/>
          <w:b w:val="0"/>
          <w:i w:val="0"/>
          <w:sz w:val="20"/>
        </w:rPr>
        <w:t>2.1 This strategy sets out the Local Government Reorganisation (LGR) Enterprise Architecture operating model for Stevenage Borough Council. It explains how a four-architect team will work in a supportive, sustainable and service-led way to prepare for LGR, protect service continuity and shape the future authority.</w:t>
      </w:r>
    </w:p>
    <w:p>
      <w:pPr>
        <w:spacing w:after="160"/>
        <w:ind w:left="198"/>
      </w:pPr>
      <w:r>
        <w:rPr>
          <w:rFonts w:ascii="Arial" w:hAnsi="Arial"/>
          <w:b w:val="0"/>
          <w:i/>
          <w:sz w:val="18"/>
        </w:rPr>
        <w:t>Thinking and justification: The document deliberately starts with the operating model because the immediate need is not another technical catalogue; it is a clear way of working that protects capacity, gives services confidence and allows the architecture team to support LGR at pace.</w:t>
      </w:r>
    </w:p>
    <w:p>
      <w:pPr>
        <w:spacing w:after="120" w:line="259" w:lineRule="auto"/>
      </w:pPr>
      <w:r>
        <w:rPr>
          <w:rFonts w:ascii="Arial" w:hAnsi="Arial"/>
          <w:b w:val="0"/>
          <w:i w:val="0"/>
          <w:sz w:val="20"/>
        </w:rPr>
        <w:t>2.2 The strategy applies to all LGR-related architecture activity, including business design, customer access, data, applications, digital services, technology, cyber security, responsible AI and corporate enabling services. It should be read alongside the Council’s Enterprise Architecture and Artificial Intelligence Strategy 2026–2030.</w:t>
      </w:r>
    </w:p>
    <w:p>
      <w:pPr>
        <w:spacing w:after="160"/>
        <w:ind w:left="198"/>
      </w:pPr>
      <w:r>
        <w:rPr>
          <w:rFonts w:ascii="Arial" w:hAnsi="Arial"/>
          <w:b w:val="0"/>
          <w:i/>
          <w:sz w:val="18"/>
        </w:rPr>
        <w:t>Thinking and justification: This scope makes clear that the strategy is not limited to IT. LGR affects services, people, data, processes, governance and residents; the architecture model therefore needs to connect all of those areas.</w:t>
      </w:r>
    </w:p>
    <w:p>
      <w:pPr>
        <w:spacing w:after="120" w:line="259" w:lineRule="auto"/>
      </w:pPr>
      <w:r>
        <w:rPr>
          <w:rFonts w:ascii="Arial" w:hAnsi="Arial"/>
          <w:b w:val="0"/>
          <w:i w:val="0"/>
          <w:sz w:val="20"/>
        </w:rPr>
        <w:t>2.3 The strategy supports the Corporate Plan priorities by helping the Council design services that are accessible, efficient, financially sustainable and focused on resident outcomes. It also supports the move from isolated service design to a joined-up model that starts with Customer Services and flows logically through statutory, place-based and internal enabling services.</w:t>
      </w:r>
    </w:p>
    <w:p>
      <w:pPr>
        <w:spacing w:after="160"/>
        <w:ind w:left="198"/>
      </w:pPr>
      <w:r>
        <w:rPr>
          <w:rFonts w:ascii="Arial" w:hAnsi="Arial"/>
          <w:b w:val="0"/>
          <w:i/>
          <w:sz w:val="18"/>
        </w:rPr>
        <w:t>Thinking and justification: Starting with Customer Services reflects how residents experience the Council. Internal services such as HR, Finance, Legal and Procurement are then positioned as essential enabling capabilities rather than afterthoughts.</w:t>
      </w:r>
    </w:p>
    <w:p>
      <w:pPr>
        <w:pStyle w:val="Heading2"/>
        <w:spacing w:before="240" w:after="160"/>
      </w:pPr>
      <w:r>
        <w:t>Legal Background</w:t>
      </w:r>
    </w:p>
    <w:p>
      <w:pPr>
        <w:spacing w:after="120" w:line="259" w:lineRule="auto"/>
      </w:pPr>
      <w:r>
        <w:rPr>
          <w:rFonts w:ascii="Arial" w:hAnsi="Arial"/>
          <w:b w:val="0"/>
          <w:i w:val="0"/>
          <w:sz w:val="20"/>
        </w:rPr>
        <w:t>3.1 This strategy supports compliance with the legislation, standards and guidance that apply to local government transformation, public-sector technology and LGR transition activity.</w:t>
      </w:r>
    </w:p>
    <w:p>
      <w:pPr>
        <w:pStyle w:val="ListParagraph"/>
        <w:spacing w:after="60"/>
        <w:ind w:left="425" w:hanging="142"/>
      </w:pPr>
      <w:r>
        <w:rPr>
          <w:rFonts w:ascii="Arial" w:hAnsi="Arial"/>
          <w:b w:val="0"/>
          <w:i w:val="0"/>
          <w:sz w:val="20"/>
        </w:rPr>
        <w:t>Local Government Act 1972.</w:t>
      </w:r>
    </w:p>
    <w:p>
      <w:pPr>
        <w:pStyle w:val="ListParagraph"/>
        <w:spacing w:after="60"/>
        <w:ind w:left="425" w:hanging="142"/>
      </w:pPr>
      <w:r>
        <w:rPr>
          <w:rFonts w:ascii="Arial" w:hAnsi="Arial"/>
          <w:b w:val="0"/>
          <w:i w:val="0"/>
          <w:sz w:val="20"/>
        </w:rPr>
        <w:t>Local Government and Public Involvement in Health Act 2007.</w:t>
      </w:r>
    </w:p>
    <w:p>
      <w:pPr>
        <w:pStyle w:val="ListParagraph"/>
        <w:spacing w:after="60"/>
        <w:ind w:left="425" w:hanging="142"/>
      </w:pPr>
      <w:r>
        <w:rPr>
          <w:rFonts w:ascii="Arial" w:hAnsi="Arial"/>
          <w:b w:val="0"/>
          <w:i w:val="0"/>
          <w:sz w:val="20"/>
        </w:rPr>
        <w:t>Data Protection Act 2018 and UK GDPR.</w:t>
      </w:r>
    </w:p>
    <w:p>
      <w:pPr>
        <w:pStyle w:val="ListParagraph"/>
        <w:spacing w:after="60"/>
        <w:ind w:left="425" w:hanging="142"/>
      </w:pPr>
      <w:r>
        <w:rPr>
          <w:rFonts w:ascii="Arial" w:hAnsi="Arial"/>
          <w:b w:val="0"/>
          <w:i w:val="0"/>
          <w:sz w:val="20"/>
        </w:rPr>
        <w:t>Freedom of Information Act 2000.</w:t>
      </w:r>
    </w:p>
    <w:p>
      <w:pPr>
        <w:pStyle w:val="ListParagraph"/>
        <w:spacing w:after="60"/>
        <w:ind w:left="425" w:hanging="142"/>
      </w:pPr>
      <w:r>
        <w:rPr>
          <w:rFonts w:ascii="Arial" w:hAnsi="Arial"/>
          <w:b w:val="0"/>
          <w:i w:val="0"/>
          <w:sz w:val="20"/>
        </w:rPr>
        <w:t>Equality Act 2010 and the Public Sector Equality Duty.</w:t>
      </w:r>
    </w:p>
    <w:p>
      <w:pPr>
        <w:pStyle w:val="ListParagraph"/>
        <w:spacing w:after="60"/>
        <w:ind w:left="425" w:hanging="142"/>
      </w:pPr>
      <w:r>
        <w:rPr>
          <w:rFonts w:ascii="Arial" w:hAnsi="Arial"/>
          <w:b w:val="0"/>
          <w:i w:val="0"/>
          <w:sz w:val="20"/>
        </w:rPr>
        <w:t>Public Sector Bodies (Websites and Mobile Applications) Accessibility Regulations 2018.</w:t>
      </w:r>
    </w:p>
    <w:p>
      <w:pPr>
        <w:pStyle w:val="ListParagraph"/>
        <w:spacing w:after="60"/>
        <w:ind w:left="425" w:hanging="142"/>
      </w:pPr>
      <w:r>
        <w:rPr>
          <w:rFonts w:ascii="Arial" w:hAnsi="Arial"/>
          <w:b w:val="0"/>
          <w:i w:val="0"/>
          <w:sz w:val="20"/>
        </w:rPr>
        <w:t>Procurement Act 2023.</w:t>
      </w:r>
    </w:p>
    <w:p>
      <w:pPr>
        <w:pStyle w:val="ListParagraph"/>
        <w:spacing w:after="60"/>
        <w:ind w:left="425" w:hanging="142"/>
      </w:pPr>
      <w:r>
        <w:rPr>
          <w:rFonts w:ascii="Arial" w:hAnsi="Arial"/>
          <w:b w:val="0"/>
          <w:i w:val="0"/>
          <w:sz w:val="20"/>
        </w:rPr>
        <w:t>NCSC cyber security guidance.</w:t>
      </w:r>
    </w:p>
    <w:p>
      <w:pPr>
        <w:pStyle w:val="ListParagraph"/>
        <w:spacing w:after="60"/>
        <w:ind w:left="425" w:hanging="142"/>
      </w:pPr>
      <w:r>
        <w:rPr>
          <w:rFonts w:ascii="Arial" w:hAnsi="Arial"/>
          <w:b w:val="0"/>
          <w:i w:val="0"/>
          <w:sz w:val="20"/>
        </w:rPr>
        <w:t>GDS Service Standard and Technology Code of Practice.</w:t>
      </w:r>
    </w:p>
    <w:p>
      <w:pPr>
        <w:pStyle w:val="ListParagraph"/>
        <w:spacing w:after="60"/>
        <w:ind w:left="425" w:hanging="142"/>
      </w:pPr>
      <w:r>
        <w:rPr>
          <w:rFonts w:ascii="Arial" w:hAnsi="Arial"/>
          <w:b w:val="0"/>
          <w:i w:val="0"/>
          <w:sz w:val="20"/>
        </w:rPr>
        <w:t>MHCLG Local Government Reorganisation policy, programme and implementation guidance.</w:t>
      </w:r>
    </w:p>
    <w:p>
      <w:pPr>
        <w:spacing w:after="160"/>
        <w:ind w:left="198"/>
      </w:pPr>
      <w:r>
        <w:rPr>
          <w:rFonts w:ascii="Arial" w:hAnsi="Arial"/>
          <w:b w:val="0"/>
          <w:i/>
          <w:sz w:val="18"/>
        </w:rPr>
        <w:t>Thinking and justification: The legal background is intentionally broad because architecture decisions during LGR can affect statutory service continuity, equal access, data protection, procurement, cyber security and public accountability.</w:t>
      </w:r>
    </w:p>
    <w:p>
      <w:pPr>
        <w:spacing w:after="120" w:line="259" w:lineRule="auto"/>
      </w:pPr>
      <w:r>
        <w:rPr>
          <w:rFonts w:ascii="Arial" w:hAnsi="Arial"/>
          <w:b w:val="0"/>
          <w:i w:val="0"/>
          <w:sz w:val="20"/>
        </w:rPr>
        <w:t>3.2 The Head of Enterprise Architecture will ensure that relevant legislation and standards are reflected in architecture principles, design assurance, procurement requirements and transition roadmaps.</w:t>
      </w:r>
    </w:p>
    <w:p>
      <w:pPr>
        <w:spacing w:after="160"/>
        <w:ind w:left="198"/>
      </w:pPr>
      <w:r>
        <w:rPr>
          <w:rFonts w:ascii="Arial" w:hAnsi="Arial"/>
          <w:b w:val="0"/>
          <w:i/>
          <w:sz w:val="18"/>
        </w:rPr>
        <w:t>Thinking and justification: This makes compliance part of routine design activity rather than a separate check at the end of a project, reducing rework and implementation risk.</w:t>
      </w:r>
    </w:p>
    <w:p>
      <w:pPr>
        <w:pStyle w:val="Heading2"/>
        <w:spacing w:before="240" w:after="160"/>
      </w:pPr>
      <w:r>
        <w:t>Equalities</w:t>
      </w:r>
    </w:p>
    <w:p>
      <w:pPr>
        <w:spacing w:after="120" w:line="259" w:lineRule="auto"/>
      </w:pPr>
      <w:r>
        <w:rPr>
          <w:rFonts w:ascii="Arial" w:hAnsi="Arial"/>
          <w:b w:val="0"/>
          <w:i w:val="0"/>
          <w:sz w:val="20"/>
        </w:rPr>
        <w:t>4.1 Under the Equality Act (2010) the Council has a legal duty to fulfil the requirements of the Public Sector Equality Duty (PSED). Through this duty and in the application of this strategy, the council will carry out its functions in a way that:</w:t>
      </w:r>
    </w:p>
    <w:p>
      <w:pPr>
        <w:pStyle w:val="ListParagraph"/>
        <w:spacing w:after="60"/>
        <w:ind w:left="425" w:hanging="142"/>
      </w:pPr>
      <w:r>
        <w:rPr>
          <w:rFonts w:ascii="Arial" w:hAnsi="Arial"/>
          <w:b w:val="0"/>
          <w:i w:val="0"/>
          <w:sz w:val="20"/>
        </w:rPr>
        <w:t>Removes discrimination, harassment, victimisation and any other conduct that is unlawful under the Equality Act (2010).</w:t>
      </w:r>
    </w:p>
    <w:p>
      <w:pPr>
        <w:pStyle w:val="ListParagraph"/>
        <w:spacing w:after="60"/>
        <w:ind w:left="425" w:hanging="142"/>
      </w:pPr>
      <w:r>
        <w:rPr>
          <w:rFonts w:ascii="Arial" w:hAnsi="Arial"/>
          <w:b w:val="0"/>
          <w:i w:val="0"/>
          <w:sz w:val="20"/>
        </w:rPr>
        <w:t>Promotes equal opportunities between people who have a protected characteristic(s) and those who don’t.</w:t>
      </w:r>
    </w:p>
    <w:p>
      <w:pPr>
        <w:pStyle w:val="ListParagraph"/>
        <w:spacing w:after="60"/>
        <w:ind w:left="425" w:hanging="142"/>
      </w:pPr>
      <w:r>
        <w:rPr>
          <w:rFonts w:ascii="Arial" w:hAnsi="Arial"/>
          <w:b w:val="0"/>
          <w:i w:val="0"/>
          <w:sz w:val="20"/>
        </w:rPr>
        <w:t>Encourages good relations between people who have a protected characteristic(s) and those who don’t.</w:t>
      </w:r>
    </w:p>
    <w:p>
      <w:pPr>
        <w:spacing w:after="120" w:line="259" w:lineRule="auto"/>
      </w:pPr>
      <w:r>
        <w:rPr>
          <w:rFonts w:ascii="Arial" w:hAnsi="Arial"/>
          <w:b w:val="0"/>
          <w:i w:val="0"/>
          <w:sz w:val="20"/>
        </w:rPr>
        <w:t>Further information on the Council’s fulfilment of the Equality Act (2010) is set out in the Equality, Diversity and Inclusion (EDI) Policy (2022) and Reasonable Adjustment Policy (2024).</w:t>
      </w:r>
    </w:p>
    <w:p>
      <w:pPr>
        <w:spacing w:after="160"/>
        <w:ind w:left="198"/>
      </w:pPr>
      <w:r>
        <w:rPr>
          <w:rFonts w:ascii="Arial" w:hAnsi="Arial"/>
          <w:b w:val="0"/>
          <w:i/>
          <w:sz w:val="18"/>
        </w:rPr>
        <w:t>Thinking and justification: Keeping the standard wording protects consistency with the SBC corporate template. The architecture implication is that service redesign, digital access and AI-enabled change must be assessed for impact before implementation.</w:t>
      </w:r>
    </w:p>
    <w:p>
      <w:pPr>
        <w:pStyle w:val="Heading2"/>
        <w:spacing w:before="240" w:after="160"/>
      </w:pPr>
      <w:r>
        <w:t>Data Protection</w:t>
      </w:r>
    </w:p>
    <w:p>
      <w:pPr>
        <w:spacing w:after="120" w:line="259" w:lineRule="auto"/>
      </w:pPr>
      <w:r>
        <w:rPr>
          <w:rFonts w:ascii="Arial" w:hAnsi="Arial"/>
          <w:b w:val="0"/>
          <w:i w:val="0"/>
          <w:sz w:val="20"/>
        </w:rPr>
        <w:t>5.1 The Council regards respect for the privacy of individuals and the lawful and careful treatment of personal information as very important to delivery of services.</w:t>
      </w:r>
    </w:p>
    <w:p>
      <w:pPr>
        <w:spacing w:after="120" w:line="259" w:lineRule="auto"/>
      </w:pPr>
      <w:r>
        <w:rPr>
          <w:rFonts w:ascii="Arial" w:hAnsi="Arial"/>
          <w:b w:val="0"/>
          <w:i w:val="0"/>
          <w:sz w:val="20"/>
        </w:rPr>
        <w:t>5.2 The Council will ensure that it treats personal information lawfully and proportionately as set out in the General Data Protection Regulation (GDPR) and Data Protection Act (2018). For further information on the Council’s approach to handling information please see Data Protection Act guidance on stevenage.gov.uk.</w:t>
      </w:r>
    </w:p>
    <w:p>
      <w:pPr>
        <w:spacing w:after="160"/>
        <w:ind w:left="198"/>
      </w:pPr>
      <w:r>
        <w:rPr>
          <w:rFonts w:ascii="Arial" w:hAnsi="Arial"/>
          <w:b w:val="0"/>
          <w:i/>
          <w:sz w:val="18"/>
        </w:rPr>
        <w:t>Thinking and justification: The data protection section is retained in line with the template. For LGR, the practical importance is high because migration, consolidation and service integration will involve resident, property, case, workforce and financial data.</w:t>
      </w:r>
    </w:p>
    <w:p>
      <w:pPr>
        <w:pStyle w:val="Heading2"/>
        <w:spacing w:before="240" w:after="160"/>
      </w:pPr>
      <w:r>
        <w:t>Consultation and Coproduction</w:t>
      </w:r>
    </w:p>
    <w:p>
      <w:pPr>
        <w:spacing w:after="120" w:line="259" w:lineRule="auto"/>
      </w:pPr>
      <w:r>
        <w:rPr>
          <w:rFonts w:ascii="Arial" w:hAnsi="Arial"/>
          <w:b w:val="0"/>
          <w:i w:val="0"/>
          <w:sz w:val="20"/>
        </w:rPr>
        <w:t>6.1 This strategy has been informed by engagement with the Enterprise Architecture function, Transformation and Digital, service leadership, Information Governance, cyber security, programme governance and emerging LGR planning activity.</w:t>
      </w:r>
    </w:p>
    <w:p>
      <w:pPr>
        <w:spacing w:after="160"/>
        <w:ind w:left="198"/>
      </w:pPr>
      <w:r>
        <w:rPr>
          <w:rFonts w:ascii="Arial" w:hAnsi="Arial"/>
          <w:b w:val="0"/>
          <w:i/>
          <w:sz w:val="18"/>
        </w:rPr>
        <w:t>Thinking and justification: The consultation base reflects the current stage of the strategy. As LGR decisions mature, wider engagement with services, staff, residents, members and partner authorities should be added to strengthen the evidence base.</w:t>
      </w:r>
    </w:p>
    <w:p>
      <w:pPr>
        <w:spacing w:after="120" w:line="259" w:lineRule="auto"/>
      </w:pPr>
      <w:r>
        <w:rPr>
          <w:rFonts w:ascii="Arial" w:hAnsi="Arial"/>
          <w:b w:val="0"/>
          <w:i w:val="0"/>
          <w:sz w:val="20"/>
        </w:rPr>
        <w:t>6.2 The engagement has identified four key requirements:</w:t>
      </w:r>
    </w:p>
    <w:p>
      <w:pPr>
        <w:pStyle w:val="ListParagraph"/>
        <w:spacing w:after="60"/>
        <w:ind w:left="425" w:hanging="142"/>
      </w:pPr>
      <w:r>
        <w:rPr>
          <w:rFonts w:ascii="Arial" w:hAnsi="Arial"/>
          <w:b w:val="0"/>
          <w:i w:val="0"/>
          <w:sz w:val="20"/>
        </w:rPr>
        <w:t>The architecture model must be supportive and manageable for a team of four architects.</w:t>
      </w:r>
    </w:p>
    <w:p>
      <w:pPr>
        <w:pStyle w:val="ListParagraph"/>
        <w:spacing w:after="60"/>
        <w:ind w:left="425" w:hanging="142"/>
      </w:pPr>
      <w:r>
        <w:rPr>
          <w:rFonts w:ascii="Arial" w:hAnsi="Arial"/>
          <w:b w:val="0"/>
          <w:i w:val="0"/>
          <w:sz w:val="20"/>
        </w:rPr>
        <w:t>Services must be fitted together in a logical order, beginning with Customer Services and resident access.</w:t>
      </w:r>
    </w:p>
    <w:p>
      <w:pPr>
        <w:pStyle w:val="ListParagraph"/>
        <w:spacing w:after="60"/>
        <w:ind w:left="425" w:hanging="142"/>
      </w:pPr>
      <w:r>
        <w:rPr>
          <w:rFonts w:ascii="Arial" w:hAnsi="Arial"/>
          <w:b w:val="0"/>
          <w:i w:val="0"/>
          <w:sz w:val="20"/>
        </w:rPr>
        <w:t>Internal services such as HR, Finance, Legal, Procurement and Democratic Services must be treated as core enabling capabilities for vesting day readiness.</w:t>
      </w:r>
    </w:p>
    <w:p>
      <w:pPr>
        <w:pStyle w:val="ListParagraph"/>
        <w:spacing w:after="60"/>
        <w:ind w:left="425" w:hanging="142"/>
      </w:pPr>
      <w:r>
        <w:rPr>
          <w:rFonts w:ascii="Arial" w:hAnsi="Arial"/>
          <w:b w:val="0"/>
          <w:i w:val="0"/>
          <w:sz w:val="20"/>
        </w:rPr>
        <w:t>Architecture governance must help delivery teams make better decisions, not create unnecessary delay.</w:t>
      </w:r>
    </w:p>
    <w:p>
      <w:pPr>
        <w:spacing w:after="160"/>
        <w:ind w:left="198"/>
      </w:pPr>
      <w:r>
        <w:rPr>
          <w:rFonts w:ascii="Arial" w:hAnsi="Arial"/>
          <w:b w:val="0"/>
          <w:i/>
          <w:sz w:val="18"/>
        </w:rPr>
        <w:t>Thinking and justification: These findings directly shape the operating model. They prevent the strategy from becoming a theoretical TOGAF document and keep it focused on how people will work together during LGR.</w:t>
      </w:r>
    </w:p>
    <w:p>
      <w:pPr>
        <w:spacing w:after="120" w:line="259" w:lineRule="auto"/>
      </w:pPr>
      <w:r>
        <w:rPr>
          <w:rFonts w:ascii="Arial" w:hAnsi="Arial"/>
          <w:b w:val="0"/>
          <w:i w:val="0"/>
          <w:sz w:val="20"/>
        </w:rPr>
        <w:t>6.3 Ongoing engagement will take place through service-cluster workshops, Architecture Design Authority sessions, programme board reporting and targeted reviews with corporate services.</w:t>
      </w:r>
    </w:p>
    <w:p>
      <w:pPr>
        <w:spacing w:after="160"/>
        <w:ind w:left="198"/>
      </w:pPr>
      <w:r>
        <w:rPr>
          <w:rFonts w:ascii="Arial" w:hAnsi="Arial"/>
          <w:b w:val="0"/>
          <w:i/>
          <w:sz w:val="18"/>
        </w:rPr>
        <w:t>Thinking and justification: Service-cluster workshops will make architecture visible and useful to services. This helps avoid the perception that architecture is only about systems or technical assurance.</w:t>
      </w:r>
    </w:p>
    <w:p>
      <w:pPr>
        <w:pStyle w:val="Heading2"/>
        <w:spacing w:before="240" w:after="160"/>
      </w:pPr>
      <w:r>
        <w:t>Data Insight</w:t>
      </w:r>
    </w:p>
    <w:p>
      <w:pPr>
        <w:spacing w:after="120" w:line="259" w:lineRule="auto"/>
      </w:pPr>
      <w:r>
        <w:rPr>
          <w:rFonts w:ascii="Arial" w:hAnsi="Arial"/>
          <w:b w:val="0"/>
          <w:i w:val="0"/>
          <w:sz w:val="20"/>
        </w:rPr>
        <w:t>7.1 LGR creates a significant data challenge because existing councils and partner services may hold overlapping, inconsistent or duplicated records for residents, properties, assets, cases, staff, suppliers and finances.</w:t>
      </w:r>
    </w:p>
    <w:p>
      <w:pPr>
        <w:spacing w:after="160"/>
        <w:ind w:left="198"/>
      </w:pPr>
      <w:r>
        <w:rPr>
          <w:rFonts w:ascii="Arial" w:hAnsi="Arial"/>
          <w:b w:val="0"/>
          <w:i/>
          <w:sz w:val="18"/>
        </w:rPr>
        <w:t>Thinking and justification: A clear statement of the data challenge helps senior leaders understand why architecture must begin early. If data discovery waits until system migration, the programme will inherit avoidable risk.</w:t>
      </w:r>
    </w:p>
    <w:p>
      <w:pPr>
        <w:spacing w:after="120" w:line="259" w:lineRule="auto"/>
      </w:pPr>
      <w:r>
        <w:rPr>
          <w:rFonts w:ascii="Arial" w:hAnsi="Arial"/>
          <w:b w:val="0"/>
          <w:i w:val="0"/>
          <w:sz w:val="20"/>
        </w:rPr>
        <w:t>7.2 The architecture model will use master data domains to support joined-up service design. These domains will include Resident, Property, Organisation, Case, Asset, Employee and Finance.</w:t>
      </w:r>
    </w:p>
    <w:p>
      <w:pPr>
        <w:spacing w:after="160"/>
        <w:ind w:left="198"/>
      </w:pPr>
      <w:r>
        <w:rPr>
          <w:rFonts w:ascii="Arial" w:hAnsi="Arial"/>
          <w:b w:val="0"/>
          <w:i/>
          <w:sz w:val="18"/>
        </w:rPr>
        <w:t>Thinking and justification: These domains link the resident-facing front door to internal services. For example, a resident service request may depend on property data, case data, officer assignment, supplier activity and financial processing.</w:t>
      </w:r>
    </w:p>
    <w:tbl>
      <w:tblPr>
        <w:tblStyle w:val="TableGrid"/>
        <w:tblW w:type="auto" w:w="0"/>
        <w:jc w:val="center"/>
        <w:tblLook w:firstColumn="1" w:firstRow="1" w:lastColumn="0" w:lastRow="0" w:noHBand="0" w:noVBand="1" w:val="04A0"/>
      </w:tblPr>
      <w:tblGrid>
        <w:gridCol w:w="4513"/>
        <w:gridCol w:w="4513"/>
      </w:tblGrid>
      <w:tr>
        <w:tc>
          <w:tcPr>
            <w:tcW w:type="dxa" w:w="2268"/>
            <w:vAlign w:val="center"/>
            <w:shd w:fill="E2F0D9"/>
          </w:tcPr>
          <w:p>
            <w:r/>
            <w:r>
              <w:rPr>
                <w:rFonts w:ascii="Arial" w:hAnsi="Arial"/>
                <w:b/>
                <w:i w:val="0"/>
                <w:sz w:val="18"/>
              </w:rPr>
              <w:t>Master Data Domain</w:t>
            </w:r>
          </w:p>
        </w:tc>
        <w:tc>
          <w:tcPr>
            <w:tcW w:type="dxa" w:w="6520"/>
            <w:vAlign w:val="center"/>
            <w:shd w:fill="E2F0D9"/>
          </w:tcPr>
          <w:p>
            <w:r/>
            <w:r>
              <w:rPr>
                <w:rFonts w:ascii="Arial" w:hAnsi="Arial"/>
                <w:b/>
                <w:i w:val="0"/>
                <w:sz w:val="18"/>
              </w:rPr>
              <w:t>Primary Use</w:t>
            </w:r>
          </w:p>
        </w:tc>
      </w:tr>
      <w:tr>
        <w:tc>
          <w:tcPr>
            <w:tcW w:type="dxa" w:w="2268"/>
            <w:vAlign w:val="top"/>
          </w:tcPr>
          <w:p>
            <w:r/>
            <w:r>
              <w:rPr>
                <w:rFonts w:ascii="Arial" w:hAnsi="Arial"/>
                <w:b w:val="0"/>
                <w:i w:val="0"/>
                <w:sz w:val="17"/>
              </w:rPr>
              <w:t>Resident / Customer</w:t>
            </w:r>
          </w:p>
        </w:tc>
        <w:tc>
          <w:tcPr>
            <w:tcW w:type="dxa" w:w="6520"/>
            <w:vAlign w:val="top"/>
          </w:tcPr>
          <w:p>
            <w:r/>
            <w:r>
              <w:rPr>
                <w:rFonts w:ascii="Arial" w:hAnsi="Arial"/>
                <w:b w:val="0"/>
                <w:i w:val="0"/>
                <w:sz w:val="17"/>
              </w:rPr>
              <w:t>Customer Services, complaints, housing, benefits, community services and resident insight.</w:t>
            </w:r>
          </w:p>
        </w:tc>
      </w:tr>
      <w:tr>
        <w:tc>
          <w:tcPr>
            <w:tcW w:type="dxa" w:w="2268"/>
            <w:vAlign w:val="top"/>
          </w:tcPr>
          <w:p>
            <w:r/>
            <w:r>
              <w:rPr>
                <w:rFonts w:ascii="Arial" w:hAnsi="Arial"/>
                <w:b w:val="0"/>
                <w:i w:val="0"/>
                <w:sz w:val="17"/>
              </w:rPr>
              <w:t>Property / Address</w:t>
            </w:r>
          </w:p>
        </w:tc>
        <w:tc>
          <w:tcPr>
            <w:tcW w:type="dxa" w:w="6520"/>
            <w:vAlign w:val="top"/>
          </w:tcPr>
          <w:p>
            <w:r/>
            <w:r>
              <w:rPr>
                <w:rFonts w:ascii="Arial" w:hAnsi="Arial"/>
                <w:b w:val="0"/>
                <w:i w:val="0"/>
                <w:sz w:val="17"/>
              </w:rPr>
              <w:t>Planning, housing, waste, environmental health, council tax and place-based services.</w:t>
            </w:r>
          </w:p>
        </w:tc>
      </w:tr>
      <w:tr>
        <w:tc>
          <w:tcPr>
            <w:tcW w:type="dxa" w:w="2268"/>
            <w:vAlign w:val="top"/>
          </w:tcPr>
          <w:p>
            <w:r/>
            <w:r>
              <w:rPr>
                <w:rFonts w:ascii="Arial" w:hAnsi="Arial"/>
                <w:b w:val="0"/>
                <w:i w:val="0"/>
                <w:sz w:val="17"/>
              </w:rPr>
              <w:t>Organisation / Business</w:t>
            </w:r>
          </w:p>
        </w:tc>
        <w:tc>
          <w:tcPr>
            <w:tcW w:type="dxa" w:w="6520"/>
            <w:vAlign w:val="top"/>
          </w:tcPr>
          <w:p>
            <w:r/>
            <w:r>
              <w:rPr>
                <w:rFonts w:ascii="Arial" w:hAnsi="Arial"/>
                <w:b w:val="0"/>
                <w:i w:val="0"/>
                <w:sz w:val="17"/>
              </w:rPr>
              <w:t>Licensing, business rates, procurement, economic development and supplier management.</w:t>
            </w:r>
          </w:p>
        </w:tc>
      </w:tr>
      <w:tr>
        <w:tc>
          <w:tcPr>
            <w:tcW w:type="dxa" w:w="2268"/>
            <w:vAlign w:val="top"/>
          </w:tcPr>
          <w:p>
            <w:r/>
            <w:r>
              <w:rPr>
                <w:rFonts w:ascii="Arial" w:hAnsi="Arial"/>
                <w:b w:val="0"/>
                <w:i w:val="0"/>
                <w:sz w:val="17"/>
              </w:rPr>
              <w:t>Case / Request</w:t>
            </w:r>
          </w:p>
        </w:tc>
        <w:tc>
          <w:tcPr>
            <w:tcW w:type="dxa" w:w="6520"/>
            <w:vAlign w:val="top"/>
          </w:tcPr>
          <w:p>
            <w:r/>
            <w:r>
              <w:rPr>
                <w:rFonts w:ascii="Arial" w:hAnsi="Arial"/>
                <w:b w:val="0"/>
                <w:i w:val="0"/>
                <w:sz w:val="17"/>
              </w:rPr>
              <w:t>CRM, service requests, complaints, FOI, planning cases, housing cases and enforcement.</w:t>
            </w:r>
          </w:p>
        </w:tc>
      </w:tr>
      <w:tr>
        <w:tc>
          <w:tcPr>
            <w:tcW w:type="dxa" w:w="2268"/>
            <w:vAlign w:val="top"/>
          </w:tcPr>
          <w:p>
            <w:r/>
            <w:r>
              <w:rPr>
                <w:rFonts w:ascii="Arial" w:hAnsi="Arial"/>
                <w:b w:val="0"/>
                <w:i w:val="0"/>
                <w:sz w:val="17"/>
              </w:rPr>
              <w:t>Asset</w:t>
            </w:r>
          </w:p>
        </w:tc>
        <w:tc>
          <w:tcPr>
            <w:tcW w:type="dxa" w:w="6520"/>
            <w:vAlign w:val="top"/>
          </w:tcPr>
          <w:p>
            <w:r/>
            <w:r>
              <w:rPr>
                <w:rFonts w:ascii="Arial" w:hAnsi="Arial"/>
                <w:b w:val="0"/>
                <w:i w:val="0"/>
                <w:sz w:val="17"/>
              </w:rPr>
              <w:t>Housing assets, land, property, fleet, infrastructure and facilities.</w:t>
            </w:r>
          </w:p>
        </w:tc>
      </w:tr>
      <w:tr>
        <w:tc>
          <w:tcPr>
            <w:tcW w:type="dxa" w:w="2268"/>
            <w:vAlign w:val="top"/>
          </w:tcPr>
          <w:p>
            <w:r/>
            <w:r>
              <w:rPr>
                <w:rFonts w:ascii="Arial" w:hAnsi="Arial"/>
                <w:b w:val="0"/>
                <w:i w:val="0"/>
                <w:sz w:val="17"/>
              </w:rPr>
              <w:t>Employee</w:t>
            </w:r>
          </w:p>
        </w:tc>
        <w:tc>
          <w:tcPr>
            <w:tcW w:type="dxa" w:w="6520"/>
            <w:vAlign w:val="top"/>
          </w:tcPr>
          <w:p>
            <w:r/>
            <w:r>
              <w:rPr>
                <w:rFonts w:ascii="Arial" w:hAnsi="Arial"/>
                <w:b w:val="0"/>
                <w:i w:val="0"/>
                <w:sz w:val="17"/>
              </w:rPr>
              <w:t>HR, payroll, identity, learning, workforce planning and access management.</w:t>
            </w:r>
          </w:p>
        </w:tc>
      </w:tr>
      <w:tr>
        <w:tc>
          <w:tcPr>
            <w:tcW w:type="dxa" w:w="2268"/>
            <w:vAlign w:val="top"/>
          </w:tcPr>
          <w:p>
            <w:r/>
            <w:r>
              <w:rPr>
                <w:rFonts w:ascii="Arial" w:hAnsi="Arial"/>
                <w:b w:val="0"/>
                <w:i w:val="0"/>
                <w:sz w:val="17"/>
              </w:rPr>
              <w:t>Finance</w:t>
            </w:r>
          </w:p>
        </w:tc>
        <w:tc>
          <w:tcPr>
            <w:tcW w:type="dxa" w:w="6520"/>
            <w:vAlign w:val="top"/>
          </w:tcPr>
          <w:p>
            <w:r/>
            <w:r>
              <w:rPr>
                <w:rFonts w:ascii="Arial" w:hAnsi="Arial"/>
                <w:b w:val="0"/>
                <w:i w:val="0"/>
                <w:sz w:val="17"/>
              </w:rPr>
              <w:t>ERP, payments, income, budget monitoring, procurement and financial reporting.</w:t>
            </w:r>
          </w:p>
        </w:tc>
      </w:tr>
    </w:tbl>
    <w:p/>
    <w:p>
      <w:pPr>
        <w:pStyle w:val="Heading2"/>
        <w:spacing w:before="240" w:after="160"/>
      </w:pPr>
      <w:r>
        <w:t>Key Objectives</w:t>
      </w:r>
    </w:p>
    <w:p>
      <w:pPr>
        <w:spacing w:after="120" w:line="259" w:lineRule="auto"/>
      </w:pPr>
      <w:r>
        <w:rPr>
          <w:rFonts w:ascii="Arial" w:hAnsi="Arial"/>
          <w:b w:val="0"/>
          <w:i w:val="0"/>
          <w:sz w:val="20"/>
        </w:rPr>
        <w:t>8.1 The key objectives set out how the Enterprise Architecture team will support LGR while protecting capacity, creating a collaborative working environment and ensuring services are ordered coherently from resident access through to corporate enabling services.</w:t>
      </w:r>
    </w:p>
    <w:p>
      <w:pPr>
        <w:spacing w:after="160"/>
        <w:ind w:left="198"/>
      </w:pPr>
      <w:r>
        <w:rPr>
          <w:rFonts w:ascii="Arial" w:hAnsi="Arial"/>
          <w:b w:val="0"/>
          <w:i/>
          <w:sz w:val="18"/>
        </w:rPr>
        <w:t>Thinking and justification: The objectives are written as practical delivery commitments. Each one can be translated into work packages, architecture products and governance checkpoints.</w:t>
      </w:r>
    </w:p>
    <w:p>
      <w:pPr>
        <w:spacing w:before="120" w:after="80"/>
      </w:pPr>
      <w:r>
        <w:rPr>
          <w:rFonts w:ascii="Arial" w:hAnsi="Arial"/>
          <w:b/>
          <w:i w:val="0"/>
          <w:sz w:val="20"/>
        </w:rPr>
        <w:t>Objective 1 – Establish a supportive four-architect operating model</w:t>
      </w:r>
    </w:p>
    <w:p>
      <w:pPr>
        <w:spacing w:after="120" w:line="259" w:lineRule="auto"/>
      </w:pPr>
      <w:r>
        <w:rPr>
          <w:rFonts w:ascii="Arial" w:hAnsi="Arial"/>
          <w:b w:val="0"/>
          <w:i w:val="0"/>
          <w:sz w:val="20"/>
        </w:rPr>
        <w:t>The Council will establish four core architecture roles: Business Architecture, Data Architecture, Application &amp; Digital Architecture, and Technology &amp; Security Architecture. Each architect will lead their professional domain while working as part of a shared team, rather than operating as a separate silo.</w:t>
      </w:r>
    </w:p>
    <w:p>
      <w:pPr>
        <w:spacing w:after="160"/>
        <w:ind w:left="198"/>
      </w:pPr>
      <w:r>
        <w:rPr>
          <w:rFonts w:ascii="Arial" w:hAnsi="Arial"/>
          <w:b w:val="0"/>
          <w:i/>
          <w:sz w:val="18"/>
        </w:rPr>
        <w:t>Thinking and justification: This protects individual architects from becoming overloaded. Domain leadership gives clarity, while shared delivery ensures each major LGR decision benefits from business, data, application and technology input.</w:t>
      </w:r>
    </w:p>
    <w:tbl>
      <w:tblPr>
        <w:tblStyle w:val="TableGrid"/>
        <w:tblW w:type="auto" w:w="0"/>
        <w:jc w:val="center"/>
        <w:tblLook w:firstColumn="1" w:firstRow="1" w:lastColumn="0" w:lastRow="0" w:noHBand="0" w:noVBand="1" w:val="04A0"/>
      </w:tblPr>
      <w:tblGrid>
        <w:gridCol w:w="4513"/>
        <w:gridCol w:w="4513"/>
      </w:tblGrid>
      <w:tr>
        <w:tc>
          <w:tcPr>
            <w:tcW w:type="dxa" w:w="2551"/>
            <w:vAlign w:val="center"/>
            <w:shd w:fill="E2F0D9"/>
          </w:tcPr>
          <w:p>
            <w:r/>
            <w:r>
              <w:rPr>
                <w:rFonts w:ascii="Arial" w:hAnsi="Arial"/>
                <w:b/>
                <w:i w:val="0"/>
                <w:sz w:val="18"/>
              </w:rPr>
              <w:t>Role</w:t>
            </w:r>
          </w:p>
        </w:tc>
        <w:tc>
          <w:tcPr>
            <w:tcW w:type="dxa" w:w="6236"/>
            <w:vAlign w:val="center"/>
            <w:shd w:fill="E2F0D9"/>
          </w:tcPr>
          <w:p>
            <w:r/>
            <w:r>
              <w:rPr>
                <w:rFonts w:ascii="Arial" w:hAnsi="Arial"/>
                <w:b/>
                <w:i w:val="0"/>
                <w:sz w:val="18"/>
              </w:rPr>
              <w:t>Primary Accountability</w:t>
            </w:r>
          </w:p>
        </w:tc>
      </w:tr>
      <w:tr>
        <w:tc>
          <w:tcPr>
            <w:tcW w:type="dxa" w:w="2551"/>
            <w:vAlign w:val="top"/>
          </w:tcPr>
          <w:p>
            <w:r/>
            <w:r>
              <w:rPr>
                <w:rFonts w:ascii="Arial" w:hAnsi="Arial"/>
                <w:b w:val="0"/>
                <w:i w:val="0"/>
                <w:sz w:val="17"/>
              </w:rPr>
              <w:t>Business Architect</w:t>
            </w:r>
          </w:p>
        </w:tc>
        <w:tc>
          <w:tcPr>
            <w:tcW w:type="dxa" w:w="6236"/>
            <w:vAlign w:val="top"/>
          </w:tcPr>
          <w:p>
            <w:r/>
            <w:r>
              <w:rPr>
                <w:rFonts w:ascii="Arial" w:hAnsi="Arial"/>
                <w:b w:val="0"/>
                <w:i w:val="0"/>
                <w:sz w:val="17"/>
              </w:rPr>
              <w:t>Target operating model, service design, business capabilities, customer journeys, process architecture and change impact.</w:t>
            </w:r>
          </w:p>
        </w:tc>
      </w:tr>
      <w:tr>
        <w:tc>
          <w:tcPr>
            <w:tcW w:type="dxa" w:w="2551"/>
            <w:vAlign w:val="top"/>
          </w:tcPr>
          <w:p>
            <w:r/>
            <w:r>
              <w:rPr>
                <w:rFonts w:ascii="Arial" w:hAnsi="Arial"/>
                <w:b w:val="0"/>
                <w:i w:val="0"/>
                <w:sz w:val="17"/>
              </w:rPr>
              <w:t>Data Architect</w:t>
            </w:r>
          </w:p>
        </w:tc>
        <w:tc>
          <w:tcPr>
            <w:tcW w:type="dxa" w:w="6236"/>
            <w:vAlign w:val="top"/>
          </w:tcPr>
          <w:p>
            <w:r/>
            <w:r>
              <w:rPr>
                <w:rFonts w:ascii="Arial" w:hAnsi="Arial"/>
                <w:b w:val="0"/>
                <w:i w:val="0"/>
                <w:sz w:val="17"/>
              </w:rPr>
              <w:t>Master data, data quality, information governance, reporting, lineage, migration and analytics foundations.</w:t>
            </w:r>
          </w:p>
        </w:tc>
      </w:tr>
      <w:tr>
        <w:tc>
          <w:tcPr>
            <w:tcW w:type="dxa" w:w="2551"/>
            <w:vAlign w:val="top"/>
          </w:tcPr>
          <w:p>
            <w:r/>
            <w:r>
              <w:rPr>
                <w:rFonts w:ascii="Arial" w:hAnsi="Arial"/>
                <w:b w:val="0"/>
                <w:i w:val="0"/>
                <w:sz w:val="17"/>
              </w:rPr>
              <w:t>Application &amp; Digital Architect</w:t>
            </w:r>
          </w:p>
        </w:tc>
        <w:tc>
          <w:tcPr>
            <w:tcW w:type="dxa" w:w="6236"/>
            <w:vAlign w:val="top"/>
          </w:tcPr>
          <w:p>
            <w:r/>
            <w:r>
              <w:rPr>
                <w:rFonts w:ascii="Arial" w:hAnsi="Arial"/>
                <w:b w:val="0"/>
                <w:i w:val="0"/>
                <w:sz w:val="17"/>
              </w:rPr>
              <w:t>Application portfolio, CRM, ERP, digital services, portals, APIs, integration and rationalisation.</w:t>
            </w:r>
          </w:p>
        </w:tc>
      </w:tr>
      <w:tr>
        <w:tc>
          <w:tcPr>
            <w:tcW w:type="dxa" w:w="2551"/>
            <w:vAlign w:val="top"/>
          </w:tcPr>
          <w:p>
            <w:r/>
            <w:r>
              <w:rPr>
                <w:rFonts w:ascii="Arial" w:hAnsi="Arial"/>
                <w:b w:val="0"/>
                <w:i w:val="0"/>
                <w:sz w:val="17"/>
              </w:rPr>
              <w:t>Technology &amp; Security Architect</w:t>
            </w:r>
          </w:p>
        </w:tc>
        <w:tc>
          <w:tcPr>
            <w:tcW w:type="dxa" w:w="6236"/>
            <w:vAlign w:val="top"/>
          </w:tcPr>
          <w:p>
            <w:r/>
            <w:r>
              <w:rPr>
                <w:rFonts w:ascii="Arial" w:hAnsi="Arial"/>
                <w:b w:val="0"/>
                <w:i w:val="0"/>
                <w:sz w:val="17"/>
              </w:rPr>
              <w:t>Cloud, infrastructure, networks, identity, cyber security, resilience, end-user compute and technical standards.</w:t>
            </w:r>
          </w:p>
        </w:tc>
      </w:tr>
    </w:tbl>
    <w:p/>
    <w:p>
      <w:pPr>
        <w:spacing w:before="120" w:after="80"/>
      </w:pPr>
      <w:r>
        <w:rPr>
          <w:rFonts w:ascii="Arial" w:hAnsi="Arial"/>
          <w:b/>
          <w:i w:val="0"/>
          <w:sz w:val="20"/>
        </w:rPr>
        <w:t>Objective 2 – Organise LGR architecture around logical service clusters</w:t>
      </w:r>
    </w:p>
    <w:p>
      <w:pPr>
        <w:spacing w:after="120" w:line="259" w:lineRule="auto"/>
      </w:pPr>
      <w:r>
        <w:rPr>
          <w:rFonts w:ascii="Arial" w:hAnsi="Arial"/>
          <w:b w:val="0"/>
          <w:i w:val="0"/>
          <w:sz w:val="20"/>
        </w:rPr>
        <w:t>LGR architecture activity will be organised around five service clusters. These clusters will create a logical order from the resident front door through to operational services, corporate services and shared digital foundations.</w:t>
      </w:r>
    </w:p>
    <w:p>
      <w:pPr>
        <w:spacing w:after="160"/>
        <w:ind w:left="198"/>
      </w:pPr>
      <w:r>
        <w:rPr>
          <w:rFonts w:ascii="Arial" w:hAnsi="Arial"/>
          <w:b w:val="0"/>
          <w:i/>
          <w:sz w:val="18"/>
        </w:rPr>
        <w:t>Thinking and justification: The service-cluster model makes the work easier for services to understand. It also stops the team designing HR, Finance or technology in isolation from the resident journeys and statutory services they support.</w:t>
      </w:r>
    </w:p>
    <w:tbl>
      <w:tblPr>
        <w:tblStyle w:val="TableGrid"/>
        <w:tblW w:type="auto" w:w="0"/>
        <w:jc w:val="center"/>
        <w:tblLook w:firstColumn="1" w:firstRow="1" w:lastColumn="0" w:lastRow="0" w:noHBand="0" w:noVBand="1" w:val="04A0"/>
      </w:tblPr>
      <w:tblGrid>
        <w:gridCol w:w="3009"/>
        <w:gridCol w:w="3009"/>
        <w:gridCol w:w="3009"/>
      </w:tblGrid>
      <w:tr>
        <w:tc>
          <w:tcPr>
            <w:tcW w:type="dxa" w:w="850"/>
            <w:vAlign w:val="center"/>
            <w:shd w:fill="E2F0D9"/>
          </w:tcPr>
          <w:p>
            <w:r/>
            <w:r>
              <w:rPr>
                <w:rFonts w:ascii="Arial" w:hAnsi="Arial"/>
                <w:b/>
                <w:i w:val="0"/>
                <w:sz w:val="18"/>
              </w:rPr>
              <w:t>Order</w:t>
            </w:r>
          </w:p>
        </w:tc>
        <w:tc>
          <w:tcPr>
            <w:tcW w:type="dxa" w:w="2835"/>
            <w:vAlign w:val="center"/>
            <w:shd w:fill="E2F0D9"/>
          </w:tcPr>
          <w:p>
            <w:r/>
            <w:r>
              <w:rPr>
                <w:rFonts w:ascii="Arial" w:hAnsi="Arial"/>
                <w:b/>
                <w:i w:val="0"/>
                <w:sz w:val="18"/>
              </w:rPr>
              <w:t>Service Cluster</w:t>
            </w:r>
          </w:p>
        </w:tc>
        <w:tc>
          <w:tcPr>
            <w:tcW w:type="dxa" w:w="5102"/>
            <w:vAlign w:val="center"/>
            <w:shd w:fill="E2F0D9"/>
          </w:tcPr>
          <w:p>
            <w:r/>
            <w:r>
              <w:rPr>
                <w:rFonts w:ascii="Arial" w:hAnsi="Arial"/>
                <w:b/>
                <w:i w:val="0"/>
                <w:sz w:val="18"/>
              </w:rPr>
              <w:t>Examples</w:t>
            </w:r>
          </w:p>
        </w:tc>
      </w:tr>
      <w:tr>
        <w:tc>
          <w:tcPr>
            <w:tcW w:type="dxa" w:w="850"/>
            <w:vAlign w:val="top"/>
          </w:tcPr>
          <w:p>
            <w:r/>
            <w:r>
              <w:rPr>
                <w:rFonts w:ascii="Arial" w:hAnsi="Arial"/>
                <w:b w:val="0"/>
                <w:i w:val="0"/>
                <w:sz w:val="17"/>
              </w:rPr>
              <w:t>1</w:t>
            </w:r>
          </w:p>
        </w:tc>
        <w:tc>
          <w:tcPr>
            <w:tcW w:type="dxa" w:w="2835"/>
            <w:vAlign w:val="top"/>
          </w:tcPr>
          <w:p>
            <w:r/>
            <w:r>
              <w:rPr>
                <w:rFonts w:ascii="Arial" w:hAnsi="Arial"/>
                <w:b w:val="0"/>
                <w:i w:val="0"/>
                <w:sz w:val="17"/>
              </w:rPr>
              <w:t>Customer, Access and Resident Experience</w:t>
            </w:r>
          </w:p>
        </w:tc>
        <w:tc>
          <w:tcPr>
            <w:tcW w:type="dxa" w:w="5102"/>
            <w:vAlign w:val="top"/>
          </w:tcPr>
          <w:p>
            <w:r/>
            <w:r>
              <w:rPr>
                <w:rFonts w:ascii="Arial" w:hAnsi="Arial"/>
                <w:b w:val="0"/>
                <w:i w:val="0"/>
                <w:sz w:val="17"/>
              </w:rPr>
              <w:t>Customer Services, contact centre, website, CRM, complaints, FOI, assisted digital and channel strategy.</w:t>
            </w:r>
          </w:p>
        </w:tc>
      </w:tr>
      <w:tr>
        <w:tc>
          <w:tcPr>
            <w:tcW w:type="dxa" w:w="850"/>
            <w:vAlign w:val="top"/>
          </w:tcPr>
          <w:p>
            <w:r/>
            <w:r>
              <w:rPr>
                <w:rFonts w:ascii="Arial" w:hAnsi="Arial"/>
                <w:b w:val="0"/>
                <w:i w:val="0"/>
                <w:sz w:val="17"/>
              </w:rPr>
              <w:t>2</w:t>
            </w:r>
          </w:p>
        </w:tc>
        <w:tc>
          <w:tcPr>
            <w:tcW w:type="dxa" w:w="2835"/>
            <w:vAlign w:val="top"/>
          </w:tcPr>
          <w:p>
            <w:r/>
            <w:r>
              <w:rPr>
                <w:rFonts w:ascii="Arial" w:hAnsi="Arial"/>
                <w:b w:val="0"/>
                <w:i w:val="0"/>
                <w:sz w:val="17"/>
              </w:rPr>
              <w:t>Community, Housing and People Services</w:t>
            </w:r>
          </w:p>
        </w:tc>
        <w:tc>
          <w:tcPr>
            <w:tcW w:type="dxa" w:w="5102"/>
            <w:vAlign w:val="top"/>
          </w:tcPr>
          <w:p>
            <w:r/>
            <w:r>
              <w:rPr>
                <w:rFonts w:ascii="Arial" w:hAnsi="Arial"/>
                <w:b w:val="0"/>
                <w:i w:val="0"/>
                <w:sz w:val="17"/>
              </w:rPr>
              <w:t>Housing, homelessness, community safety, safeguarding interfaces, voluntary sector and health partnerships.</w:t>
            </w:r>
          </w:p>
        </w:tc>
      </w:tr>
      <w:tr>
        <w:tc>
          <w:tcPr>
            <w:tcW w:type="dxa" w:w="850"/>
            <w:vAlign w:val="top"/>
          </w:tcPr>
          <w:p>
            <w:r/>
            <w:r>
              <w:rPr>
                <w:rFonts w:ascii="Arial" w:hAnsi="Arial"/>
                <w:b w:val="0"/>
                <w:i w:val="0"/>
                <w:sz w:val="17"/>
              </w:rPr>
              <w:t>3</w:t>
            </w:r>
          </w:p>
        </w:tc>
        <w:tc>
          <w:tcPr>
            <w:tcW w:type="dxa" w:w="2835"/>
            <w:vAlign w:val="top"/>
          </w:tcPr>
          <w:p>
            <w:r/>
            <w:r>
              <w:rPr>
                <w:rFonts w:ascii="Arial" w:hAnsi="Arial"/>
                <w:b w:val="0"/>
                <w:i w:val="0"/>
                <w:sz w:val="17"/>
              </w:rPr>
              <w:t>Place, Environment and Regulatory Services</w:t>
            </w:r>
          </w:p>
        </w:tc>
        <w:tc>
          <w:tcPr>
            <w:tcW w:type="dxa" w:w="5102"/>
            <w:vAlign w:val="top"/>
          </w:tcPr>
          <w:p>
            <w:r/>
            <w:r>
              <w:rPr>
                <w:rFonts w:ascii="Arial" w:hAnsi="Arial"/>
                <w:b w:val="0"/>
                <w:i w:val="0"/>
                <w:sz w:val="17"/>
              </w:rPr>
              <w:t>Planning, building control, waste, environmental health, licensing, parking, estates and regeneration.</w:t>
            </w:r>
          </w:p>
        </w:tc>
      </w:tr>
      <w:tr>
        <w:tc>
          <w:tcPr>
            <w:tcW w:type="dxa" w:w="850"/>
            <w:vAlign w:val="top"/>
          </w:tcPr>
          <w:p>
            <w:r/>
            <w:r>
              <w:rPr>
                <w:rFonts w:ascii="Arial" w:hAnsi="Arial"/>
                <w:b w:val="0"/>
                <w:i w:val="0"/>
                <w:sz w:val="17"/>
              </w:rPr>
              <w:t>4</w:t>
            </w:r>
          </w:p>
        </w:tc>
        <w:tc>
          <w:tcPr>
            <w:tcW w:type="dxa" w:w="2835"/>
            <w:vAlign w:val="top"/>
          </w:tcPr>
          <w:p>
            <w:r/>
            <w:r>
              <w:rPr>
                <w:rFonts w:ascii="Arial" w:hAnsi="Arial"/>
                <w:b w:val="0"/>
                <w:i w:val="0"/>
                <w:sz w:val="17"/>
              </w:rPr>
              <w:t>Corporate and Enabling Services</w:t>
            </w:r>
          </w:p>
        </w:tc>
        <w:tc>
          <w:tcPr>
            <w:tcW w:type="dxa" w:w="5102"/>
            <w:vAlign w:val="top"/>
          </w:tcPr>
          <w:p>
            <w:r/>
            <w:r>
              <w:rPr>
                <w:rFonts w:ascii="Arial" w:hAnsi="Arial"/>
                <w:b w:val="0"/>
                <w:i w:val="0"/>
                <w:sz w:val="17"/>
              </w:rPr>
              <w:t>HR, Finance, Payroll, Procurement, Legal, Democratic Services, PMO, performance and risk.</w:t>
            </w:r>
          </w:p>
        </w:tc>
      </w:tr>
      <w:tr>
        <w:tc>
          <w:tcPr>
            <w:tcW w:type="dxa" w:w="850"/>
            <w:vAlign w:val="top"/>
          </w:tcPr>
          <w:p>
            <w:r/>
            <w:r>
              <w:rPr>
                <w:rFonts w:ascii="Arial" w:hAnsi="Arial"/>
                <w:b w:val="0"/>
                <w:i w:val="0"/>
                <w:sz w:val="17"/>
              </w:rPr>
              <w:t>5</w:t>
            </w:r>
          </w:p>
        </w:tc>
        <w:tc>
          <w:tcPr>
            <w:tcW w:type="dxa" w:w="2835"/>
            <w:vAlign w:val="top"/>
          </w:tcPr>
          <w:p>
            <w:r/>
            <w:r>
              <w:rPr>
                <w:rFonts w:ascii="Arial" w:hAnsi="Arial"/>
                <w:b w:val="0"/>
                <w:i w:val="0"/>
                <w:sz w:val="17"/>
              </w:rPr>
              <w:t>Technology, Data, AI and Shared Platforms</w:t>
            </w:r>
          </w:p>
        </w:tc>
        <w:tc>
          <w:tcPr>
            <w:tcW w:type="dxa" w:w="5102"/>
            <w:vAlign w:val="top"/>
          </w:tcPr>
          <w:p>
            <w:r/>
            <w:r>
              <w:rPr>
                <w:rFonts w:ascii="Arial" w:hAnsi="Arial"/>
                <w:b w:val="0"/>
                <w:i w:val="0"/>
                <w:sz w:val="17"/>
              </w:rPr>
              <w:t>Identity, integrations, data platform, reporting, cyber, M365, ERP, infrastructure and AI governance.</w:t>
            </w:r>
          </w:p>
        </w:tc>
      </w:tr>
    </w:tbl>
    <w:p/>
    <w:p>
      <w:pPr>
        <w:spacing w:before="120" w:after="80"/>
      </w:pPr>
      <w:r>
        <w:rPr>
          <w:rFonts w:ascii="Arial" w:hAnsi="Arial"/>
          <w:b/>
          <w:i w:val="0"/>
          <w:sz w:val="20"/>
        </w:rPr>
        <w:t>Objective 3 – Create an end-to-end service value chain</w:t>
      </w:r>
    </w:p>
    <w:p>
      <w:pPr>
        <w:spacing w:after="120" w:line="259" w:lineRule="auto"/>
      </w:pPr>
      <w:r>
        <w:rPr>
          <w:rFonts w:ascii="Arial" w:hAnsi="Arial"/>
          <w:b w:val="0"/>
          <w:i w:val="0"/>
          <w:sz w:val="20"/>
        </w:rPr>
        <w:t>The Business Architect will lead the creation of a service value chain that connects resident need, customer contact, eligibility or identity checks, case creation, service delivery, finance, reporting and continuous improvement.</w:t>
      </w:r>
    </w:p>
    <w:p>
      <w:pPr>
        <w:spacing w:after="160"/>
        <w:ind w:left="198"/>
      </w:pPr>
      <w:r>
        <w:rPr>
          <w:rFonts w:ascii="Arial" w:hAnsi="Arial"/>
          <w:b w:val="0"/>
          <w:i/>
          <w:sz w:val="18"/>
        </w:rPr>
        <w:t>Thinking and justification: This gives the future authority a practical map of how work flows. It helps identify where delays, duplicate handoffs, data gaps and system weaknesses may affect residents or staff.</w:t>
      </w:r>
    </w:p>
    <w:p>
      <w:pPr>
        <w:pStyle w:val="ListParagraph"/>
        <w:spacing w:after="60"/>
        <w:ind w:left="425" w:hanging="142"/>
      </w:pPr>
      <w:r>
        <w:rPr>
          <w:rFonts w:ascii="Arial" w:hAnsi="Arial"/>
          <w:b w:val="0"/>
          <w:i w:val="0"/>
          <w:sz w:val="20"/>
        </w:rPr>
        <w:t>Resident need arises.</w:t>
      </w:r>
    </w:p>
    <w:p>
      <w:pPr>
        <w:pStyle w:val="ListParagraph"/>
        <w:spacing w:after="60"/>
        <w:ind w:left="425" w:hanging="142"/>
      </w:pPr>
      <w:r>
        <w:rPr>
          <w:rFonts w:ascii="Arial" w:hAnsi="Arial"/>
          <w:b w:val="0"/>
          <w:i w:val="0"/>
          <w:sz w:val="20"/>
        </w:rPr>
        <w:t>Customer contact is received through the appropriate channel.</w:t>
      </w:r>
    </w:p>
    <w:p>
      <w:pPr>
        <w:pStyle w:val="ListParagraph"/>
        <w:spacing w:after="60"/>
        <w:ind w:left="425" w:hanging="142"/>
      </w:pPr>
      <w:r>
        <w:rPr>
          <w:rFonts w:ascii="Arial" w:hAnsi="Arial"/>
          <w:b w:val="0"/>
          <w:i w:val="0"/>
          <w:sz w:val="20"/>
        </w:rPr>
        <w:t>Identity, eligibility, location or account details are confirmed.</w:t>
      </w:r>
    </w:p>
    <w:p>
      <w:pPr>
        <w:pStyle w:val="ListParagraph"/>
        <w:spacing w:after="60"/>
        <w:ind w:left="425" w:hanging="142"/>
      </w:pPr>
      <w:r>
        <w:rPr>
          <w:rFonts w:ascii="Arial" w:hAnsi="Arial"/>
          <w:b w:val="0"/>
          <w:i w:val="0"/>
          <w:sz w:val="20"/>
        </w:rPr>
        <w:t>A request, case, transaction or referral is created.</w:t>
      </w:r>
    </w:p>
    <w:p>
      <w:pPr>
        <w:pStyle w:val="ListParagraph"/>
        <w:spacing w:after="60"/>
        <w:ind w:left="425" w:hanging="142"/>
      </w:pPr>
      <w:r>
        <w:rPr>
          <w:rFonts w:ascii="Arial" w:hAnsi="Arial"/>
          <w:b w:val="0"/>
          <w:i w:val="0"/>
          <w:sz w:val="20"/>
        </w:rPr>
        <w:t>The responsible service assesses and fulfils the request.</w:t>
      </w:r>
    </w:p>
    <w:p>
      <w:pPr>
        <w:pStyle w:val="ListParagraph"/>
        <w:spacing w:after="60"/>
        <w:ind w:left="425" w:hanging="142"/>
      </w:pPr>
      <w:r>
        <w:rPr>
          <w:rFonts w:ascii="Arial" w:hAnsi="Arial"/>
          <w:b w:val="0"/>
          <w:i w:val="0"/>
          <w:sz w:val="20"/>
        </w:rPr>
        <w:t>Finance, payment, enforcement, procurement or workforce activity is triggered where required.</w:t>
      </w:r>
    </w:p>
    <w:p>
      <w:pPr>
        <w:pStyle w:val="ListParagraph"/>
        <w:spacing w:after="60"/>
        <w:ind w:left="425" w:hanging="142"/>
      </w:pPr>
      <w:r>
        <w:rPr>
          <w:rFonts w:ascii="Arial" w:hAnsi="Arial"/>
          <w:b w:val="0"/>
          <w:i w:val="0"/>
          <w:sz w:val="20"/>
        </w:rPr>
        <w:t>The resident is updated and performance data is captured.</w:t>
      </w:r>
    </w:p>
    <w:p>
      <w:pPr>
        <w:pStyle w:val="ListParagraph"/>
        <w:spacing w:after="60"/>
        <w:ind w:left="425" w:hanging="142"/>
      </w:pPr>
      <w:r>
        <w:rPr>
          <w:rFonts w:ascii="Arial" w:hAnsi="Arial"/>
          <w:b w:val="0"/>
          <w:i w:val="0"/>
          <w:sz w:val="20"/>
        </w:rPr>
        <w:t>Learning is fed back into service improvement.</w:t>
      </w:r>
    </w:p>
    <w:p>
      <w:pPr>
        <w:spacing w:before="120" w:after="80"/>
      </w:pPr>
      <w:r>
        <w:rPr>
          <w:rFonts w:ascii="Arial" w:hAnsi="Arial"/>
          <w:b/>
          <w:i w:val="0"/>
          <w:sz w:val="20"/>
        </w:rPr>
        <w:t>Objective 4 – Align applications and digital services to the service clusters</w:t>
      </w:r>
    </w:p>
    <w:p>
      <w:pPr>
        <w:spacing w:after="120" w:line="259" w:lineRule="auto"/>
      </w:pPr>
      <w:r>
        <w:rPr>
          <w:rFonts w:ascii="Arial" w:hAnsi="Arial"/>
          <w:b w:val="0"/>
          <w:i w:val="0"/>
          <w:sz w:val="20"/>
        </w:rPr>
        <w:t>The Application &amp; Digital Architect will map applications, digital channels, integrations and supplier dependencies against each service cluster. This will support rationalisation, procurement planning, system consolidation and safe transition.</w:t>
      </w:r>
    </w:p>
    <w:p>
      <w:pPr>
        <w:spacing w:after="160"/>
        <w:ind w:left="198"/>
      </w:pPr>
      <w:r>
        <w:rPr>
          <w:rFonts w:ascii="Arial" w:hAnsi="Arial"/>
          <w:b w:val="0"/>
          <w:i/>
          <w:sz w:val="18"/>
        </w:rPr>
        <w:t>Thinking and justification: This prevents the programme from making premature product decisions. The right question is not simply which system to keep, but which systems best support the target service model, data architecture and vesting day requirements.</w:t>
      </w:r>
    </w:p>
    <w:p>
      <w:pPr>
        <w:spacing w:before="120" w:after="80"/>
      </w:pPr>
      <w:r>
        <w:rPr>
          <w:rFonts w:ascii="Arial" w:hAnsi="Arial"/>
          <w:b/>
          <w:i w:val="0"/>
          <w:sz w:val="20"/>
        </w:rPr>
        <w:t>Objective 5 – Establish common data foundations for LGR</w:t>
      </w:r>
    </w:p>
    <w:p>
      <w:pPr>
        <w:spacing w:after="120" w:line="259" w:lineRule="auto"/>
      </w:pPr>
      <w:r>
        <w:rPr>
          <w:rFonts w:ascii="Arial" w:hAnsi="Arial"/>
          <w:b w:val="0"/>
          <w:i w:val="0"/>
          <w:sz w:val="20"/>
        </w:rPr>
        <w:t>The Data Architect will define the common data model, master data domains, migration principles, data quality measures and reporting foundations needed to support the future authority.</w:t>
      </w:r>
    </w:p>
    <w:p>
      <w:pPr>
        <w:spacing w:after="160"/>
        <w:ind w:left="198"/>
      </w:pPr>
      <w:r>
        <w:rPr>
          <w:rFonts w:ascii="Arial" w:hAnsi="Arial"/>
          <w:b w:val="0"/>
          <w:i/>
          <w:sz w:val="18"/>
        </w:rPr>
        <w:t>Thinking and justification: Data is the thread that connects customer access, statutory services and corporate support. Without common data foundations, the future authority may inherit duplicated records, inconsistent reporting and weak resident insight.</w:t>
      </w:r>
    </w:p>
    <w:p>
      <w:pPr>
        <w:spacing w:before="120" w:after="80"/>
      </w:pPr>
      <w:r>
        <w:rPr>
          <w:rFonts w:ascii="Arial" w:hAnsi="Arial"/>
          <w:b/>
          <w:i w:val="0"/>
          <w:sz w:val="20"/>
        </w:rPr>
        <w:t>Objective 6 – Define shared technology, cyber and identity foundations</w:t>
      </w:r>
    </w:p>
    <w:p>
      <w:pPr>
        <w:spacing w:after="120" w:line="259" w:lineRule="auto"/>
      </w:pPr>
      <w:r>
        <w:rPr>
          <w:rFonts w:ascii="Arial" w:hAnsi="Arial"/>
          <w:b w:val="0"/>
          <w:i w:val="0"/>
          <w:sz w:val="20"/>
        </w:rPr>
        <w:t>The Technology &amp; Security Architect will define the shared technical foundations needed for LGR, including identity, cyber security, cloud, networks, endpoint devices, collaboration tools, disaster recovery and operational resilience.</w:t>
      </w:r>
    </w:p>
    <w:p>
      <w:pPr>
        <w:spacing w:after="160"/>
        <w:ind w:left="198"/>
      </w:pPr>
      <w:r>
        <w:rPr>
          <w:rFonts w:ascii="Arial" w:hAnsi="Arial"/>
          <w:b w:val="0"/>
          <w:i/>
          <w:sz w:val="18"/>
        </w:rPr>
        <w:t>Thinking and justification: A new authority cannot operate safely without shared foundations. These decisions need to be made early enough to support staff onboarding, system access, information sharing and service continuity.</w:t>
      </w:r>
    </w:p>
    <w:p>
      <w:pPr>
        <w:spacing w:before="120" w:after="80"/>
      </w:pPr>
      <w:r>
        <w:rPr>
          <w:rFonts w:ascii="Arial" w:hAnsi="Arial"/>
          <w:b/>
          <w:i w:val="0"/>
          <w:sz w:val="20"/>
        </w:rPr>
        <w:t>Objective 7 – Maintain AI as a cross-cutting assurance concern</w:t>
      </w:r>
    </w:p>
    <w:p>
      <w:pPr>
        <w:spacing w:after="120" w:line="259" w:lineRule="auto"/>
      </w:pPr>
      <w:r>
        <w:rPr>
          <w:rFonts w:ascii="Arial" w:hAnsi="Arial"/>
          <w:b w:val="0"/>
          <w:i w:val="0"/>
          <w:sz w:val="20"/>
        </w:rPr>
        <w:t>Artificial Intelligence will be managed as a cross-cutting architecture and governance concern. AI initiatives will be reviewed through the existing Enterprise AI Architecture Board, drawing on Business, Data, Application &amp; Digital, Technology &amp; Security, Information Governance and EDI input.</w:t>
      </w:r>
    </w:p>
    <w:p>
      <w:pPr>
        <w:spacing w:after="160"/>
        <w:ind w:left="198"/>
      </w:pPr>
      <w:r>
        <w:rPr>
          <w:rFonts w:ascii="Arial" w:hAnsi="Arial"/>
          <w:b w:val="0"/>
          <w:i/>
          <w:sz w:val="18"/>
        </w:rPr>
        <w:t>Thinking and justification: This avoids creating a fifth overloaded domain while still giving AI the scrutiny it needs. Responsible AI depends on joined-up assessment of value, ethics, data quality, security, equality and public trust.</w:t>
      </w:r>
    </w:p>
    <w:p>
      <w:pPr>
        <w:spacing w:before="120" w:after="80"/>
      </w:pPr>
      <w:r>
        <w:rPr>
          <w:rFonts w:ascii="Arial" w:hAnsi="Arial"/>
          <w:b/>
          <w:i w:val="0"/>
          <w:sz w:val="20"/>
        </w:rPr>
        <w:t>Objective 8 – Embed architecture into programme delivery</w:t>
      </w:r>
    </w:p>
    <w:p>
      <w:pPr>
        <w:spacing w:after="120" w:line="259" w:lineRule="auto"/>
      </w:pPr>
      <w:r>
        <w:rPr>
          <w:rFonts w:ascii="Arial" w:hAnsi="Arial"/>
          <w:b w:val="0"/>
          <w:i w:val="0"/>
          <w:sz w:val="20"/>
        </w:rPr>
        <w:t>Enterprise Architecture will be embedded into LGR programme governance, business cases, gateway reviews, procurement activity and service design workshops.</w:t>
      </w:r>
    </w:p>
    <w:p>
      <w:pPr>
        <w:spacing w:after="160"/>
        <w:ind w:left="198"/>
      </w:pPr>
      <w:r>
        <w:rPr>
          <w:rFonts w:ascii="Arial" w:hAnsi="Arial"/>
          <w:b w:val="0"/>
          <w:i/>
          <w:sz w:val="18"/>
        </w:rPr>
        <w:t>Thinking and justification: Architecture is most useful when it shapes decisions early. Embedding the team into delivery governance reduces late-stage assurance issues and helps projects move faster with clearer standards.</w:t>
      </w:r>
    </w:p>
    <w:p>
      <w:pPr>
        <w:pStyle w:val="Heading2"/>
        <w:spacing w:before="240" w:after="160"/>
      </w:pPr>
      <w:r>
        <w:t>Governance</w:t>
      </w:r>
    </w:p>
    <w:p>
      <w:pPr>
        <w:spacing w:after="120" w:line="259" w:lineRule="auto"/>
      </w:pPr>
      <w:r>
        <w:rPr>
          <w:rFonts w:ascii="Arial" w:hAnsi="Arial"/>
          <w:b w:val="0"/>
          <w:i w:val="0"/>
          <w:sz w:val="20"/>
        </w:rPr>
        <w:t>9.1 This strategy will be governed by the Head of Enterprise Architecture, reporting through the Executive Director – Transformation &amp; Digital and the relevant LGR programme governance arrangements.</w:t>
      </w:r>
    </w:p>
    <w:p>
      <w:pPr>
        <w:spacing w:after="160"/>
        <w:ind w:left="198"/>
      </w:pPr>
      <w:r>
        <w:rPr>
          <w:rFonts w:ascii="Arial" w:hAnsi="Arial"/>
          <w:b w:val="0"/>
          <w:i/>
          <w:sz w:val="18"/>
        </w:rPr>
        <w:t>Thinking and justification: Clear ownership is essential because LGR decisions will cut across services, systems, data, workforce, finance and political governance.</w:t>
      </w:r>
    </w:p>
    <w:p>
      <w:pPr>
        <w:spacing w:after="120" w:line="259" w:lineRule="auto"/>
      </w:pPr>
      <w:r>
        <w:rPr>
          <w:rFonts w:ascii="Arial" w:hAnsi="Arial"/>
          <w:b w:val="0"/>
          <w:i w:val="0"/>
          <w:sz w:val="20"/>
        </w:rPr>
        <w:t>9.2 The following governance structure will apply:</w:t>
      </w:r>
    </w:p>
    <w:tbl>
      <w:tblPr>
        <w:tblStyle w:val="TableGrid"/>
        <w:tblW w:type="auto" w:w="0"/>
        <w:jc w:val="center"/>
        <w:tblLook w:firstColumn="1" w:firstRow="1" w:lastColumn="0" w:lastRow="0" w:noHBand="0" w:noVBand="1" w:val="04A0"/>
      </w:tblPr>
      <w:tblGrid>
        <w:gridCol w:w="3009"/>
        <w:gridCol w:w="3009"/>
        <w:gridCol w:w="3009"/>
      </w:tblGrid>
      <w:tr>
        <w:tc>
          <w:tcPr>
            <w:tcW w:type="dxa" w:w="2438"/>
            <w:vAlign w:val="center"/>
            <w:shd w:fill="E2F0D9"/>
          </w:tcPr>
          <w:p>
            <w:r/>
            <w:r>
              <w:rPr>
                <w:rFonts w:ascii="Arial" w:hAnsi="Arial"/>
                <w:b/>
                <w:i w:val="0"/>
                <w:sz w:val="18"/>
              </w:rPr>
              <w:t>Governance Forum</w:t>
            </w:r>
          </w:p>
        </w:tc>
        <w:tc>
          <w:tcPr>
            <w:tcW w:type="dxa" w:w="4535"/>
            <w:vAlign w:val="center"/>
            <w:shd w:fill="E2F0D9"/>
          </w:tcPr>
          <w:p>
            <w:r/>
            <w:r>
              <w:rPr>
                <w:rFonts w:ascii="Arial" w:hAnsi="Arial"/>
                <w:b/>
                <w:i w:val="0"/>
                <w:sz w:val="18"/>
              </w:rPr>
              <w:t>Purpose</w:t>
            </w:r>
          </w:p>
        </w:tc>
        <w:tc>
          <w:tcPr>
            <w:tcW w:type="dxa" w:w="1701"/>
            <w:vAlign w:val="center"/>
            <w:shd w:fill="E2F0D9"/>
          </w:tcPr>
          <w:p>
            <w:r/>
            <w:r>
              <w:rPr>
                <w:rFonts w:ascii="Arial" w:hAnsi="Arial"/>
                <w:b/>
                <w:i w:val="0"/>
                <w:sz w:val="18"/>
              </w:rPr>
              <w:t>Frequency</w:t>
            </w:r>
          </w:p>
        </w:tc>
      </w:tr>
      <w:tr>
        <w:tc>
          <w:tcPr>
            <w:tcW w:type="dxa" w:w="2438"/>
            <w:vAlign w:val="top"/>
          </w:tcPr>
          <w:p>
            <w:r/>
            <w:r>
              <w:rPr>
                <w:rFonts w:ascii="Arial" w:hAnsi="Arial"/>
                <w:b w:val="0"/>
                <w:i w:val="0"/>
                <w:sz w:val="17"/>
              </w:rPr>
              <w:t>Weekly EA Team Stand-up</w:t>
            </w:r>
          </w:p>
        </w:tc>
        <w:tc>
          <w:tcPr>
            <w:tcW w:type="dxa" w:w="4535"/>
            <w:vAlign w:val="top"/>
          </w:tcPr>
          <w:p>
            <w:r/>
            <w:r>
              <w:rPr>
                <w:rFonts w:ascii="Arial" w:hAnsi="Arial"/>
                <w:b w:val="0"/>
                <w:i w:val="0"/>
                <w:sz w:val="17"/>
              </w:rPr>
              <w:t>Review workload, risks, decisions and service-cluster priorities.</w:t>
            </w:r>
          </w:p>
        </w:tc>
        <w:tc>
          <w:tcPr>
            <w:tcW w:type="dxa" w:w="1701"/>
            <w:vAlign w:val="top"/>
          </w:tcPr>
          <w:p>
            <w:r/>
            <w:r>
              <w:rPr>
                <w:rFonts w:ascii="Arial" w:hAnsi="Arial"/>
                <w:b w:val="0"/>
                <w:i w:val="0"/>
                <w:sz w:val="17"/>
              </w:rPr>
              <w:t>Weekly</w:t>
            </w:r>
          </w:p>
        </w:tc>
      </w:tr>
      <w:tr>
        <w:tc>
          <w:tcPr>
            <w:tcW w:type="dxa" w:w="2438"/>
            <w:vAlign w:val="top"/>
          </w:tcPr>
          <w:p>
            <w:r/>
            <w:r>
              <w:rPr>
                <w:rFonts w:ascii="Arial" w:hAnsi="Arial"/>
                <w:b w:val="0"/>
                <w:i w:val="0"/>
                <w:sz w:val="17"/>
              </w:rPr>
              <w:t>Architecture Design Authority</w:t>
            </w:r>
          </w:p>
        </w:tc>
        <w:tc>
          <w:tcPr>
            <w:tcW w:type="dxa" w:w="4535"/>
            <w:vAlign w:val="top"/>
          </w:tcPr>
          <w:p>
            <w:r/>
            <w:r>
              <w:rPr>
                <w:rFonts w:ascii="Arial" w:hAnsi="Arial"/>
                <w:b w:val="0"/>
                <w:i w:val="0"/>
                <w:sz w:val="17"/>
              </w:rPr>
              <w:t>Review cross-domain architecture decisions and resolve design issues.</w:t>
            </w:r>
          </w:p>
        </w:tc>
        <w:tc>
          <w:tcPr>
            <w:tcW w:type="dxa" w:w="1701"/>
            <w:vAlign w:val="top"/>
          </w:tcPr>
          <w:p>
            <w:r/>
            <w:r>
              <w:rPr>
                <w:rFonts w:ascii="Arial" w:hAnsi="Arial"/>
                <w:b w:val="0"/>
                <w:i w:val="0"/>
                <w:sz w:val="17"/>
              </w:rPr>
              <w:t>Fortnightly</w:t>
            </w:r>
          </w:p>
        </w:tc>
      </w:tr>
      <w:tr>
        <w:tc>
          <w:tcPr>
            <w:tcW w:type="dxa" w:w="2438"/>
            <w:vAlign w:val="top"/>
          </w:tcPr>
          <w:p>
            <w:r/>
            <w:r>
              <w:rPr>
                <w:rFonts w:ascii="Arial" w:hAnsi="Arial"/>
                <w:b w:val="0"/>
                <w:i w:val="0"/>
                <w:sz w:val="17"/>
              </w:rPr>
              <w:t>Technical Design Authority</w:t>
            </w:r>
          </w:p>
        </w:tc>
        <w:tc>
          <w:tcPr>
            <w:tcW w:type="dxa" w:w="4535"/>
            <w:vAlign w:val="top"/>
          </w:tcPr>
          <w:p>
            <w:r/>
            <w:r>
              <w:rPr>
                <w:rFonts w:ascii="Arial" w:hAnsi="Arial"/>
                <w:b w:val="0"/>
                <w:i w:val="0"/>
                <w:sz w:val="17"/>
              </w:rPr>
              <w:t>Provide detailed assurance for complex technology, integration, cyber and infrastructure designs.</w:t>
            </w:r>
          </w:p>
        </w:tc>
        <w:tc>
          <w:tcPr>
            <w:tcW w:type="dxa" w:w="1701"/>
            <w:vAlign w:val="top"/>
          </w:tcPr>
          <w:p>
            <w:r/>
            <w:r>
              <w:rPr>
                <w:rFonts w:ascii="Arial" w:hAnsi="Arial"/>
                <w:b w:val="0"/>
                <w:i w:val="0"/>
                <w:sz w:val="17"/>
              </w:rPr>
              <w:t>Weekly / as required</w:t>
            </w:r>
          </w:p>
        </w:tc>
      </w:tr>
      <w:tr>
        <w:tc>
          <w:tcPr>
            <w:tcW w:type="dxa" w:w="2438"/>
            <w:vAlign w:val="top"/>
          </w:tcPr>
          <w:p>
            <w:r/>
            <w:r>
              <w:rPr>
                <w:rFonts w:ascii="Arial" w:hAnsi="Arial"/>
                <w:b w:val="0"/>
                <w:i w:val="0"/>
                <w:sz w:val="17"/>
              </w:rPr>
              <w:t>Enterprise AI Architecture Board</w:t>
            </w:r>
          </w:p>
        </w:tc>
        <w:tc>
          <w:tcPr>
            <w:tcW w:type="dxa" w:w="4535"/>
            <w:vAlign w:val="top"/>
          </w:tcPr>
          <w:p>
            <w:r/>
            <w:r>
              <w:rPr>
                <w:rFonts w:ascii="Arial" w:hAnsi="Arial"/>
                <w:b w:val="0"/>
                <w:i w:val="0"/>
                <w:sz w:val="17"/>
              </w:rPr>
              <w:t>Assess AI initiatives for business value, ethics, data, application fit, security, equality and transparency.</w:t>
            </w:r>
          </w:p>
        </w:tc>
        <w:tc>
          <w:tcPr>
            <w:tcW w:type="dxa" w:w="1701"/>
            <w:vAlign w:val="top"/>
          </w:tcPr>
          <w:p>
            <w:r/>
            <w:r>
              <w:rPr>
                <w:rFonts w:ascii="Arial" w:hAnsi="Arial"/>
                <w:b w:val="0"/>
                <w:i w:val="0"/>
                <w:sz w:val="17"/>
              </w:rPr>
              <w:t>Monthly / as required</w:t>
            </w:r>
          </w:p>
        </w:tc>
      </w:tr>
      <w:tr>
        <w:tc>
          <w:tcPr>
            <w:tcW w:type="dxa" w:w="2438"/>
            <w:vAlign w:val="top"/>
          </w:tcPr>
          <w:p>
            <w:r/>
            <w:r>
              <w:rPr>
                <w:rFonts w:ascii="Arial" w:hAnsi="Arial"/>
                <w:b w:val="0"/>
                <w:i w:val="0"/>
                <w:sz w:val="17"/>
              </w:rPr>
              <w:t>Architecture Roadmap Review</w:t>
            </w:r>
          </w:p>
        </w:tc>
        <w:tc>
          <w:tcPr>
            <w:tcW w:type="dxa" w:w="4535"/>
            <w:vAlign w:val="top"/>
          </w:tcPr>
          <w:p>
            <w:r/>
            <w:r>
              <w:rPr>
                <w:rFonts w:ascii="Arial" w:hAnsi="Arial"/>
                <w:b w:val="0"/>
                <w:i w:val="0"/>
                <w:sz w:val="17"/>
              </w:rPr>
              <w:t>Report progress, risks, dependencies and decisions to senior leadership.</w:t>
            </w:r>
          </w:p>
        </w:tc>
        <w:tc>
          <w:tcPr>
            <w:tcW w:type="dxa" w:w="1701"/>
            <w:vAlign w:val="top"/>
          </w:tcPr>
          <w:p>
            <w:r/>
            <w:r>
              <w:rPr>
                <w:rFonts w:ascii="Arial" w:hAnsi="Arial"/>
                <w:b w:val="0"/>
                <w:i w:val="0"/>
                <w:sz w:val="17"/>
              </w:rPr>
              <w:t>Monthly / quarterly</w:t>
            </w:r>
          </w:p>
        </w:tc>
      </w:tr>
    </w:tbl>
    <w:p/>
    <w:p>
      <w:pPr>
        <w:spacing w:after="160"/>
        <w:ind w:left="198"/>
      </w:pPr>
      <w:r>
        <w:rPr>
          <w:rFonts w:ascii="Arial" w:hAnsi="Arial"/>
          <w:b w:val="0"/>
          <w:i/>
          <w:sz w:val="18"/>
        </w:rPr>
        <w:t>Thinking and justification: The governance model is deliberately layered. It separates day-to-day workload management, cross-domain architecture decisions, detailed technical assurance and senior roadmap oversight.</w:t>
      </w:r>
    </w:p>
    <w:p>
      <w:pPr>
        <w:spacing w:after="120" w:line="259" w:lineRule="auto"/>
      </w:pPr>
      <w:r>
        <w:rPr>
          <w:rFonts w:ascii="Arial" w:hAnsi="Arial"/>
          <w:b w:val="0"/>
          <w:i w:val="0"/>
          <w:sz w:val="20"/>
        </w:rPr>
        <w:t>9.3 Architecture Decision Records will be maintained for significant LGR decisions. These records will capture the decision, options considered, rationale, implications, risks and review date.</w:t>
      </w:r>
    </w:p>
    <w:p>
      <w:pPr>
        <w:spacing w:after="160"/>
        <w:ind w:left="198"/>
      </w:pPr>
      <w:r>
        <w:rPr>
          <w:rFonts w:ascii="Arial" w:hAnsi="Arial"/>
          <w:b w:val="0"/>
          <w:i/>
          <w:sz w:val="18"/>
        </w:rPr>
        <w:t>Thinking and justification: Decision records are essential in a politically complex LGR environment because they provide transparency, auditability and continuity when membership, leadership or programme assumptions change.</w:t>
      </w:r>
    </w:p>
    <w:p>
      <w:pPr>
        <w:pStyle w:val="Heading2"/>
        <w:spacing w:before="240" w:after="160"/>
      </w:pPr>
      <w:r>
        <w:t>References</w:t>
      </w:r>
    </w:p>
    <w:p>
      <w:pPr>
        <w:pStyle w:val="ListParagraph"/>
        <w:spacing w:after="60"/>
        <w:ind w:left="425" w:hanging="142"/>
      </w:pPr>
      <w:r>
        <w:rPr>
          <w:rFonts w:ascii="Arial" w:hAnsi="Arial"/>
          <w:b w:val="0"/>
          <w:i w:val="0"/>
          <w:sz w:val="20"/>
        </w:rPr>
        <w:t>TOGAF Standard, 10th Edition, The Open Group.</w:t>
      </w:r>
    </w:p>
    <w:p>
      <w:pPr>
        <w:pStyle w:val="ListParagraph"/>
        <w:spacing w:after="60"/>
        <w:ind w:left="425" w:hanging="142"/>
      </w:pPr>
      <w:r>
        <w:rPr>
          <w:rFonts w:ascii="Arial" w:hAnsi="Arial"/>
          <w:b w:val="0"/>
          <w:i w:val="0"/>
          <w:sz w:val="20"/>
        </w:rPr>
        <w:t>ArchiMate 3.2 Specification, The Open Group.</w:t>
      </w:r>
    </w:p>
    <w:p>
      <w:pPr>
        <w:pStyle w:val="ListParagraph"/>
        <w:spacing w:after="60"/>
        <w:ind w:left="425" w:hanging="142"/>
      </w:pPr>
      <w:r>
        <w:rPr>
          <w:rFonts w:ascii="Arial" w:hAnsi="Arial"/>
          <w:b w:val="0"/>
          <w:i w:val="0"/>
          <w:sz w:val="20"/>
        </w:rPr>
        <w:t>Stevenage Borough Council Enterprise Architecture and Artificial Intelligence Strategy 2026–2030.</w:t>
      </w:r>
    </w:p>
    <w:p>
      <w:pPr>
        <w:pStyle w:val="ListParagraph"/>
        <w:spacing w:after="60"/>
        <w:ind w:left="425" w:hanging="142"/>
      </w:pPr>
      <w:r>
        <w:rPr>
          <w:rFonts w:ascii="Arial" w:hAnsi="Arial"/>
          <w:b w:val="0"/>
          <w:i w:val="0"/>
          <w:sz w:val="20"/>
        </w:rPr>
        <w:t>Stevenage Borough Council Corporate Plan, Making Stevenage Even Better 2024–2027.</w:t>
      </w:r>
    </w:p>
    <w:p>
      <w:pPr>
        <w:pStyle w:val="ListParagraph"/>
        <w:spacing w:after="60"/>
        <w:ind w:left="425" w:hanging="142"/>
      </w:pPr>
      <w:r>
        <w:rPr>
          <w:rFonts w:ascii="Arial" w:hAnsi="Arial"/>
          <w:b w:val="0"/>
          <w:i w:val="0"/>
          <w:sz w:val="20"/>
        </w:rPr>
        <w:t>MHCLG Local Government Reorganisation policy, programme and implementation guidance.</w:t>
      </w:r>
    </w:p>
    <w:p>
      <w:pPr>
        <w:pStyle w:val="ListParagraph"/>
        <w:spacing w:after="60"/>
        <w:ind w:left="425" w:hanging="142"/>
      </w:pPr>
      <w:r>
        <w:rPr>
          <w:rFonts w:ascii="Arial" w:hAnsi="Arial"/>
          <w:b w:val="0"/>
          <w:i w:val="0"/>
          <w:sz w:val="20"/>
        </w:rPr>
        <w:t>GDS Service Standard and Technology Code of Practice.</w:t>
      </w:r>
    </w:p>
    <w:p>
      <w:pPr>
        <w:pStyle w:val="ListParagraph"/>
        <w:spacing w:after="60"/>
        <w:ind w:left="425" w:hanging="142"/>
      </w:pPr>
      <w:r>
        <w:rPr>
          <w:rFonts w:ascii="Arial" w:hAnsi="Arial"/>
          <w:b w:val="0"/>
          <w:i w:val="0"/>
          <w:sz w:val="20"/>
        </w:rPr>
        <w:t>NCSC cyber security and cloud security guidance.</w:t>
      </w:r>
    </w:p>
    <w:p>
      <w:pPr>
        <w:pStyle w:val="ListParagraph"/>
        <w:spacing w:after="60"/>
        <w:ind w:left="425" w:hanging="142"/>
      </w:pPr>
      <w:r>
        <w:rPr>
          <w:rFonts w:ascii="Arial" w:hAnsi="Arial"/>
          <w:b w:val="0"/>
          <w:i w:val="0"/>
          <w:sz w:val="20"/>
        </w:rPr>
        <w:t>Data Protection Act 2018 and UK GDPR.</w:t>
      </w:r>
    </w:p>
    <w:p>
      <w:pPr>
        <w:pStyle w:val="ListParagraph"/>
        <w:spacing w:after="60"/>
        <w:ind w:left="425" w:hanging="142"/>
      </w:pPr>
      <w:r>
        <w:rPr>
          <w:rFonts w:ascii="Arial" w:hAnsi="Arial"/>
          <w:b w:val="0"/>
          <w:i w:val="0"/>
          <w:sz w:val="20"/>
        </w:rPr>
        <w:t>Equality Act 2010.</w:t>
      </w:r>
    </w:p>
    <w:p>
      <w:pPr>
        <w:spacing w:after="160"/>
        <w:ind w:left="198"/>
      </w:pPr>
      <w:r>
        <w:rPr>
          <w:rFonts w:ascii="Arial" w:hAnsi="Arial"/>
          <w:b w:val="0"/>
          <w:i/>
          <w:sz w:val="18"/>
        </w:rPr>
        <w:t>Thinking and justification: The references combine architecture standards, local corporate strategy and public-sector governance obligations. This demonstrates that the model is both professionally grounded and locally relevant.</w:t>
      </w:r>
    </w:p>
    <w:p>
      <w:pPr>
        <w:pStyle w:val="Heading2"/>
        <w:spacing w:before="240" w:after="160"/>
      </w:pPr>
      <w:r>
        <w:t>Acronyms</w:t>
      </w:r>
    </w:p>
    <w:tbl>
      <w:tblPr>
        <w:tblStyle w:val="TableGrid"/>
        <w:tblW w:type="auto" w:w="0"/>
        <w:jc w:val="center"/>
        <w:tblLook w:firstColumn="1" w:firstRow="1" w:lastColumn="0" w:lastRow="0" w:noHBand="0" w:noVBand="1" w:val="04A0"/>
      </w:tblPr>
      <w:tblGrid>
        <w:gridCol w:w="4513"/>
        <w:gridCol w:w="4513"/>
      </w:tblGrid>
      <w:tr>
        <w:tc>
          <w:tcPr>
            <w:tcW w:type="dxa" w:w="1701"/>
            <w:vAlign w:val="center"/>
            <w:shd w:fill="E2F0D9"/>
          </w:tcPr>
          <w:p>
            <w:r/>
            <w:r>
              <w:rPr>
                <w:rFonts w:ascii="Arial" w:hAnsi="Arial"/>
                <w:b/>
                <w:i w:val="0"/>
                <w:sz w:val="18"/>
              </w:rPr>
              <w:t>Acronym</w:t>
            </w:r>
          </w:p>
        </w:tc>
        <w:tc>
          <w:tcPr>
            <w:tcW w:type="dxa" w:w="7087"/>
            <w:vAlign w:val="center"/>
            <w:shd w:fill="E2F0D9"/>
          </w:tcPr>
          <w:p>
            <w:r/>
            <w:r>
              <w:rPr>
                <w:rFonts w:ascii="Arial" w:hAnsi="Arial"/>
                <w:b/>
                <w:i w:val="0"/>
                <w:sz w:val="18"/>
              </w:rPr>
              <w:t>Description</w:t>
            </w:r>
          </w:p>
        </w:tc>
      </w:tr>
      <w:tr>
        <w:tc>
          <w:tcPr>
            <w:tcW w:type="dxa" w:w="1701"/>
            <w:vAlign w:val="top"/>
          </w:tcPr>
          <w:p>
            <w:r/>
            <w:r>
              <w:rPr>
                <w:rFonts w:ascii="Arial" w:hAnsi="Arial"/>
                <w:b w:val="0"/>
                <w:i w:val="0"/>
                <w:sz w:val="17"/>
              </w:rPr>
              <w:t>ADM</w:t>
            </w:r>
          </w:p>
        </w:tc>
        <w:tc>
          <w:tcPr>
            <w:tcW w:type="dxa" w:w="7087"/>
            <w:vAlign w:val="top"/>
          </w:tcPr>
          <w:p>
            <w:r/>
            <w:r>
              <w:rPr>
                <w:rFonts w:ascii="Arial" w:hAnsi="Arial"/>
                <w:b w:val="0"/>
                <w:i w:val="0"/>
                <w:sz w:val="17"/>
              </w:rPr>
              <w:t>Architecture Development Method</w:t>
            </w:r>
          </w:p>
        </w:tc>
      </w:tr>
      <w:tr>
        <w:tc>
          <w:tcPr>
            <w:tcW w:type="dxa" w:w="1701"/>
            <w:vAlign w:val="top"/>
          </w:tcPr>
          <w:p>
            <w:r/>
            <w:r>
              <w:rPr>
                <w:rFonts w:ascii="Arial" w:hAnsi="Arial"/>
                <w:b w:val="0"/>
                <w:i w:val="0"/>
                <w:sz w:val="17"/>
              </w:rPr>
              <w:t>AI</w:t>
            </w:r>
          </w:p>
        </w:tc>
        <w:tc>
          <w:tcPr>
            <w:tcW w:type="dxa" w:w="7087"/>
            <w:vAlign w:val="top"/>
          </w:tcPr>
          <w:p>
            <w:r/>
            <w:r>
              <w:rPr>
                <w:rFonts w:ascii="Arial" w:hAnsi="Arial"/>
                <w:b w:val="0"/>
                <w:i w:val="0"/>
                <w:sz w:val="17"/>
              </w:rPr>
              <w:t>Artificial Intelligence</w:t>
            </w:r>
          </w:p>
        </w:tc>
      </w:tr>
      <w:tr>
        <w:tc>
          <w:tcPr>
            <w:tcW w:type="dxa" w:w="1701"/>
            <w:vAlign w:val="top"/>
          </w:tcPr>
          <w:p>
            <w:r/>
            <w:r>
              <w:rPr>
                <w:rFonts w:ascii="Arial" w:hAnsi="Arial"/>
                <w:b w:val="0"/>
                <w:i w:val="0"/>
                <w:sz w:val="17"/>
              </w:rPr>
              <w:t>CRM</w:t>
            </w:r>
          </w:p>
        </w:tc>
        <w:tc>
          <w:tcPr>
            <w:tcW w:type="dxa" w:w="7087"/>
            <w:vAlign w:val="top"/>
          </w:tcPr>
          <w:p>
            <w:r/>
            <w:r>
              <w:rPr>
                <w:rFonts w:ascii="Arial" w:hAnsi="Arial"/>
                <w:b w:val="0"/>
                <w:i w:val="0"/>
                <w:sz w:val="17"/>
              </w:rPr>
              <w:t>Customer Relationship Management</w:t>
            </w:r>
          </w:p>
        </w:tc>
      </w:tr>
      <w:tr>
        <w:tc>
          <w:tcPr>
            <w:tcW w:type="dxa" w:w="1701"/>
            <w:vAlign w:val="top"/>
          </w:tcPr>
          <w:p>
            <w:r/>
            <w:r>
              <w:rPr>
                <w:rFonts w:ascii="Arial" w:hAnsi="Arial"/>
                <w:b w:val="0"/>
                <w:i w:val="0"/>
                <w:sz w:val="17"/>
              </w:rPr>
              <w:t>EA</w:t>
            </w:r>
          </w:p>
        </w:tc>
        <w:tc>
          <w:tcPr>
            <w:tcW w:type="dxa" w:w="7087"/>
            <w:vAlign w:val="top"/>
          </w:tcPr>
          <w:p>
            <w:r/>
            <w:r>
              <w:rPr>
                <w:rFonts w:ascii="Arial" w:hAnsi="Arial"/>
                <w:b w:val="0"/>
                <w:i w:val="0"/>
                <w:sz w:val="17"/>
              </w:rPr>
              <w:t>Enterprise Architecture</w:t>
            </w:r>
          </w:p>
        </w:tc>
      </w:tr>
      <w:tr>
        <w:tc>
          <w:tcPr>
            <w:tcW w:type="dxa" w:w="1701"/>
            <w:vAlign w:val="top"/>
          </w:tcPr>
          <w:p>
            <w:r/>
            <w:r>
              <w:rPr>
                <w:rFonts w:ascii="Arial" w:hAnsi="Arial"/>
                <w:b w:val="0"/>
                <w:i w:val="0"/>
                <w:sz w:val="17"/>
              </w:rPr>
              <w:t>EDI</w:t>
            </w:r>
          </w:p>
        </w:tc>
        <w:tc>
          <w:tcPr>
            <w:tcW w:type="dxa" w:w="7087"/>
            <w:vAlign w:val="top"/>
          </w:tcPr>
          <w:p>
            <w:r/>
            <w:r>
              <w:rPr>
                <w:rFonts w:ascii="Arial" w:hAnsi="Arial"/>
                <w:b w:val="0"/>
                <w:i w:val="0"/>
                <w:sz w:val="17"/>
              </w:rPr>
              <w:t>Equality, Diversity and Inclusion</w:t>
            </w:r>
          </w:p>
        </w:tc>
      </w:tr>
      <w:tr>
        <w:tc>
          <w:tcPr>
            <w:tcW w:type="dxa" w:w="1701"/>
            <w:vAlign w:val="top"/>
          </w:tcPr>
          <w:p>
            <w:r/>
            <w:r>
              <w:rPr>
                <w:rFonts w:ascii="Arial" w:hAnsi="Arial"/>
                <w:b w:val="0"/>
                <w:i w:val="0"/>
                <w:sz w:val="17"/>
              </w:rPr>
              <w:t>ERP</w:t>
            </w:r>
          </w:p>
        </w:tc>
        <w:tc>
          <w:tcPr>
            <w:tcW w:type="dxa" w:w="7087"/>
            <w:vAlign w:val="top"/>
          </w:tcPr>
          <w:p>
            <w:r/>
            <w:r>
              <w:rPr>
                <w:rFonts w:ascii="Arial" w:hAnsi="Arial"/>
                <w:b w:val="0"/>
                <w:i w:val="0"/>
                <w:sz w:val="17"/>
              </w:rPr>
              <w:t>Enterprise Resource Planning</w:t>
            </w:r>
          </w:p>
        </w:tc>
      </w:tr>
      <w:tr>
        <w:tc>
          <w:tcPr>
            <w:tcW w:type="dxa" w:w="1701"/>
            <w:vAlign w:val="top"/>
          </w:tcPr>
          <w:p>
            <w:r/>
            <w:r>
              <w:rPr>
                <w:rFonts w:ascii="Arial" w:hAnsi="Arial"/>
                <w:b w:val="0"/>
                <w:i w:val="0"/>
                <w:sz w:val="17"/>
              </w:rPr>
              <w:t>GDS</w:t>
            </w:r>
          </w:p>
        </w:tc>
        <w:tc>
          <w:tcPr>
            <w:tcW w:type="dxa" w:w="7087"/>
            <w:vAlign w:val="top"/>
          </w:tcPr>
          <w:p>
            <w:r/>
            <w:r>
              <w:rPr>
                <w:rFonts w:ascii="Arial" w:hAnsi="Arial"/>
                <w:b w:val="0"/>
                <w:i w:val="0"/>
                <w:sz w:val="17"/>
              </w:rPr>
              <w:t>Government Digital Service</w:t>
            </w:r>
          </w:p>
        </w:tc>
      </w:tr>
      <w:tr>
        <w:tc>
          <w:tcPr>
            <w:tcW w:type="dxa" w:w="1701"/>
            <w:vAlign w:val="top"/>
          </w:tcPr>
          <w:p>
            <w:r/>
            <w:r>
              <w:rPr>
                <w:rFonts w:ascii="Arial" w:hAnsi="Arial"/>
                <w:b w:val="0"/>
                <w:i w:val="0"/>
                <w:sz w:val="17"/>
              </w:rPr>
              <w:t>GDPR</w:t>
            </w:r>
          </w:p>
        </w:tc>
        <w:tc>
          <w:tcPr>
            <w:tcW w:type="dxa" w:w="7087"/>
            <w:vAlign w:val="top"/>
          </w:tcPr>
          <w:p>
            <w:r/>
            <w:r>
              <w:rPr>
                <w:rFonts w:ascii="Arial" w:hAnsi="Arial"/>
                <w:b w:val="0"/>
                <w:i w:val="0"/>
                <w:sz w:val="17"/>
              </w:rPr>
              <w:t>General Data Protection Regulation</w:t>
            </w:r>
          </w:p>
        </w:tc>
      </w:tr>
      <w:tr>
        <w:tc>
          <w:tcPr>
            <w:tcW w:type="dxa" w:w="1701"/>
            <w:vAlign w:val="top"/>
          </w:tcPr>
          <w:p>
            <w:r/>
            <w:r>
              <w:rPr>
                <w:rFonts w:ascii="Arial" w:hAnsi="Arial"/>
                <w:b w:val="0"/>
                <w:i w:val="0"/>
                <w:sz w:val="17"/>
              </w:rPr>
              <w:t>IAM</w:t>
            </w:r>
          </w:p>
        </w:tc>
        <w:tc>
          <w:tcPr>
            <w:tcW w:type="dxa" w:w="7087"/>
            <w:vAlign w:val="top"/>
          </w:tcPr>
          <w:p>
            <w:r/>
            <w:r>
              <w:rPr>
                <w:rFonts w:ascii="Arial" w:hAnsi="Arial"/>
                <w:b w:val="0"/>
                <w:i w:val="0"/>
                <w:sz w:val="17"/>
              </w:rPr>
              <w:t>Identity and Access Management</w:t>
            </w:r>
          </w:p>
        </w:tc>
      </w:tr>
      <w:tr>
        <w:tc>
          <w:tcPr>
            <w:tcW w:type="dxa" w:w="1701"/>
            <w:vAlign w:val="top"/>
          </w:tcPr>
          <w:p>
            <w:r/>
            <w:r>
              <w:rPr>
                <w:rFonts w:ascii="Arial" w:hAnsi="Arial"/>
                <w:b w:val="0"/>
                <w:i w:val="0"/>
                <w:sz w:val="17"/>
              </w:rPr>
              <w:t>LGR</w:t>
            </w:r>
          </w:p>
        </w:tc>
        <w:tc>
          <w:tcPr>
            <w:tcW w:type="dxa" w:w="7087"/>
            <w:vAlign w:val="top"/>
          </w:tcPr>
          <w:p>
            <w:r/>
            <w:r>
              <w:rPr>
                <w:rFonts w:ascii="Arial" w:hAnsi="Arial"/>
                <w:b w:val="0"/>
                <w:i w:val="0"/>
                <w:sz w:val="17"/>
              </w:rPr>
              <w:t>Local Government Reorganisation</w:t>
            </w:r>
          </w:p>
        </w:tc>
      </w:tr>
      <w:tr>
        <w:tc>
          <w:tcPr>
            <w:tcW w:type="dxa" w:w="1701"/>
            <w:vAlign w:val="top"/>
          </w:tcPr>
          <w:p>
            <w:r/>
            <w:r>
              <w:rPr>
                <w:rFonts w:ascii="Arial" w:hAnsi="Arial"/>
                <w:b w:val="0"/>
                <w:i w:val="0"/>
                <w:sz w:val="17"/>
              </w:rPr>
              <w:t>MDM</w:t>
            </w:r>
          </w:p>
        </w:tc>
        <w:tc>
          <w:tcPr>
            <w:tcW w:type="dxa" w:w="7087"/>
            <w:vAlign w:val="top"/>
          </w:tcPr>
          <w:p>
            <w:r/>
            <w:r>
              <w:rPr>
                <w:rFonts w:ascii="Arial" w:hAnsi="Arial"/>
                <w:b w:val="0"/>
                <w:i w:val="0"/>
                <w:sz w:val="17"/>
              </w:rPr>
              <w:t>Master Data Management</w:t>
            </w:r>
          </w:p>
        </w:tc>
      </w:tr>
      <w:tr>
        <w:tc>
          <w:tcPr>
            <w:tcW w:type="dxa" w:w="1701"/>
            <w:vAlign w:val="top"/>
          </w:tcPr>
          <w:p>
            <w:r/>
            <w:r>
              <w:rPr>
                <w:rFonts w:ascii="Arial" w:hAnsi="Arial"/>
                <w:b w:val="0"/>
                <w:i w:val="0"/>
                <w:sz w:val="17"/>
              </w:rPr>
              <w:t>MHCLG</w:t>
            </w:r>
          </w:p>
        </w:tc>
        <w:tc>
          <w:tcPr>
            <w:tcW w:type="dxa" w:w="7087"/>
            <w:vAlign w:val="top"/>
          </w:tcPr>
          <w:p>
            <w:r/>
            <w:r>
              <w:rPr>
                <w:rFonts w:ascii="Arial" w:hAnsi="Arial"/>
                <w:b w:val="0"/>
                <w:i w:val="0"/>
                <w:sz w:val="17"/>
              </w:rPr>
              <w:t>Ministry of Housing, Communities and Local Government</w:t>
            </w:r>
          </w:p>
        </w:tc>
      </w:tr>
      <w:tr>
        <w:tc>
          <w:tcPr>
            <w:tcW w:type="dxa" w:w="1701"/>
            <w:vAlign w:val="top"/>
          </w:tcPr>
          <w:p>
            <w:r/>
            <w:r>
              <w:rPr>
                <w:rFonts w:ascii="Arial" w:hAnsi="Arial"/>
                <w:b w:val="0"/>
                <w:i w:val="0"/>
                <w:sz w:val="17"/>
              </w:rPr>
              <w:t>NCSC</w:t>
            </w:r>
          </w:p>
        </w:tc>
        <w:tc>
          <w:tcPr>
            <w:tcW w:type="dxa" w:w="7087"/>
            <w:vAlign w:val="top"/>
          </w:tcPr>
          <w:p>
            <w:r/>
            <w:r>
              <w:rPr>
                <w:rFonts w:ascii="Arial" w:hAnsi="Arial"/>
                <w:b w:val="0"/>
                <w:i w:val="0"/>
                <w:sz w:val="17"/>
              </w:rPr>
              <w:t>National Cyber Security Centre</w:t>
            </w:r>
          </w:p>
        </w:tc>
      </w:tr>
      <w:tr>
        <w:tc>
          <w:tcPr>
            <w:tcW w:type="dxa" w:w="1701"/>
            <w:vAlign w:val="top"/>
          </w:tcPr>
          <w:p>
            <w:r/>
            <w:r>
              <w:rPr>
                <w:rFonts w:ascii="Arial" w:hAnsi="Arial"/>
                <w:b w:val="0"/>
                <w:i w:val="0"/>
                <w:sz w:val="17"/>
              </w:rPr>
              <w:t>PSED</w:t>
            </w:r>
          </w:p>
        </w:tc>
        <w:tc>
          <w:tcPr>
            <w:tcW w:type="dxa" w:w="7087"/>
            <w:vAlign w:val="top"/>
          </w:tcPr>
          <w:p>
            <w:r/>
            <w:r>
              <w:rPr>
                <w:rFonts w:ascii="Arial" w:hAnsi="Arial"/>
                <w:b w:val="0"/>
                <w:i w:val="0"/>
                <w:sz w:val="17"/>
              </w:rPr>
              <w:t>Public Sector Equality Duty</w:t>
            </w:r>
          </w:p>
        </w:tc>
      </w:tr>
      <w:tr>
        <w:tc>
          <w:tcPr>
            <w:tcW w:type="dxa" w:w="1701"/>
            <w:vAlign w:val="top"/>
          </w:tcPr>
          <w:p>
            <w:r/>
            <w:r>
              <w:rPr>
                <w:rFonts w:ascii="Arial" w:hAnsi="Arial"/>
                <w:b w:val="0"/>
                <w:i w:val="0"/>
                <w:sz w:val="17"/>
              </w:rPr>
              <w:t>SBC</w:t>
            </w:r>
          </w:p>
        </w:tc>
        <w:tc>
          <w:tcPr>
            <w:tcW w:type="dxa" w:w="7087"/>
            <w:vAlign w:val="top"/>
          </w:tcPr>
          <w:p>
            <w:r/>
            <w:r>
              <w:rPr>
                <w:rFonts w:ascii="Arial" w:hAnsi="Arial"/>
                <w:b w:val="0"/>
                <w:i w:val="0"/>
                <w:sz w:val="17"/>
              </w:rPr>
              <w:t>Stevenage Borough Council</w:t>
            </w:r>
          </w:p>
        </w:tc>
      </w:tr>
      <w:tr>
        <w:tc>
          <w:tcPr>
            <w:tcW w:type="dxa" w:w="1701"/>
            <w:vAlign w:val="top"/>
          </w:tcPr>
          <w:p>
            <w:r/>
            <w:r>
              <w:rPr>
                <w:rFonts w:ascii="Arial" w:hAnsi="Arial"/>
                <w:b w:val="0"/>
                <w:i w:val="0"/>
                <w:sz w:val="17"/>
              </w:rPr>
              <w:t>TDA</w:t>
            </w:r>
          </w:p>
        </w:tc>
        <w:tc>
          <w:tcPr>
            <w:tcW w:type="dxa" w:w="7087"/>
            <w:vAlign w:val="top"/>
          </w:tcPr>
          <w:p>
            <w:r/>
            <w:r>
              <w:rPr>
                <w:rFonts w:ascii="Arial" w:hAnsi="Arial"/>
                <w:b w:val="0"/>
                <w:i w:val="0"/>
                <w:sz w:val="17"/>
              </w:rPr>
              <w:t>Technical Design Authority</w:t>
            </w:r>
          </w:p>
        </w:tc>
      </w:tr>
      <w:tr>
        <w:tc>
          <w:tcPr>
            <w:tcW w:type="dxa" w:w="1701"/>
            <w:vAlign w:val="top"/>
          </w:tcPr>
          <w:p>
            <w:r/>
            <w:r>
              <w:rPr>
                <w:rFonts w:ascii="Arial" w:hAnsi="Arial"/>
                <w:b w:val="0"/>
                <w:i w:val="0"/>
                <w:sz w:val="17"/>
              </w:rPr>
              <w:t>TOGAF</w:t>
            </w:r>
          </w:p>
        </w:tc>
        <w:tc>
          <w:tcPr>
            <w:tcW w:type="dxa" w:w="7087"/>
            <w:vAlign w:val="top"/>
          </w:tcPr>
          <w:p>
            <w:r/>
            <w:r>
              <w:rPr>
                <w:rFonts w:ascii="Arial" w:hAnsi="Arial"/>
                <w:b w:val="0"/>
                <w:i w:val="0"/>
                <w:sz w:val="17"/>
              </w:rPr>
              <w:t>The Open Group Architecture Framework</w:t>
            </w:r>
          </w:p>
        </w:tc>
      </w:tr>
      <w:tr>
        <w:tc>
          <w:tcPr>
            <w:tcW w:type="dxa" w:w="1701"/>
            <w:vAlign w:val="top"/>
          </w:tcPr>
          <w:p>
            <w:r/>
            <w:r>
              <w:rPr>
                <w:rFonts w:ascii="Arial" w:hAnsi="Arial"/>
                <w:b w:val="0"/>
                <w:i w:val="0"/>
                <w:sz w:val="17"/>
              </w:rPr>
              <w:t>UPRN</w:t>
            </w:r>
          </w:p>
        </w:tc>
        <w:tc>
          <w:tcPr>
            <w:tcW w:type="dxa" w:w="7087"/>
            <w:vAlign w:val="top"/>
          </w:tcPr>
          <w:p>
            <w:r/>
            <w:r>
              <w:rPr>
                <w:rFonts w:ascii="Arial" w:hAnsi="Arial"/>
                <w:b w:val="0"/>
                <w:i w:val="0"/>
                <w:sz w:val="17"/>
              </w:rPr>
              <w:t>Unique Property Reference Number</w:t>
            </w:r>
          </w:p>
        </w:tc>
      </w:tr>
      <w:tr>
        <w:tc>
          <w:tcPr>
            <w:tcW w:type="dxa" w:w="1701"/>
            <w:vAlign w:val="top"/>
          </w:tcPr>
          <w:p>
            <w:r/>
            <w:r>
              <w:rPr>
                <w:rFonts w:ascii="Arial" w:hAnsi="Arial"/>
                <w:b w:val="0"/>
                <w:i w:val="0"/>
                <w:sz w:val="17"/>
              </w:rPr>
              <w:t>USRN</w:t>
            </w:r>
          </w:p>
        </w:tc>
        <w:tc>
          <w:tcPr>
            <w:tcW w:type="dxa" w:w="7087"/>
            <w:vAlign w:val="top"/>
          </w:tcPr>
          <w:p>
            <w:r/>
            <w:r>
              <w:rPr>
                <w:rFonts w:ascii="Arial" w:hAnsi="Arial"/>
                <w:b w:val="0"/>
                <w:i w:val="0"/>
                <w:sz w:val="17"/>
              </w:rPr>
              <w:t>Unique Street Reference Number</w:t>
            </w:r>
          </w:p>
        </w:tc>
      </w:tr>
    </w:tbl>
    <w:p/>
    <w:p>
      <w:pPr>
        <w:pStyle w:val="Heading2"/>
        <w:spacing w:before="240" w:after="160"/>
      </w:pPr>
      <w:r>
        <w:t>Appendices</w:t>
      </w:r>
    </w:p>
    <w:p>
      <w:pPr>
        <w:spacing w:after="120" w:line="259" w:lineRule="auto"/>
      </w:pPr>
      <w:r>
        <w:rPr>
          <w:rFonts w:ascii="Arial" w:hAnsi="Arial"/>
          <w:b w:val="0"/>
          <w:i w:val="0"/>
          <w:sz w:val="20"/>
        </w:rPr>
        <w:t>Appendix A – Enterprise Architecture Operating Model</w:t>
      </w:r>
    </w:p>
    <w:p>
      <w:pPr>
        <w:spacing w:after="120" w:line="259" w:lineRule="auto"/>
      </w:pPr>
      <w:r>
        <w:rPr>
          <w:rFonts w:ascii="Arial" w:hAnsi="Arial"/>
          <w:b w:val="0"/>
          <w:i w:val="0"/>
          <w:sz w:val="20"/>
        </w:rPr>
        <w:t>Appendix B – Service Cluster Model</w:t>
      </w:r>
    </w:p>
    <w:p>
      <w:pPr>
        <w:spacing w:after="120" w:line="259" w:lineRule="auto"/>
      </w:pPr>
      <w:r>
        <w:rPr>
          <w:rFonts w:ascii="Arial" w:hAnsi="Arial"/>
          <w:b w:val="0"/>
          <w:i w:val="0"/>
          <w:sz w:val="20"/>
        </w:rPr>
        <w:t>Appendix C – Architecture Governance Model</w:t>
      </w:r>
    </w:p>
    <w:p>
      <w:pPr>
        <w:spacing w:after="120" w:line="259" w:lineRule="auto"/>
      </w:pPr>
      <w:r>
        <w:rPr>
          <w:rFonts w:ascii="Arial" w:hAnsi="Arial"/>
          <w:b w:val="0"/>
          <w:i w:val="0"/>
          <w:sz w:val="20"/>
        </w:rPr>
        <w:t>Appendix D – Architecture Decision Record Template</w:t>
      </w:r>
    </w:p>
    <w:p>
      <w:pPr>
        <w:spacing w:after="120" w:line="259" w:lineRule="auto"/>
      </w:pPr>
      <w:r>
        <w:rPr>
          <w:rFonts w:ascii="Arial" w:hAnsi="Arial"/>
          <w:b w:val="0"/>
          <w:i w:val="0"/>
          <w:sz w:val="20"/>
        </w:rPr>
        <w:t>Appendix E – Equality Impact Assessment</w:t>
      </w:r>
    </w:p>
    <w:p>
      <w:pPr>
        <w:spacing w:after="160"/>
        <w:ind w:left="198"/>
      </w:pPr>
      <w:r>
        <w:rPr>
          <w:rFonts w:ascii="Arial" w:hAnsi="Arial"/>
          <w:b w:val="0"/>
          <w:i/>
          <w:sz w:val="18"/>
        </w:rPr>
        <w:t>Thinking and justification: The appendices should hold the working artefacts that services and programme teams will use. Keeping them separate from the main strategy helps the document remain readable while still being actionable.</w:t>
      </w:r>
    </w:p>
    <w:p>
      <w:pPr>
        <w:pStyle w:val="Heading2"/>
        <w:spacing w:before="240" w:after="160"/>
      </w:pPr>
      <w:r>
        <w:t>Version History</w:t>
      </w:r>
    </w:p>
    <w:tbl>
      <w:tblPr>
        <w:tblStyle w:val="TableGrid"/>
        <w:tblW w:type="auto" w:w="0"/>
        <w:jc w:val="center"/>
        <w:tblLook w:firstColumn="1" w:firstRow="1" w:lastColumn="0" w:lastRow="0" w:noHBand="0" w:noVBand="1" w:val="04A0"/>
      </w:tblPr>
      <w:tblGrid>
        <w:gridCol w:w="3009"/>
        <w:gridCol w:w="3009"/>
        <w:gridCol w:w="3009"/>
      </w:tblGrid>
      <w:tr>
        <w:tc>
          <w:tcPr>
            <w:tcW w:type="dxa" w:w="1984"/>
            <w:vAlign w:val="center"/>
            <w:shd w:fill="E2F0D9"/>
          </w:tcPr>
          <w:p>
            <w:r/>
            <w:r>
              <w:rPr>
                <w:rFonts w:ascii="Arial" w:hAnsi="Arial"/>
                <w:b/>
                <w:i w:val="0"/>
                <w:sz w:val="18"/>
              </w:rPr>
              <w:t>Date</w:t>
            </w:r>
          </w:p>
        </w:tc>
        <w:tc>
          <w:tcPr>
            <w:tcW w:type="dxa" w:w="4819"/>
            <w:vAlign w:val="center"/>
            <w:shd w:fill="E2F0D9"/>
          </w:tcPr>
          <w:p>
            <w:r/>
            <w:r>
              <w:rPr>
                <w:rFonts w:ascii="Arial" w:hAnsi="Arial"/>
                <w:b/>
                <w:i w:val="0"/>
                <w:sz w:val="18"/>
              </w:rPr>
              <w:t>Amendments</w:t>
            </w:r>
          </w:p>
        </w:tc>
        <w:tc>
          <w:tcPr>
            <w:tcW w:type="dxa" w:w="1984"/>
            <w:vAlign w:val="center"/>
            <w:shd w:fill="E2F0D9"/>
          </w:tcPr>
          <w:p>
            <w:r/>
            <w:r>
              <w:rPr>
                <w:rFonts w:ascii="Arial" w:hAnsi="Arial"/>
                <w:b/>
                <w:i w:val="0"/>
                <w:sz w:val="18"/>
              </w:rPr>
              <w:t>Author</w:t>
            </w:r>
          </w:p>
        </w:tc>
      </w:tr>
      <w:tr>
        <w:tc>
          <w:tcPr>
            <w:tcW w:type="dxa" w:w="1984"/>
            <w:vAlign w:val="top"/>
          </w:tcPr>
          <w:p>
            <w:r/>
            <w:r>
              <w:rPr>
                <w:rFonts w:ascii="Arial" w:hAnsi="Arial"/>
                <w:b w:val="0"/>
                <w:i w:val="0"/>
                <w:sz w:val="17"/>
              </w:rPr>
              <w:t>June 2026</w:t>
            </w:r>
          </w:p>
        </w:tc>
        <w:tc>
          <w:tcPr>
            <w:tcW w:type="dxa" w:w="4819"/>
            <w:vAlign w:val="top"/>
          </w:tcPr>
          <w:p>
            <w:r/>
            <w:r>
              <w:rPr>
                <w:rFonts w:ascii="Arial" w:hAnsi="Arial"/>
                <w:b w:val="0"/>
                <w:i w:val="0"/>
                <w:sz w:val="17"/>
              </w:rPr>
              <w:t>Initial strategy created and aligned to SBC corporate strategy template.</w:t>
            </w:r>
          </w:p>
        </w:tc>
        <w:tc>
          <w:tcPr>
            <w:tcW w:type="dxa" w:w="1984"/>
            <w:vAlign w:val="top"/>
          </w:tcPr>
          <w:p>
            <w:r/>
            <w:r>
              <w:rPr>
                <w:rFonts w:ascii="Arial" w:hAnsi="Arial"/>
                <w:b w:val="0"/>
                <w:i w:val="0"/>
                <w:sz w:val="17"/>
              </w:rPr>
              <w:t>Adam Staples</w:t>
            </w:r>
          </w:p>
        </w:tc>
      </w:tr>
      <w:tr>
        <w:tc>
          <w:tcPr>
            <w:tcW w:type="dxa" w:w="1984"/>
            <w:vAlign w:val="top"/>
          </w:tcPr>
          <w:p>
            <w:r/>
            <w:r>
              <w:rPr>
                <w:rFonts w:ascii="Arial" w:hAnsi="Arial"/>
                <w:b w:val="0"/>
                <w:i w:val="0"/>
                <w:sz w:val="17"/>
              </w:rPr>
            </w:r>
          </w:p>
        </w:tc>
        <w:tc>
          <w:tcPr>
            <w:tcW w:type="dxa" w:w="4819"/>
            <w:vAlign w:val="top"/>
          </w:tcPr>
          <w:p>
            <w:r/>
            <w:r>
              <w:rPr>
                <w:rFonts w:ascii="Arial" w:hAnsi="Arial"/>
                <w:b w:val="0"/>
                <w:i w:val="0"/>
                <w:sz w:val="17"/>
              </w:rPr>
            </w:r>
          </w:p>
        </w:tc>
        <w:tc>
          <w:tcPr>
            <w:tcW w:type="dxa" w:w="1984"/>
            <w:vAlign w:val="top"/>
          </w:tcPr>
          <w:p>
            <w:r/>
            <w:r>
              <w:rPr>
                <w:rFonts w:ascii="Arial" w:hAnsi="Arial"/>
                <w:b w:val="0"/>
                <w:i w:val="0"/>
                <w:sz w:val="17"/>
              </w:rPr>
            </w:r>
          </w:p>
        </w:tc>
      </w:tr>
    </w:tbl>
    <w:p/>
    <w:p>
      <w:pPr>
        <w:spacing w:after="120" w:line="259" w:lineRule="auto"/>
      </w:pPr>
      <w:r>
        <w:rPr>
          <w:rFonts w:ascii="Arial" w:hAnsi="Arial"/>
          <w:b w:val="0"/>
          <w:i w:val="0"/>
          <w:sz w:val="20"/>
        </w:rPr>
        <w:t>Once approved, please send a copy of the strategy to policy@stevenage.gov.uk for Council records.</w:t>
      </w:r>
    </w:p>
    <w:p>
      <w:pPr>
        <w:spacing w:after="160"/>
        <w:ind w:left="198"/>
      </w:pPr>
      <w:r>
        <w:rPr>
          <w:rFonts w:ascii="Arial" w:hAnsi="Arial"/>
          <w:b w:val="0"/>
          <w:i/>
          <w:sz w:val="18"/>
        </w:rPr>
        <w:t>Thinking and justification: This final note preserves the template requirement and ensures the strategy can move into normal corporate policy control once approved.</w:t>
      </w:r>
    </w:p>
    <w:sectPr w:rsidR="00115EB2" w:rsidRPr="00115EB2" w:rsidSect="00883350">
      <w:headerReference w:type="default"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AAFBA" w14:textId="77777777" w:rsidR="004E2B67" w:rsidRDefault="004E2B67" w:rsidP="004E2B67">
      <w:pPr>
        <w:spacing w:after="0" w:line="240" w:lineRule="auto"/>
      </w:pPr>
      <w:r>
        <w:separator/>
      </w:r>
    </w:p>
  </w:endnote>
  <w:endnote w:type="continuationSeparator" w:id="0">
    <w:p w14:paraId="56EE48EE" w14:textId="77777777" w:rsidR="004E2B67" w:rsidRDefault="004E2B67" w:rsidP="004E2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Variable">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964590"/>
      <w:docPartObj>
        <w:docPartGallery w:val="Page Numbers (Bottom of Page)"/>
        <w:docPartUnique/>
      </w:docPartObj>
    </w:sdtPr>
    <w:sdtEndPr>
      <w:rPr>
        <w:rFonts w:ascii="Arial" w:hAnsi="Arial" w:cs="Arial"/>
        <w:sz w:val="20"/>
        <w:szCs w:val="20"/>
      </w:rPr>
    </w:sdtEndPr>
    <w:sdtContent>
      <w:sdt>
        <w:sdtPr>
          <w:rPr>
            <w:rFonts w:ascii="Arial" w:hAnsi="Arial" w:cs="Arial"/>
            <w:sz w:val="20"/>
            <w:szCs w:val="20"/>
          </w:rPr>
          <w:id w:val="-26027214"/>
          <w:docPartObj>
            <w:docPartGallery w:val="Page Numbers (Top of Page)"/>
            <w:docPartUnique/>
          </w:docPartObj>
        </w:sdtPr>
        <w:sdtEndPr/>
        <w:sdtContent>
          <w:p w14:paraId="3F03EDEF" w14:textId="2826754C" w:rsidR="002926A5" w:rsidRPr="002926A5" w:rsidRDefault="002926A5">
            <w:pPr>
              <w:pStyle w:val="Footer"/>
              <w:jc w:val="right"/>
              <w:rPr>
                <w:rFonts w:ascii="Arial" w:hAnsi="Arial" w:cs="Arial"/>
                <w:sz w:val="20"/>
                <w:szCs w:val="20"/>
              </w:rPr>
            </w:pPr>
            <w:r w:rsidRPr="002926A5">
              <w:rPr>
                <w:rFonts w:ascii="Arial" w:hAnsi="Arial" w:cs="Arial"/>
                <w:sz w:val="20"/>
                <w:szCs w:val="20"/>
              </w:rPr>
              <w:t xml:space="preserve">Page </w:t>
            </w:r>
            <w:r w:rsidRPr="002926A5">
              <w:rPr>
                <w:rFonts w:ascii="Arial" w:hAnsi="Arial" w:cs="Arial"/>
                <w:sz w:val="20"/>
                <w:szCs w:val="20"/>
              </w:rPr>
              <w:fldChar w:fldCharType="begin"/>
            </w:r>
            <w:r w:rsidRPr="002926A5">
              <w:rPr>
                <w:rFonts w:ascii="Arial" w:hAnsi="Arial" w:cs="Arial"/>
                <w:sz w:val="20"/>
                <w:szCs w:val="20"/>
              </w:rPr>
              <w:instrText xml:space="preserve"> PAGE </w:instrText>
            </w:r>
            <w:r w:rsidRPr="002926A5">
              <w:rPr>
                <w:rFonts w:ascii="Arial" w:hAnsi="Arial" w:cs="Arial"/>
                <w:sz w:val="20"/>
                <w:szCs w:val="20"/>
              </w:rPr>
              <w:fldChar w:fldCharType="separate"/>
            </w:r>
            <w:r w:rsidRPr="002926A5">
              <w:rPr>
                <w:rFonts w:ascii="Arial" w:hAnsi="Arial" w:cs="Arial"/>
                <w:noProof/>
                <w:sz w:val="20"/>
                <w:szCs w:val="20"/>
              </w:rPr>
              <w:t>2</w:t>
            </w:r>
            <w:r w:rsidRPr="002926A5">
              <w:rPr>
                <w:rFonts w:ascii="Arial" w:hAnsi="Arial" w:cs="Arial"/>
                <w:sz w:val="20"/>
                <w:szCs w:val="20"/>
              </w:rPr>
              <w:fldChar w:fldCharType="end"/>
            </w:r>
            <w:r w:rsidRPr="002926A5">
              <w:rPr>
                <w:rFonts w:ascii="Arial" w:hAnsi="Arial" w:cs="Arial"/>
                <w:sz w:val="20"/>
                <w:szCs w:val="20"/>
              </w:rPr>
              <w:t xml:space="preserve"> of </w:t>
            </w:r>
            <w:r w:rsidRPr="002926A5">
              <w:rPr>
                <w:rFonts w:ascii="Arial" w:hAnsi="Arial" w:cs="Arial"/>
                <w:sz w:val="20"/>
                <w:szCs w:val="20"/>
              </w:rPr>
              <w:fldChar w:fldCharType="begin"/>
            </w:r>
            <w:r w:rsidRPr="002926A5">
              <w:rPr>
                <w:rFonts w:ascii="Arial" w:hAnsi="Arial" w:cs="Arial"/>
                <w:sz w:val="20"/>
                <w:szCs w:val="20"/>
              </w:rPr>
              <w:instrText xml:space="preserve"> NUMPAGES  </w:instrText>
            </w:r>
            <w:r w:rsidRPr="002926A5">
              <w:rPr>
                <w:rFonts w:ascii="Arial" w:hAnsi="Arial" w:cs="Arial"/>
                <w:sz w:val="20"/>
                <w:szCs w:val="20"/>
              </w:rPr>
              <w:fldChar w:fldCharType="separate"/>
            </w:r>
            <w:r w:rsidRPr="002926A5">
              <w:rPr>
                <w:rFonts w:ascii="Arial" w:hAnsi="Arial" w:cs="Arial"/>
                <w:noProof/>
                <w:sz w:val="20"/>
                <w:szCs w:val="20"/>
              </w:rPr>
              <w:t>2</w:t>
            </w:r>
            <w:r w:rsidRPr="002926A5">
              <w:rPr>
                <w:rFonts w:ascii="Arial" w:hAnsi="Arial" w:cs="Arial"/>
                <w:sz w:val="20"/>
                <w:szCs w:val="20"/>
              </w:rPr>
              <w:fldChar w:fldCharType="end"/>
            </w:r>
          </w:p>
        </w:sdtContent>
      </w:sdt>
    </w:sdtContent>
  </w:sdt>
  <w:p w14:paraId="3D3D22A9" w14:textId="79564FA2" w:rsidR="00484D28" w:rsidRDefault="00484D2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694208"/>
      <w:docPartObj>
        <w:docPartGallery w:val="Page Numbers (Bottom of Page)"/>
        <w:docPartUnique/>
      </w:docPartObj>
    </w:sdtPr>
    <w:sdtEndPr/>
    <w:sdtContent>
      <w:sdt>
        <w:sdtPr>
          <w:id w:val="-1769616900"/>
          <w:docPartObj>
            <w:docPartGallery w:val="Page Numbers (Top of Page)"/>
            <w:docPartUnique/>
          </w:docPartObj>
        </w:sdtPr>
        <w:sdtEndPr/>
        <w:sdtContent>
          <w:p w14:paraId="3EB1A3C7" w14:textId="0701F90D" w:rsidR="002926A5" w:rsidRDefault="002926A5">
            <w:pPr>
              <w:pStyle w:val="Footer"/>
              <w:jc w:val="right"/>
            </w:pPr>
            <w:r w:rsidRPr="002926A5">
              <w:rPr>
                <w:rFonts w:ascii="Arial" w:hAnsi="Arial" w:cs="Arial"/>
                <w:sz w:val="20"/>
                <w:szCs w:val="20"/>
              </w:rPr>
              <w:t xml:space="preserve">Page </w:t>
            </w:r>
            <w:r w:rsidRPr="002926A5">
              <w:rPr>
                <w:rFonts w:ascii="Arial" w:hAnsi="Arial" w:cs="Arial"/>
                <w:sz w:val="20"/>
                <w:szCs w:val="20"/>
              </w:rPr>
              <w:fldChar w:fldCharType="begin"/>
            </w:r>
            <w:r w:rsidRPr="002926A5">
              <w:rPr>
                <w:rFonts w:ascii="Arial" w:hAnsi="Arial" w:cs="Arial"/>
                <w:sz w:val="20"/>
                <w:szCs w:val="20"/>
              </w:rPr>
              <w:instrText xml:space="preserve"> PAGE </w:instrText>
            </w:r>
            <w:r w:rsidRPr="002926A5">
              <w:rPr>
                <w:rFonts w:ascii="Arial" w:hAnsi="Arial" w:cs="Arial"/>
                <w:sz w:val="20"/>
                <w:szCs w:val="20"/>
              </w:rPr>
              <w:fldChar w:fldCharType="separate"/>
            </w:r>
            <w:r w:rsidRPr="002926A5">
              <w:rPr>
                <w:rFonts w:ascii="Arial" w:hAnsi="Arial" w:cs="Arial"/>
                <w:noProof/>
                <w:sz w:val="20"/>
                <w:szCs w:val="20"/>
              </w:rPr>
              <w:t>2</w:t>
            </w:r>
            <w:r w:rsidRPr="002926A5">
              <w:rPr>
                <w:rFonts w:ascii="Arial" w:hAnsi="Arial" w:cs="Arial"/>
                <w:sz w:val="20"/>
                <w:szCs w:val="20"/>
              </w:rPr>
              <w:fldChar w:fldCharType="end"/>
            </w:r>
            <w:r w:rsidRPr="002926A5">
              <w:rPr>
                <w:rFonts w:ascii="Arial" w:hAnsi="Arial" w:cs="Arial"/>
                <w:sz w:val="20"/>
                <w:szCs w:val="20"/>
              </w:rPr>
              <w:t xml:space="preserve"> of </w:t>
            </w:r>
            <w:r w:rsidRPr="002926A5">
              <w:rPr>
                <w:rFonts w:ascii="Arial" w:hAnsi="Arial" w:cs="Arial"/>
                <w:sz w:val="20"/>
                <w:szCs w:val="20"/>
              </w:rPr>
              <w:fldChar w:fldCharType="begin"/>
            </w:r>
            <w:r w:rsidRPr="002926A5">
              <w:rPr>
                <w:rFonts w:ascii="Arial" w:hAnsi="Arial" w:cs="Arial"/>
                <w:sz w:val="20"/>
                <w:szCs w:val="20"/>
              </w:rPr>
              <w:instrText xml:space="preserve"> NUMPAGES  </w:instrText>
            </w:r>
            <w:r w:rsidRPr="002926A5">
              <w:rPr>
                <w:rFonts w:ascii="Arial" w:hAnsi="Arial" w:cs="Arial"/>
                <w:sz w:val="20"/>
                <w:szCs w:val="20"/>
              </w:rPr>
              <w:fldChar w:fldCharType="separate"/>
            </w:r>
            <w:r w:rsidRPr="002926A5">
              <w:rPr>
                <w:rFonts w:ascii="Arial" w:hAnsi="Arial" w:cs="Arial"/>
                <w:noProof/>
                <w:sz w:val="20"/>
                <w:szCs w:val="20"/>
              </w:rPr>
              <w:t>2</w:t>
            </w:r>
            <w:r w:rsidRPr="002926A5">
              <w:rPr>
                <w:rFonts w:ascii="Arial" w:hAnsi="Arial" w:cs="Arial"/>
                <w:sz w:val="20"/>
                <w:szCs w:val="20"/>
              </w:rPr>
              <w:fldChar w:fldCharType="end"/>
            </w:r>
          </w:p>
        </w:sdtContent>
      </w:sdt>
    </w:sdtContent>
  </w:sdt>
  <w:p w14:paraId="0BB301F8" w14:textId="77777777" w:rsidR="007A048D" w:rsidRDefault="007A04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8EB2C" w14:textId="77777777" w:rsidR="004E2B67" w:rsidRDefault="004E2B67" w:rsidP="004E2B67">
      <w:pPr>
        <w:spacing w:after="0" w:line="240" w:lineRule="auto"/>
      </w:pPr>
      <w:r>
        <w:separator/>
      </w:r>
    </w:p>
  </w:footnote>
  <w:footnote w:type="continuationSeparator" w:id="0">
    <w:p w14:paraId="121FD38A" w14:textId="77777777" w:rsidR="004E2B67" w:rsidRDefault="004E2B67" w:rsidP="004E2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C1839" w14:textId="66119147" w:rsidR="00883350" w:rsidRDefault="00883350">
    <w:pPr>
      <w:pStyle w:val="Header"/>
    </w:pPr>
    <w:r>
      <w:rPr>
        <w:noProof/>
      </w:rPr>
      <w:drawing>
        <wp:anchor distT="0" distB="0" distL="114300" distR="114300" simplePos="0" relativeHeight="251659264" behindDoc="0" locked="0" layoutInCell="1" allowOverlap="1" wp14:anchorId="4AFF4BFA" wp14:editId="074634B2">
          <wp:simplePos x="0" y="0"/>
          <wp:positionH relativeFrom="margin">
            <wp:posOffset>5514974</wp:posOffset>
          </wp:positionH>
          <wp:positionV relativeFrom="paragraph">
            <wp:posOffset>-230505</wp:posOffset>
          </wp:positionV>
          <wp:extent cx="885825" cy="466224"/>
          <wp:effectExtent l="0" t="0" r="0" b="0"/>
          <wp:wrapNone/>
          <wp:docPr id="2" name="Picture 2" descr="Stevenage Borough Counci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Stevenage Borough Council - Wikipedia"/>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2049" cy="4695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E3EF" w14:textId="504EAD39" w:rsidR="007A048D" w:rsidRDefault="007A048D">
    <w:pPr>
      <w:pStyle w:val="Header"/>
    </w:pPr>
    <w:r>
      <w:rPr>
        <w:noProof/>
      </w:rPr>
      <w:drawing>
        <wp:anchor distT="0" distB="0" distL="114300" distR="114300" simplePos="0" relativeHeight="251658240" behindDoc="0" locked="0" layoutInCell="1" allowOverlap="1" wp14:anchorId="755836F3" wp14:editId="33876C0F">
          <wp:simplePos x="0" y="0"/>
          <wp:positionH relativeFrom="margin">
            <wp:posOffset>4419600</wp:posOffset>
          </wp:positionH>
          <wp:positionV relativeFrom="paragraph">
            <wp:posOffset>-192859</wp:posOffset>
          </wp:positionV>
          <wp:extent cx="1850571" cy="973985"/>
          <wp:effectExtent l="0" t="0" r="0" b="0"/>
          <wp:wrapNone/>
          <wp:docPr id="1" name="Picture 2" descr="Stevenage Borough Counci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Stevenage Borough Council - Wikipedia"/>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0571" cy="9739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zOJF+9kC2kynru" int2:id="H5qe0s6D">
      <int2:state int2:value="Rejected" int2:type="AugLoop_Text_Critique"/>
    </int2:textHash>
    <int2:textHash int2:hashCode="zqhYDntAHb/qEo" int2:id="TvYMzo9V">
      <int2:state int2:value="Rejected" int2:type="AugLoop_Text_Critique"/>
    </int2:textHash>
    <int2:textHash int2:hashCode="ColNt8eS4Qp544" int2:id="ZgCCACUy">
      <int2:state int2:value="Rejected" int2:type="AugLoop_Text_Critique"/>
    </int2:textHash>
    <int2:textHash int2:hashCode="gIyui5SmOeW/kl" int2:id="MzLo5BnY">
      <int2:state int2:value="Rejected" int2:type="AugLoop_Text_Critique"/>
    </int2:textHash>
    <int2:textHash int2:hashCode="3LP288qalePFyQ" int2:id="xVBWSjJ1">
      <int2:state int2:value="Rejected" int2:type="AugLoop_Text_Critique"/>
    </int2:textHash>
    <int2:textHash int2:hashCode="xgDzA50uAYUN6A" int2:id="Z99gnXzi">
      <int2:state int2:value="Rejected" int2:type="AugLoop_Text_Critique"/>
    </int2:textHash>
    <int2:textHash int2:hashCode="pjtg7qRmXwDt2x" int2:id="4QcLwXfv">
      <int2:state int2:value="Rejected" int2:type="AugLoop_Text_Critique"/>
    </int2:textHash>
    <int2:textHash int2:hashCode="W5Z4vmu9anL2GF" int2:id="yh9Wndb2">
      <int2:state int2:value="Rejected" int2:type="AugLoop_Text_Critique"/>
    </int2:textHash>
    <int2:textHash int2:hashCode="X2yx9xF/rT0xSC" int2:id="1vsXC7R9">
      <int2:state int2:value="Rejected" int2:type="LegacyProofing"/>
    </int2:textHash>
    <int2:textHash int2:hashCode="rzvN7dKqtYQRTr" int2:id="JFl1LvC7">
      <int2:state int2:value="Rejected" int2:type="LegacyProofing"/>
    </int2:textHash>
    <int2:textHash int2:hashCode="wV+ojIVISvGP8V" int2:id="3TLh4Hvl">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EB0"/>
    <w:multiLevelType w:val="hybridMultilevel"/>
    <w:tmpl w:val="64046C2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27872A3E"/>
    <w:multiLevelType w:val="hybridMultilevel"/>
    <w:tmpl w:val="B64035EA"/>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7C38C9"/>
    <w:multiLevelType w:val="hybridMultilevel"/>
    <w:tmpl w:val="7F6493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4B07A88"/>
    <w:multiLevelType w:val="hybridMultilevel"/>
    <w:tmpl w:val="EA82059C"/>
    <w:lvl w:ilvl="0" w:tplc="08090019">
      <w:start w:val="1"/>
      <w:numFmt w:val="lowerLetter"/>
      <w:lvlText w:val="%1."/>
      <w:lvlJc w:val="left"/>
      <w:pPr>
        <w:ind w:left="1636" w:hanging="360"/>
      </w:pPr>
    </w:lvl>
    <w:lvl w:ilvl="1" w:tplc="08090019" w:tentative="1">
      <w:start w:val="1"/>
      <w:numFmt w:val="lowerLetter"/>
      <w:lvlText w:val="%2."/>
      <w:lvlJc w:val="left"/>
      <w:pPr>
        <w:ind w:left="2356" w:hanging="360"/>
      </w:pPr>
    </w:lvl>
    <w:lvl w:ilvl="2" w:tplc="0809001B" w:tentative="1">
      <w:start w:val="1"/>
      <w:numFmt w:val="lowerRoman"/>
      <w:lvlText w:val="%3."/>
      <w:lvlJc w:val="right"/>
      <w:pPr>
        <w:ind w:left="3076" w:hanging="180"/>
      </w:pPr>
    </w:lvl>
    <w:lvl w:ilvl="3" w:tplc="0809000F" w:tentative="1">
      <w:start w:val="1"/>
      <w:numFmt w:val="decimal"/>
      <w:lvlText w:val="%4."/>
      <w:lvlJc w:val="left"/>
      <w:pPr>
        <w:ind w:left="3796" w:hanging="360"/>
      </w:pPr>
    </w:lvl>
    <w:lvl w:ilvl="4" w:tplc="08090019" w:tentative="1">
      <w:start w:val="1"/>
      <w:numFmt w:val="lowerLetter"/>
      <w:lvlText w:val="%5."/>
      <w:lvlJc w:val="left"/>
      <w:pPr>
        <w:ind w:left="4516" w:hanging="360"/>
      </w:pPr>
    </w:lvl>
    <w:lvl w:ilvl="5" w:tplc="0809001B" w:tentative="1">
      <w:start w:val="1"/>
      <w:numFmt w:val="lowerRoman"/>
      <w:lvlText w:val="%6."/>
      <w:lvlJc w:val="right"/>
      <w:pPr>
        <w:ind w:left="5236" w:hanging="180"/>
      </w:pPr>
    </w:lvl>
    <w:lvl w:ilvl="6" w:tplc="0809000F" w:tentative="1">
      <w:start w:val="1"/>
      <w:numFmt w:val="decimal"/>
      <w:lvlText w:val="%7."/>
      <w:lvlJc w:val="left"/>
      <w:pPr>
        <w:ind w:left="5956" w:hanging="360"/>
      </w:pPr>
    </w:lvl>
    <w:lvl w:ilvl="7" w:tplc="08090019" w:tentative="1">
      <w:start w:val="1"/>
      <w:numFmt w:val="lowerLetter"/>
      <w:lvlText w:val="%8."/>
      <w:lvlJc w:val="left"/>
      <w:pPr>
        <w:ind w:left="6676" w:hanging="360"/>
      </w:pPr>
    </w:lvl>
    <w:lvl w:ilvl="8" w:tplc="0809001B" w:tentative="1">
      <w:start w:val="1"/>
      <w:numFmt w:val="lowerRoman"/>
      <w:lvlText w:val="%9."/>
      <w:lvlJc w:val="right"/>
      <w:pPr>
        <w:ind w:left="7396" w:hanging="180"/>
      </w:pPr>
    </w:lvl>
  </w:abstractNum>
  <w:num w:numId="1" w16cid:durableId="1537041394">
    <w:abstractNumId w:val="0"/>
  </w:num>
  <w:num w:numId="2" w16cid:durableId="1193692665">
    <w:abstractNumId w:val="3"/>
  </w:num>
  <w:num w:numId="3" w16cid:durableId="52436929">
    <w:abstractNumId w:val="2"/>
  </w:num>
  <w:num w:numId="4" w16cid:durableId="37875217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B67"/>
    <w:rsid w:val="000061F1"/>
    <w:rsid w:val="00011D22"/>
    <w:rsid w:val="00062AD1"/>
    <w:rsid w:val="00066D3A"/>
    <w:rsid w:val="0007603A"/>
    <w:rsid w:val="00090C13"/>
    <w:rsid w:val="00096D01"/>
    <w:rsid w:val="000B3116"/>
    <w:rsid w:val="000C4209"/>
    <w:rsid w:val="000D37D2"/>
    <w:rsid w:val="000D4B8C"/>
    <w:rsid w:val="000E2F76"/>
    <w:rsid w:val="000E7B8E"/>
    <w:rsid w:val="000F0858"/>
    <w:rsid w:val="000F1FA2"/>
    <w:rsid w:val="000F29CB"/>
    <w:rsid w:val="000F53CE"/>
    <w:rsid w:val="00115EB2"/>
    <w:rsid w:val="0014608C"/>
    <w:rsid w:val="0014751C"/>
    <w:rsid w:val="001638C0"/>
    <w:rsid w:val="00171789"/>
    <w:rsid w:val="0018658C"/>
    <w:rsid w:val="001E0A5B"/>
    <w:rsid w:val="001E2BE0"/>
    <w:rsid w:val="001F475B"/>
    <w:rsid w:val="00201BB0"/>
    <w:rsid w:val="0020477C"/>
    <w:rsid w:val="00213E92"/>
    <w:rsid w:val="00232B10"/>
    <w:rsid w:val="00240985"/>
    <w:rsid w:val="002429B9"/>
    <w:rsid w:val="00245CEA"/>
    <w:rsid w:val="002651E8"/>
    <w:rsid w:val="002707C9"/>
    <w:rsid w:val="0028291A"/>
    <w:rsid w:val="002926A5"/>
    <w:rsid w:val="00293F26"/>
    <w:rsid w:val="00297F81"/>
    <w:rsid w:val="002A33B6"/>
    <w:rsid w:val="002C29F6"/>
    <w:rsid w:val="002C3816"/>
    <w:rsid w:val="002C530D"/>
    <w:rsid w:val="002C57D2"/>
    <w:rsid w:val="002D22B0"/>
    <w:rsid w:val="002D73C3"/>
    <w:rsid w:val="002E051A"/>
    <w:rsid w:val="002E0E42"/>
    <w:rsid w:val="002E197A"/>
    <w:rsid w:val="00302E73"/>
    <w:rsid w:val="00307337"/>
    <w:rsid w:val="0031235C"/>
    <w:rsid w:val="00315485"/>
    <w:rsid w:val="0031786A"/>
    <w:rsid w:val="00323F53"/>
    <w:rsid w:val="00330B96"/>
    <w:rsid w:val="00331A60"/>
    <w:rsid w:val="00334132"/>
    <w:rsid w:val="00335C74"/>
    <w:rsid w:val="003723BA"/>
    <w:rsid w:val="00387EF5"/>
    <w:rsid w:val="00397444"/>
    <w:rsid w:val="003A24D9"/>
    <w:rsid w:val="003C3B88"/>
    <w:rsid w:val="003E7485"/>
    <w:rsid w:val="00420342"/>
    <w:rsid w:val="004252E8"/>
    <w:rsid w:val="004408D3"/>
    <w:rsid w:val="00442F35"/>
    <w:rsid w:val="00446709"/>
    <w:rsid w:val="00452FA6"/>
    <w:rsid w:val="004769EE"/>
    <w:rsid w:val="00480805"/>
    <w:rsid w:val="00484D28"/>
    <w:rsid w:val="00490704"/>
    <w:rsid w:val="00491AD2"/>
    <w:rsid w:val="0049655D"/>
    <w:rsid w:val="004A05EE"/>
    <w:rsid w:val="004A1230"/>
    <w:rsid w:val="004A3C71"/>
    <w:rsid w:val="004C07EB"/>
    <w:rsid w:val="004C3978"/>
    <w:rsid w:val="004C7E96"/>
    <w:rsid w:val="004D4377"/>
    <w:rsid w:val="004D5262"/>
    <w:rsid w:val="004E0B5B"/>
    <w:rsid w:val="004E2B67"/>
    <w:rsid w:val="004E4614"/>
    <w:rsid w:val="004F35EA"/>
    <w:rsid w:val="0050099F"/>
    <w:rsid w:val="00500A6A"/>
    <w:rsid w:val="005011FA"/>
    <w:rsid w:val="00522195"/>
    <w:rsid w:val="005231E5"/>
    <w:rsid w:val="00547C4B"/>
    <w:rsid w:val="00555D45"/>
    <w:rsid w:val="005603F0"/>
    <w:rsid w:val="00562789"/>
    <w:rsid w:val="005650A9"/>
    <w:rsid w:val="00572830"/>
    <w:rsid w:val="00575D13"/>
    <w:rsid w:val="005922A0"/>
    <w:rsid w:val="00594957"/>
    <w:rsid w:val="005A09D3"/>
    <w:rsid w:val="005B030D"/>
    <w:rsid w:val="005B4AA8"/>
    <w:rsid w:val="005D04E1"/>
    <w:rsid w:val="005E3870"/>
    <w:rsid w:val="005F7766"/>
    <w:rsid w:val="00603B89"/>
    <w:rsid w:val="0061534B"/>
    <w:rsid w:val="006205A3"/>
    <w:rsid w:val="00681F02"/>
    <w:rsid w:val="00686118"/>
    <w:rsid w:val="006A1280"/>
    <w:rsid w:val="006A7928"/>
    <w:rsid w:val="006C1D04"/>
    <w:rsid w:val="006C334C"/>
    <w:rsid w:val="006C3A50"/>
    <w:rsid w:val="006D3DA6"/>
    <w:rsid w:val="006D76F4"/>
    <w:rsid w:val="006E3893"/>
    <w:rsid w:val="006E4305"/>
    <w:rsid w:val="006E7CB5"/>
    <w:rsid w:val="006F03AF"/>
    <w:rsid w:val="006F1D16"/>
    <w:rsid w:val="006F510F"/>
    <w:rsid w:val="0070608F"/>
    <w:rsid w:val="00715C8E"/>
    <w:rsid w:val="00721BBD"/>
    <w:rsid w:val="00724166"/>
    <w:rsid w:val="007255C9"/>
    <w:rsid w:val="007442D7"/>
    <w:rsid w:val="0075012F"/>
    <w:rsid w:val="0075035D"/>
    <w:rsid w:val="00755CDB"/>
    <w:rsid w:val="00761871"/>
    <w:rsid w:val="00765A5D"/>
    <w:rsid w:val="007675E2"/>
    <w:rsid w:val="00776A82"/>
    <w:rsid w:val="00783260"/>
    <w:rsid w:val="007A048D"/>
    <w:rsid w:val="007B4664"/>
    <w:rsid w:val="007C4F52"/>
    <w:rsid w:val="007E2372"/>
    <w:rsid w:val="007E6196"/>
    <w:rsid w:val="007F6259"/>
    <w:rsid w:val="00804A5C"/>
    <w:rsid w:val="00811B4F"/>
    <w:rsid w:val="00814941"/>
    <w:rsid w:val="008163BA"/>
    <w:rsid w:val="0084346F"/>
    <w:rsid w:val="00857B10"/>
    <w:rsid w:val="00866DED"/>
    <w:rsid w:val="008820A5"/>
    <w:rsid w:val="00883350"/>
    <w:rsid w:val="00883E94"/>
    <w:rsid w:val="00892663"/>
    <w:rsid w:val="008937BF"/>
    <w:rsid w:val="00897339"/>
    <w:rsid w:val="008A4B92"/>
    <w:rsid w:val="008A613A"/>
    <w:rsid w:val="008B1AD6"/>
    <w:rsid w:val="008B4142"/>
    <w:rsid w:val="008B7DF5"/>
    <w:rsid w:val="008C0E1B"/>
    <w:rsid w:val="008F020F"/>
    <w:rsid w:val="008F709A"/>
    <w:rsid w:val="008F722D"/>
    <w:rsid w:val="00901BA5"/>
    <w:rsid w:val="009070B3"/>
    <w:rsid w:val="00912EF2"/>
    <w:rsid w:val="009265B3"/>
    <w:rsid w:val="0093162F"/>
    <w:rsid w:val="00953301"/>
    <w:rsid w:val="00962055"/>
    <w:rsid w:val="00977796"/>
    <w:rsid w:val="00983356"/>
    <w:rsid w:val="009B0151"/>
    <w:rsid w:val="009B6D22"/>
    <w:rsid w:val="009D2322"/>
    <w:rsid w:val="009D2DD8"/>
    <w:rsid w:val="009D3A45"/>
    <w:rsid w:val="009D4377"/>
    <w:rsid w:val="009D5D64"/>
    <w:rsid w:val="009E1617"/>
    <w:rsid w:val="009E2078"/>
    <w:rsid w:val="009F002E"/>
    <w:rsid w:val="00A13B24"/>
    <w:rsid w:val="00A55C06"/>
    <w:rsid w:val="00A5652D"/>
    <w:rsid w:val="00A577B6"/>
    <w:rsid w:val="00A67E33"/>
    <w:rsid w:val="00A75EB9"/>
    <w:rsid w:val="00A873B3"/>
    <w:rsid w:val="00A9696D"/>
    <w:rsid w:val="00AC3668"/>
    <w:rsid w:val="00AD0B3F"/>
    <w:rsid w:val="00AD13C4"/>
    <w:rsid w:val="00AD22FA"/>
    <w:rsid w:val="00AE02B9"/>
    <w:rsid w:val="00AE3ED3"/>
    <w:rsid w:val="00B06173"/>
    <w:rsid w:val="00B13294"/>
    <w:rsid w:val="00B20E36"/>
    <w:rsid w:val="00B27A05"/>
    <w:rsid w:val="00B32A0F"/>
    <w:rsid w:val="00B33F9D"/>
    <w:rsid w:val="00B3718D"/>
    <w:rsid w:val="00B440E7"/>
    <w:rsid w:val="00B501E2"/>
    <w:rsid w:val="00B677D2"/>
    <w:rsid w:val="00B71F1D"/>
    <w:rsid w:val="00B73658"/>
    <w:rsid w:val="00B8350C"/>
    <w:rsid w:val="00BB15DE"/>
    <w:rsid w:val="00BC6884"/>
    <w:rsid w:val="00BC6F05"/>
    <w:rsid w:val="00BD218D"/>
    <w:rsid w:val="00BD339A"/>
    <w:rsid w:val="00BD6AA9"/>
    <w:rsid w:val="00BE6309"/>
    <w:rsid w:val="00C21275"/>
    <w:rsid w:val="00C272EE"/>
    <w:rsid w:val="00C339BE"/>
    <w:rsid w:val="00C40C83"/>
    <w:rsid w:val="00C5257C"/>
    <w:rsid w:val="00C65948"/>
    <w:rsid w:val="00C67241"/>
    <w:rsid w:val="00C726CD"/>
    <w:rsid w:val="00C83F88"/>
    <w:rsid w:val="00CD3153"/>
    <w:rsid w:val="00CD5DB6"/>
    <w:rsid w:val="00CF1C6C"/>
    <w:rsid w:val="00D32ADE"/>
    <w:rsid w:val="00D33189"/>
    <w:rsid w:val="00D46314"/>
    <w:rsid w:val="00D467E8"/>
    <w:rsid w:val="00D52784"/>
    <w:rsid w:val="00D56173"/>
    <w:rsid w:val="00D615CC"/>
    <w:rsid w:val="00D67DC6"/>
    <w:rsid w:val="00D87943"/>
    <w:rsid w:val="00DA2D22"/>
    <w:rsid w:val="00DA5657"/>
    <w:rsid w:val="00DA69F6"/>
    <w:rsid w:val="00DB00F9"/>
    <w:rsid w:val="00DC0036"/>
    <w:rsid w:val="00DC05FB"/>
    <w:rsid w:val="00DC2394"/>
    <w:rsid w:val="00DC7772"/>
    <w:rsid w:val="00DE7211"/>
    <w:rsid w:val="00DF3DDC"/>
    <w:rsid w:val="00DF3E80"/>
    <w:rsid w:val="00E03187"/>
    <w:rsid w:val="00E16CCA"/>
    <w:rsid w:val="00E20114"/>
    <w:rsid w:val="00E245FF"/>
    <w:rsid w:val="00E502CB"/>
    <w:rsid w:val="00E575A6"/>
    <w:rsid w:val="00E720DA"/>
    <w:rsid w:val="00E728DA"/>
    <w:rsid w:val="00E81011"/>
    <w:rsid w:val="00E85F25"/>
    <w:rsid w:val="00E878F9"/>
    <w:rsid w:val="00E97ABC"/>
    <w:rsid w:val="00EA0984"/>
    <w:rsid w:val="00EA7247"/>
    <w:rsid w:val="00EA7BB8"/>
    <w:rsid w:val="00EB26E4"/>
    <w:rsid w:val="00EB791B"/>
    <w:rsid w:val="00EC1101"/>
    <w:rsid w:val="00EC295E"/>
    <w:rsid w:val="00ED1458"/>
    <w:rsid w:val="00EE1DC9"/>
    <w:rsid w:val="00EE7CBA"/>
    <w:rsid w:val="00EF0CC9"/>
    <w:rsid w:val="00F0292D"/>
    <w:rsid w:val="00F04BF1"/>
    <w:rsid w:val="00F14B65"/>
    <w:rsid w:val="00F1701D"/>
    <w:rsid w:val="00F20324"/>
    <w:rsid w:val="00F35CF7"/>
    <w:rsid w:val="00F47B3E"/>
    <w:rsid w:val="00F84D54"/>
    <w:rsid w:val="00FA0DA5"/>
    <w:rsid w:val="00FA3FD5"/>
    <w:rsid w:val="00FD0320"/>
    <w:rsid w:val="00FD3C86"/>
    <w:rsid w:val="00FD6DA8"/>
    <w:rsid w:val="00FE26F8"/>
    <w:rsid w:val="00FE582D"/>
    <w:rsid w:val="00FE721C"/>
    <w:rsid w:val="00FE7875"/>
    <w:rsid w:val="00FF3439"/>
    <w:rsid w:val="021DE924"/>
    <w:rsid w:val="029388B1"/>
    <w:rsid w:val="02CAE845"/>
    <w:rsid w:val="042F5912"/>
    <w:rsid w:val="04F634AE"/>
    <w:rsid w:val="05CB2973"/>
    <w:rsid w:val="0622085D"/>
    <w:rsid w:val="067D98F3"/>
    <w:rsid w:val="06BAF75A"/>
    <w:rsid w:val="085AF1F7"/>
    <w:rsid w:val="08653C05"/>
    <w:rsid w:val="08B04F12"/>
    <w:rsid w:val="08F7C38B"/>
    <w:rsid w:val="0906A99E"/>
    <w:rsid w:val="09348134"/>
    <w:rsid w:val="0A5242A9"/>
    <w:rsid w:val="0A7B6E29"/>
    <w:rsid w:val="0A9393EC"/>
    <w:rsid w:val="0E158872"/>
    <w:rsid w:val="0F16E576"/>
    <w:rsid w:val="0F3588C9"/>
    <w:rsid w:val="10A7FBDE"/>
    <w:rsid w:val="119FF6FC"/>
    <w:rsid w:val="11D58280"/>
    <w:rsid w:val="1243141B"/>
    <w:rsid w:val="12B1CF9E"/>
    <w:rsid w:val="12E8F995"/>
    <w:rsid w:val="13434451"/>
    <w:rsid w:val="134B4C79"/>
    <w:rsid w:val="1387F203"/>
    <w:rsid w:val="13A6F6E0"/>
    <w:rsid w:val="14FD1182"/>
    <w:rsid w:val="152582B9"/>
    <w:rsid w:val="15AC1CF8"/>
    <w:rsid w:val="185B6326"/>
    <w:rsid w:val="199BCE61"/>
    <w:rsid w:val="1C878B84"/>
    <w:rsid w:val="1C90BD4E"/>
    <w:rsid w:val="1D4FBB3A"/>
    <w:rsid w:val="1D5A2297"/>
    <w:rsid w:val="1E2954D7"/>
    <w:rsid w:val="1E48A5F8"/>
    <w:rsid w:val="1F20F697"/>
    <w:rsid w:val="218046BA"/>
    <w:rsid w:val="21E91D0F"/>
    <w:rsid w:val="252B3492"/>
    <w:rsid w:val="2785E5FA"/>
    <w:rsid w:val="27BEDDBD"/>
    <w:rsid w:val="29C837D2"/>
    <w:rsid w:val="2A4F8D8B"/>
    <w:rsid w:val="2A70DCB8"/>
    <w:rsid w:val="2B6B2F45"/>
    <w:rsid w:val="2D58F81A"/>
    <w:rsid w:val="2D976B33"/>
    <w:rsid w:val="2DFE68C9"/>
    <w:rsid w:val="2E71B4D6"/>
    <w:rsid w:val="30EC65E7"/>
    <w:rsid w:val="31E305A3"/>
    <w:rsid w:val="32171245"/>
    <w:rsid w:val="322F3CF9"/>
    <w:rsid w:val="32C70EC9"/>
    <w:rsid w:val="32F303CC"/>
    <w:rsid w:val="3335E246"/>
    <w:rsid w:val="34548447"/>
    <w:rsid w:val="34595719"/>
    <w:rsid w:val="349D9233"/>
    <w:rsid w:val="34D47840"/>
    <w:rsid w:val="34DD0F19"/>
    <w:rsid w:val="34E0A95A"/>
    <w:rsid w:val="37247BE7"/>
    <w:rsid w:val="380E426A"/>
    <w:rsid w:val="387DB5A0"/>
    <w:rsid w:val="38AA2485"/>
    <w:rsid w:val="3A049142"/>
    <w:rsid w:val="3BA34276"/>
    <w:rsid w:val="3C9B08BC"/>
    <w:rsid w:val="3D3F12D7"/>
    <w:rsid w:val="3D4A157D"/>
    <w:rsid w:val="3F8C6755"/>
    <w:rsid w:val="3F90C9CC"/>
    <w:rsid w:val="3FCCCBF8"/>
    <w:rsid w:val="40DB1825"/>
    <w:rsid w:val="40E69A12"/>
    <w:rsid w:val="415C64E5"/>
    <w:rsid w:val="417C0256"/>
    <w:rsid w:val="420608CE"/>
    <w:rsid w:val="42A83EC7"/>
    <w:rsid w:val="4317D2B7"/>
    <w:rsid w:val="432C03DA"/>
    <w:rsid w:val="438022CD"/>
    <w:rsid w:val="4496848E"/>
    <w:rsid w:val="44DD0F0C"/>
    <w:rsid w:val="464F7379"/>
    <w:rsid w:val="4701025F"/>
    <w:rsid w:val="479A7507"/>
    <w:rsid w:val="4920806A"/>
    <w:rsid w:val="4929F209"/>
    <w:rsid w:val="4A892737"/>
    <w:rsid w:val="4B9F9438"/>
    <w:rsid w:val="4BCB8307"/>
    <w:rsid w:val="4D7CAB49"/>
    <w:rsid w:val="4EFA7DB1"/>
    <w:rsid w:val="4F7923BF"/>
    <w:rsid w:val="4FECCF22"/>
    <w:rsid w:val="51873DC2"/>
    <w:rsid w:val="518FC1B9"/>
    <w:rsid w:val="522A277F"/>
    <w:rsid w:val="526F181B"/>
    <w:rsid w:val="540B1C1C"/>
    <w:rsid w:val="549C31E8"/>
    <w:rsid w:val="553588AD"/>
    <w:rsid w:val="558205A7"/>
    <w:rsid w:val="5699A54A"/>
    <w:rsid w:val="57461598"/>
    <w:rsid w:val="5755C247"/>
    <w:rsid w:val="58AEADF4"/>
    <w:rsid w:val="58ED1481"/>
    <w:rsid w:val="58FB174F"/>
    <w:rsid w:val="5954B21E"/>
    <w:rsid w:val="59B2CD17"/>
    <w:rsid w:val="59EF0E8C"/>
    <w:rsid w:val="59FC570D"/>
    <w:rsid w:val="5A088D17"/>
    <w:rsid w:val="5AA4C9A2"/>
    <w:rsid w:val="5BCE8137"/>
    <w:rsid w:val="5BE93C61"/>
    <w:rsid w:val="5D0E892C"/>
    <w:rsid w:val="5D8564B8"/>
    <w:rsid w:val="5E8C6558"/>
    <w:rsid w:val="5EAA598D"/>
    <w:rsid w:val="5EC24F6C"/>
    <w:rsid w:val="5F6F509F"/>
    <w:rsid w:val="6096225A"/>
    <w:rsid w:val="60CB81F9"/>
    <w:rsid w:val="60E7141F"/>
    <w:rsid w:val="614A5BF7"/>
    <w:rsid w:val="619EABA6"/>
    <w:rsid w:val="62D83D95"/>
    <w:rsid w:val="635FD67B"/>
    <w:rsid w:val="641EB4E1"/>
    <w:rsid w:val="647FD6D2"/>
    <w:rsid w:val="64EED523"/>
    <w:rsid w:val="65238A1B"/>
    <w:rsid w:val="66657E80"/>
    <w:rsid w:val="66BEBF7C"/>
    <w:rsid w:val="66DDE787"/>
    <w:rsid w:val="67366FAB"/>
    <w:rsid w:val="68068974"/>
    <w:rsid w:val="685B2ADD"/>
    <w:rsid w:val="6A1D131C"/>
    <w:rsid w:val="6B4E3053"/>
    <w:rsid w:val="6C47E2C2"/>
    <w:rsid w:val="6D12C70D"/>
    <w:rsid w:val="6EE65121"/>
    <w:rsid w:val="6F741167"/>
    <w:rsid w:val="6FC85F15"/>
    <w:rsid w:val="70B42564"/>
    <w:rsid w:val="70B5CAAD"/>
    <w:rsid w:val="7136E84E"/>
    <w:rsid w:val="7290B7CC"/>
    <w:rsid w:val="72A0F5D0"/>
    <w:rsid w:val="74E5649C"/>
    <w:rsid w:val="75F8FEF2"/>
    <w:rsid w:val="777466F3"/>
    <w:rsid w:val="77CB36D3"/>
    <w:rsid w:val="77FCC2E0"/>
    <w:rsid w:val="7909466F"/>
    <w:rsid w:val="7941FA33"/>
    <w:rsid w:val="79695D38"/>
    <w:rsid w:val="79A8A4B6"/>
    <w:rsid w:val="7A0CC0C6"/>
    <w:rsid w:val="7A442D7F"/>
    <w:rsid w:val="7A75829B"/>
    <w:rsid w:val="7A9956EF"/>
    <w:rsid w:val="7BF815F5"/>
    <w:rsid w:val="7CBFA580"/>
    <w:rsid w:val="7D743234"/>
    <w:rsid w:val="7FF853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5C333CD6"/>
  <w15:docId w15:val="{788A3C9D-0CB2-4A62-A286-D29CB8FE5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B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820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13E9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B67"/>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4E2B6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E2B67"/>
    <w:rPr>
      <w:rFonts w:asciiTheme="majorHAnsi" w:eastAsiaTheme="majorEastAsia" w:hAnsiTheme="majorHAnsi" w:cstheme="majorBidi"/>
      <w:color w:val="17365D" w:themeColor="text2" w:themeShade="BF"/>
      <w:spacing w:val="5"/>
      <w:kern w:val="28"/>
      <w:sz w:val="52"/>
      <w:szCs w:val="52"/>
    </w:rPr>
  </w:style>
  <w:style w:type="paragraph" w:customStyle="1" w:styleId="Default">
    <w:name w:val="Default"/>
    <w:rsid w:val="004E2B67"/>
    <w:pPr>
      <w:autoSpaceDE w:val="0"/>
      <w:autoSpaceDN w:val="0"/>
      <w:adjustRightInd w:val="0"/>
      <w:spacing w:after="0" w:line="240" w:lineRule="auto"/>
    </w:pPr>
    <w:rPr>
      <w:rFonts w:ascii="Source Sans Variable" w:hAnsi="Source Sans Variable" w:cs="Source Sans Variable"/>
      <w:color w:val="000000"/>
      <w:sz w:val="24"/>
      <w:szCs w:val="24"/>
    </w:rPr>
  </w:style>
  <w:style w:type="paragraph" w:customStyle="1" w:styleId="Pa2">
    <w:name w:val="Pa2"/>
    <w:basedOn w:val="Default"/>
    <w:next w:val="Default"/>
    <w:uiPriority w:val="99"/>
    <w:rsid w:val="004E2B67"/>
    <w:pPr>
      <w:spacing w:line="241" w:lineRule="atLeast"/>
    </w:pPr>
    <w:rPr>
      <w:rFonts w:cstheme="minorBidi"/>
      <w:color w:val="auto"/>
    </w:rPr>
  </w:style>
  <w:style w:type="character" w:customStyle="1" w:styleId="A4">
    <w:name w:val="A4"/>
    <w:uiPriority w:val="99"/>
    <w:rsid w:val="004E2B67"/>
    <w:rPr>
      <w:rFonts w:cs="Source Sans Variable"/>
      <w:color w:val="000000"/>
      <w:sz w:val="29"/>
      <w:szCs w:val="29"/>
    </w:rPr>
  </w:style>
  <w:style w:type="paragraph" w:styleId="ListParagraph">
    <w:name w:val="List Paragraph"/>
    <w:basedOn w:val="Normal"/>
    <w:uiPriority w:val="34"/>
    <w:qFormat/>
    <w:rsid w:val="004E2B67"/>
    <w:pPr>
      <w:ind w:left="720"/>
      <w:contextualSpacing/>
    </w:pPr>
  </w:style>
  <w:style w:type="paragraph" w:styleId="BalloonText">
    <w:name w:val="Balloon Text"/>
    <w:basedOn w:val="Normal"/>
    <w:link w:val="BalloonTextChar"/>
    <w:uiPriority w:val="99"/>
    <w:semiHidden/>
    <w:unhideWhenUsed/>
    <w:rsid w:val="004E2B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B67"/>
    <w:rPr>
      <w:rFonts w:ascii="Tahoma" w:hAnsi="Tahoma" w:cs="Tahoma"/>
      <w:sz w:val="16"/>
      <w:szCs w:val="16"/>
    </w:rPr>
  </w:style>
  <w:style w:type="paragraph" w:styleId="Header">
    <w:name w:val="header"/>
    <w:basedOn w:val="Normal"/>
    <w:link w:val="HeaderChar"/>
    <w:uiPriority w:val="99"/>
    <w:unhideWhenUsed/>
    <w:rsid w:val="004E2B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2B67"/>
  </w:style>
  <w:style w:type="paragraph" w:styleId="Footer">
    <w:name w:val="footer"/>
    <w:basedOn w:val="Normal"/>
    <w:link w:val="FooterChar"/>
    <w:uiPriority w:val="99"/>
    <w:unhideWhenUsed/>
    <w:rsid w:val="004E2B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B67"/>
  </w:style>
  <w:style w:type="character" w:styleId="Strong">
    <w:name w:val="Strong"/>
    <w:basedOn w:val="DefaultParagraphFont"/>
    <w:uiPriority w:val="22"/>
    <w:qFormat/>
    <w:rsid w:val="00B33F9D"/>
    <w:rPr>
      <w:b/>
      <w:bCs/>
    </w:rPr>
  </w:style>
  <w:style w:type="paragraph" w:styleId="FootnoteText">
    <w:name w:val="footnote text"/>
    <w:basedOn w:val="Normal"/>
    <w:link w:val="FootnoteTextChar"/>
    <w:uiPriority w:val="99"/>
    <w:semiHidden/>
    <w:unhideWhenUsed/>
    <w:rsid w:val="00B33F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33F9D"/>
    <w:rPr>
      <w:sz w:val="20"/>
      <w:szCs w:val="20"/>
    </w:rPr>
  </w:style>
  <w:style w:type="character" w:styleId="FootnoteReference">
    <w:name w:val="footnote reference"/>
    <w:basedOn w:val="DefaultParagraphFont"/>
    <w:uiPriority w:val="99"/>
    <w:semiHidden/>
    <w:unhideWhenUsed/>
    <w:rsid w:val="00B33F9D"/>
    <w:rPr>
      <w:vertAlign w:val="superscript"/>
    </w:rPr>
  </w:style>
  <w:style w:type="character" w:styleId="Hyperlink">
    <w:name w:val="Hyperlink"/>
    <w:basedOn w:val="DefaultParagraphFont"/>
    <w:uiPriority w:val="99"/>
    <w:unhideWhenUsed/>
    <w:rsid w:val="00B33F9D"/>
    <w:rPr>
      <w:color w:val="0000FF" w:themeColor="hyperlink"/>
      <w:u w:val="single"/>
    </w:rPr>
  </w:style>
  <w:style w:type="paragraph" w:customStyle="1" w:styleId="Pa6">
    <w:name w:val="Pa6"/>
    <w:basedOn w:val="Normal"/>
    <w:next w:val="Normal"/>
    <w:uiPriority w:val="99"/>
    <w:rsid w:val="006C334C"/>
    <w:pPr>
      <w:autoSpaceDE w:val="0"/>
      <w:autoSpaceDN w:val="0"/>
      <w:adjustRightInd w:val="0"/>
      <w:spacing w:after="0" w:line="241" w:lineRule="atLeast"/>
    </w:pPr>
    <w:rPr>
      <w:rFonts w:ascii="Source Sans Variable" w:hAnsi="Source Sans Variable"/>
      <w:sz w:val="24"/>
      <w:szCs w:val="24"/>
    </w:rPr>
  </w:style>
  <w:style w:type="character" w:customStyle="1" w:styleId="Heading2Char">
    <w:name w:val="Heading 2 Char"/>
    <w:basedOn w:val="DefaultParagraphFont"/>
    <w:link w:val="Heading2"/>
    <w:uiPriority w:val="9"/>
    <w:rsid w:val="008820A5"/>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E85F25"/>
    <w:rPr>
      <w:color w:val="800080" w:themeColor="followedHyperlink"/>
      <w:u w:val="single"/>
    </w:rPr>
  </w:style>
  <w:style w:type="paragraph" w:styleId="NormalWeb">
    <w:name w:val="Normal (Web)"/>
    <w:basedOn w:val="Normal"/>
    <w:uiPriority w:val="99"/>
    <w:unhideWhenUsed/>
    <w:rsid w:val="005B030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761871"/>
    <w:rPr>
      <w:i/>
      <w:iCs/>
    </w:rPr>
  </w:style>
  <w:style w:type="character" w:customStyle="1" w:styleId="cit-auth">
    <w:name w:val="cit-auth"/>
    <w:basedOn w:val="DefaultParagraphFont"/>
    <w:rsid w:val="00EA0984"/>
  </w:style>
  <w:style w:type="character" w:customStyle="1" w:styleId="cit-name-surname">
    <w:name w:val="cit-name-surname"/>
    <w:basedOn w:val="DefaultParagraphFont"/>
    <w:rsid w:val="00EA0984"/>
  </w:style>
  <w:style w:type="character" w:customStyle="1" w:styleId="cit-name-given-names">
    <w:name w:val="cit-name-given-names"/>
    <w:basedOn w:val="DefaultParagraphFont"/>
    <w:rsid w:val="00EA0984"/>
  </w:style>
  <w:style w:type="character" w:customStyle="1" w:styleId="cit-etal">
    <w:name w:val="cit-etal"/>
    <w:basedOn w:val="DefaultParagraphFont"/>
    <w:rsid w:val="00EA0984"/>
  </w:style>
  <w:style w:type="character" w:styleId="HTMLCite">
    <w:name w:val="HTML Cite"/>
    <w:basedOn w:val="DefaultParagraphFont"/>
    <w:uiPriority w:val="99"/>
    <w:semiHidden/>
    <w:unhideWhenUsed/>
    <w:rsid w:val="00EA0984"/>
    <w:rPr>
      <w:i/>
      <w:iCs/>
    </w:rPr>
  </w:style>
  <w:style w:type="character" w:customStyle="1" w:styleId="cit-article-title">
    <w:name w:val="cit-article-title"/>
    <w:basedOn w:val="DefaultParagraphFont"/>
    <w:rsid w:val="00EA0984"/>
  </w:style>
  <w:style w:type="character" w:customStyle="1" w:styleId="cit-pub-date">
    <w:name w:val="cit-pub-date"/>
    <w:basedOn w:val="DefaultParagraphFont"/>
    <w:rsid w:val="00EA0984"/>
  </w:style>
  <w:style w:type="character" w:customStyle="1" w:styleId="cit-vol">
    <w:name w:val="cit-vol"/>
    <w:basedOn w:val="DefaultParagraphFont"/>
    <w:rsid w:val="00EA0984"/>
  </w:style>
  <w:style w:type="character" w:customStyle="1" w:styleId="cit-fpage">
    <w:name w:val="cit-fpage"/>
    <w:basedOn w:val="DefaultParagraphFont"/>
    <w:rsid w:val="00EA0984"/>
  </w:style>
  <w:style w:type="character" w:customStyle="1" w:styleId="cit-lpage">
    <w:name w:val="cit-lpage"/>
    <w:basedOn w:val="DefaultParagraphFont"/>
    <w:rsid w:val="00EA0984"/>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B1AD6"/>
    <w:rPr>
      <w:b/>
      <w:bCs/>
    </w:rPr>
  </w:style>
  <w:style w:type="character" w:customStyle="1" w:styleId="CommentSubjectChar">
    <w:name w:val="Comment Subject Char"/>
    <w:basedOn w:val="CommentTextChar"/>
    <w:link w:val="CommentSubject"/>
    <w:uiPriority w:val="99"/>
    <w:semiHidden/>
    <w:rsid w:val="008B1AD6"/>
    <w:rPr>
      <w:b/>
      <w:bCs/>
      <w:sz w:val="20"/>
      <w:szCs w:val="20"/>
    </w:rPr>
  </w:style>
  <w:style w:type="character" w:customStyle="1" w:styleId="Heading3Char">
    <w:name w:val="Heading 3 Char"/>
    <w:basedOn w:val="DefaultParagraphFont"/>
    <w:link w:val="Heading3"/>
    <w:uiPriority w:val="9"/>
    <w:rsid w:val="00213E92"/>
    <w:rPr>
      <w:rFonts w:asciiTheme="majorHAnsi" w:eastAsiaTheme="majorEastAsia" w:hAnsiTheme="majorHAnsi" w:cstheme="majorBidi"/>
      <w:b/>
      <w:bCs/>
      <w:color w:val="4F81BD" w:themeColor="accent1"/>
    </w:rPr>
  </w:style>
  <w:style w:type="paragraph" w:styleId="NoSpacing">
    <w:name w:val="No Spacing"/>
    <w:link w:val="NoSpacingChar"/>
    <w:uiPriority w:val="1"/>
    <w:qFormat/>
    <w:rsid w:val="0093162F"/>
    <w:pPr>
      <w:spacing w:after="0" w:line="240" w:lineRule="auto"/>
    </w:pPr>
  </w:style>
  <w:style w:type="paragraph" w:customStyle="1" w:styleId="BodyTextNum">
    <w:name w:val="~BodyTextNum"/>
    <w:basedOn w:val="Normal"/>
    <w:qFormat/>
    <w:rsid w:val="006205A3"/>
    <w:pPr>
      <w:tabs>
        <w:tab w:val="num" w:pos="851"/>
      </w:tabs>
      <w:spacing w:before="120" w:after="120" w:line="240" w:lineRule="auto"/>
      <w:ind w:left="851" w:hanging="851"/>
    </w:pPr>
    <w:rPr>
      <w:color w:val="000000" w:themeColor="text1"/>
      <w:sz w:val="24"/>
      <w:szCs w:val="24"/>
    </w:rPr>
  </w:style>
  <w:style w:type="character" w:customStyle="1" w:styleId="NoSpacingChar">
    <w:name w:val="No Spacing Char"/>
    <w:basedOn w:val="DefaultParagraphFont"/>
    <w:link w:val="NoSpacing"/>
    <w:uiPriority w:val="1"/>
    <w:rsid w:val="007A048D"/>
  </w:style>
  <w:style w:type="table" w:styleId="TableGrid">
    <w:name w:val="Table Grid"/>
    <w:basedOn w:val="TableNormal"/>
    <w:uiPriority w:val="59"/>
    <w:unhideWhenUsed/>
    <w:rsid w:val="00292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D4B8C"/>
    <w:pPr>
      <w:spacing w:after="0" w:line="240" w:lineRule="auto"/>
    </w:pPr>
  </w:style>
  <w:style w:type="paragraph" w:styleId="TOCHeading">
    <w:name w:val="TOC Heading"/>
    <w:basedOn w:val="Heading1"/>
    <w:next w:val="Normal"/>
    <w:uiPriority w:val="39"/>
    <w:unhideWhenUsed/>
    <w:qFormat/>
    <w:rsid w:val="0014608C"/>
    <w:pPr>
      <w:spacing w:before="240" w:line="259" w:lineRule="auto"/>
      <w:outlineLvl w:val="9"/>
    </w:pPr>
    <w:rPr>
      <w:b w:val="0"/>
      <w:bCs w:val="0"/>
      <w:sz w:val="32"/>
      <w:szCs w:val="32"/>
      <w:lang w:val="en-US"/>
    </w:rPr>
  </w:style>
  <w:style w:type="paragraph" w:styleId="TOC1">
    <w:name w:val="toc 1"/>
    <w:basedOn w:val="Normal"/>
    <w:next w:val="Normal"/>
    <w:autoRedefine/>
    <w:uiPriority w:val="39"/>
    <w:unhideWhenUsed/>
    <w:rsid w:val="0014608C"/>
    <w:pPr>
      <w:spacing w:after="100"/>
    </w:pPr>
  </w:style>
  <w:style w:type="character" w:styleId="UnresolvedMention">
    <w:name w:val="Unresolved Mention"/>
    <w:basedOn w:val="DefaultParagraphFont"/>
    <w:uiPriority w:val="99"/>
    <w:semiHidden/>
    <w:unhideWhenUsed/>
    <w:rsid w:val="00B32A0F"/>
    <w:rPr>
      <w:color w:val="605E5C"/>
      <w:shd w:val="clear" w:color="auto" w:fill="E1DFDD"/>
    </w:rPr>
  </w:style>
  <w:style w:type="paragraph" w:styleId="TOC2">
    <w:name w:val="toc 2"/>
    <w:basedOn w:val="Normal"/>
    <w:next w:val="Normal"/>
    <w:autoRedefine/>
    <w:uiPriority w:val="39"/>
    <w:unhideWhenUsed/>
    <w:rsid w:val="00EC295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65049">
      <w:bodyDiv w:val="1"/>
      <w:marLeft w:val="0"/>
      <w:marRight w:val="0"/>
      <w:marTop w:val="0"/>
      <w:marBottom w:val="0"/>
      <w:divBdr>
        <w:top w:val="none" w:sz="0" w:space="0" w:color="auto"/>
        <w:left w:val="none" w:sz="0" w:space="0" w:color="auto"/>
        <w:bottom w:val="none" w:sz="0" w:space="0" w:color="auto"/>
        <w:right w:val="none" w:sz="0" w:space="0" w:color="auto"/>
      </w:divBdr>
    </w:div>
    <w:div w:id="169683002">
      <w:bodyDiv w:val="1"/>
      <w:marLeft w:val="0"/>
      <w:marRight w:val="0"/>
      <w:marTop w:val="0"/>
      <w:marBottom w:val="0"/>
      <w:divBdr>
        <w:top w:val="none" w:sz="0" w:space="0" w:color="auto"/>
        <w:left w:val="none" w:sz="0" w:space="0" w:color="auto"/>
        <w:bottom w:val="none" w:sz="0" w:space="0" w:color="auto"/>
        <w:right w:val="none" w:sz="0" w:space="0" w:color="auto"/>
      </w:divBdr>
    </w:div>
    <w:div w:id="447822566">
      <w:bodyDiv w:val="1"/>
      <w:marLeft w:val="0"/>
      <w:marRight w:val="0"/>
      <w:marTop w:val="0"/>
      <w:marBottom w:val="0"/>
      <w:divBdr>
        <w:top w:val="none" w:sz="0" w:space="0" w:color="auto"/>
        <w:left w:val="none" w:sz="0" w:space="0" w:color="auto"/>
        <w:bottom w:val="none" w:sz="0" w:space="0" w:color="auto"/>
        <w:right w:val="none" w:sz="0" w:space="0" w:color="auto"/>
      </w:divBdr>
    </w:div>
    <w:div w:id="593897110">
      <w:bodyDiv w:val="1"/>
      <w:marLeft w:val="0"/>
      <w:marRight w:val="0"/>
      <w:marTop w:val="0"/>
      <w:marBottom w:val="0"/>
      <w:divBdr>
        <w:top w:val="none" w:sz="0" w:space="0" w:color="auto"/>
        <w:left w:val="none" w:sz="0" w:space="0" w:color="auto"/>
        <w:bottom w:val="none" w:sz="0" w:space="0" w:color="auto"/>
        <w:right w:val="none" w:sz="0" w:space="0" w:color="auto"/>
      </w:divBdr>
    </w:div>
    <w:div w:id="623970093">
      <w:bodyDiv w:val="1"/>
      <w:marLeft w:val="0"/>
      <w:marRight w:val="0"/>
      <w:marTop w:val="0"/>
      <w:marBottom w:val="0"/>
      <w:divBdr>
        <w:top w:val="none" w:sz="0" w:space="0" w:color="auto"/>
        <w:left w:val="none" w:sz="0" w:space="0" w:color="auto"/>
        <w:bottom w:val="none" w:sz="0" w:space="0" w:color="auto"/>
        <w:right w:val="none" w:sz="0" w:space="0" w:color="auto"/>
      </w:divBdr>
    </w:div>
    <w:div w:id="659037398">
      <w:bodyDiv w:val="1"/>
      <w:marLeft w:val="0"/>
      <w:marRight w:val="0"/>
      <w:marTop w:val="0"/>
      <w:marBottom w:val="0"/>
      <w:divBdr>
        <w:top w:val="none" w:sz="0" w:space="0" w:color="auto"/>
        <w:left w:val="none" w:sz="0" w:space="0" w:color="auto"/>
        <w:bottom w:val="none" w:sz="0" w:space="0" w:color="auto"/>
        <w:right w:val="none" w:sz="0" w:space="0" w:color="auto"/>
      </w:divBdr>
    </w:div>
    <w:div w:id="661472786">
      <w:bodyDiv w:val="1"/>
      <w:marLeft w:val="0"/>
      <w:marRight w:val="0"/>
      <w:marTop w:val="0"/>
      <w:marBottom w:val="0"/>
      <w:divBdr>
        <w:top w:val="none" w:sz="0" w:space="0" w:color="auto"/>
        <w:left w:val="none" w:sz="0" w:space="0" w:color="auto"/>
        <w:bottom w:val="none" w:sz="0" w:space="0" w:color="auto"/>
        <w:right w:val="none" w:sz="0" w:space="0" w:color="auto"/>
      </w:divBdr>
    </w:div>
    <w:div w:id="718364764">
      <w:bodyDiv w:val="1"/>
      <w:marLeft w:val="0"/>
      <w:marRight w:val="0"/>
      <w:marTop w:val="0"/>
      <w:marBottom w:val="0"/>
      <w:divBdr>
        <w:top w:val="none" w:sz="0" w:space="0" w:color="auto"/>
        <w:left w:val="none" w:sz="0" w:space="0" w:color="auto"/>
        <w:bottom w:val="none" w:sz="0" w:space="0" w:color="auto"/>
        <w:right w:val="none" w:sz="0" w:space="0" w:color="auto"/>
      </w:divBdr>
    </w:div>
    <w:div w:id="877359272">
      <w:bodyDiv w:val="1"/>
      <w:marLeft w:val="0"/>
      <w:marRight w:val="0"/>
      <w:marTop w:val="0"/>
      <w:marBottom w:val="0"/>
      <w:divBdr>
        <w:top w:val="none" w:sz="0" w:space="0" w:color="auto"/>
        <w:left w:val="none" w:sz="0" w:space="0" w:color="auto"/>
        <w:bottom w:val="none" w:sz="0" w:space="0" w:color="auto"/>
        <w:right w:val="none" w:sz="0" w:space="0" w:color="auto"/>
      </w:divBdr>
      <w:divsChild>
        <w:div w:id="241455798">
          <w:marLeft w:val="0"/>
          <w:marRight w:val="0"/>
          <w:marTop w:val="0"/>
          <w:marBottom w:val="0"/>
          <w:divBdr>
            <w:top w:val="none" w:sz="0" w:space="0" w:color="auto"/>
            <w:left w:val="none" w:sz="0" w:space="0" w:color="auto"/>
            <w:bottom w:val="none" w:sz="0" w:space="0" w:color="auto"/>
            <w:right w:val="none" w:sz="0" w:space="0" w:color="auto"/>
          </w:divBdr>
          <w:divsChild>
            <w:div w:id="901138617">
              <w:marLeft w:val="0"/>
              <w:marRight w:val="0"/>
              <w:marTop w:val="0"/>
              <w:marBottom w:val="0"/>
              <w:divBdr>
                <w:top w:val="none" w:sz="0" w:space="0" w:color="auto"/>
                <w:left w:val="none" w:sz="0" w:space="0" w:color="auto"/>
                <w:bottom w:val="none" w:sz="0" w:space="0" w:color="auto"/>
                <w:right w:val="none" w:sz="0" w:space="0" w:color="auto"/>
              </w:divBdr>
              <w:divsChild>
                <w:div w:id="589970311">
                  <w:marLeft w:val="0"/>
                  <w:marRight w:val="0"/>
                  <w:marTop w:val="0"/>
                  <w:marBottom w:val="0"/>
                  <w:divBdr>
                    <w:top w:val="none" w:sz="0" w:space="0" w:color="auto"/>
                    <w:left w:val="none" w:sz="0" w:space="0" w:color="auto"/>
                    <w:bottom w:val="none" w:sz="0" w:space="0" w:color="auto"/>
                    <w:right w:val="none" w:sz="0" w:space="0" w:color="auto"/>
                  </w:divBdr>
                  <w:divsChild>
                    <w:div w:id="1680620772">
                      <w:marLeft w:val="0"/>
                      <w:marRight w:val="0"/>
                      <w:marTop w:val="0"/>
                      <w:marBottom w:val="0"/>
                      <w:divBdr>
                        <w:top w:val="none" w:sz="0" w:space="0" w:color="auto"/>
                        <w:left w:val="none" w:sz="0" w:space="0" w:color="auto"/>
                        <w:bottom w:val="none" w:sz="0" w:space="0" w:color="auto"/>
                        <w:right w:val="none" w:sz="0" w:space="0" w:color="auto"/>
                      </w:divBdr>
                      <w:divsChild>
                        <w:div w:id="397096679">
                          <w:marLeft w:val="0"/>
                          <w:marRight w:val="0"/>
                          <w:marTop w:val="0"/>
                          <w:marBottom w:val="0"/>
                          <w:divBdr>
                            <w:top w:val="none" w:sz="0" w:space="0" w:color="auto"/>
                            <w:left w:val="none" w:sz="0" w:space="0" w:color="auto"/>
                            <w:bottom w:val="none" w:sz="0" w:space="0" w:color="auto"/>
                            <w:right w:val="none" w:sz="0" w:space="0" w:color="auto"/>
                          </w:divBdr>
                          <w:divsChild>
                            <w:div w:id="161553934">
                              <w:marLeft w:val="0"/>
                              <w:marRight w:val="0"/>
                              <w:marTop w:val="0"/>
                              <w:marBottom w:val="0"/>
                              <w:divBdr>
                                <w:top w:val="none" w:sz="0" w:space="0" w:color="auto"/>
                                <w:left w:val="none" w:sz="0" w:space="0" w:color="auto"/>
                                <w:bottom w:val="none" w:sz="0" w:space="0" w:color="auto"/>
                                <w:right w:val="none" w:sz="0" w:space="0" w:color="auto"/>
                              </w:divBdr>
                              <w:divsChild>
                                <w:div w:id="1120077594">
                                  <w:marLeft w:val="0"/>
                                  <w:marRight w:val="0"/>
                                  <w:marTop w:val="0"/>
                                  <w:marBottom w:val="0"/>
                                  <w:divBdr>
                                    <w:top w:val="none" w:sz="0" w:space="0" w:color="auto"/>
                                    <w:left w:val="none" w:sz="0" w:space="0" w:color="auto"/>
                                    <w:bottom w:val="none" w:sz="0" w:space="0" w:color="auto"/>
                                    <w:right w:val="none" w:sz="0" w:space="0" w:color="auto"/>
                                  </w:divBdr>
                                  <w:divsChild>
                                    <w:div w:id="1308778668">
                                      <w:marLeft w:val="0"/>
                                      <w:marRight w:val="0"/>
                                      <w:marTop w:val="0"/>
                                      <w:marBottom w:val="0"/>
                                      <w:divBdr>
                                        <w:top w:val="none" w:sz="0" w:space="0" w:color="auto"/>
                                        <w:left w:val="none" w:sz="0" w:space="0" w:color="auto"/>
                                        <w:bottom w:val="none" w:sz="0" w:space="0" w:color="auto"/>
                                        <w:right w:val="none" w:sz="0" w:space="0" w:color="auto"/>
                                      </w:divBdr>
                                      <w:divsChild>
                                        <w:div w:id="1066686302">
                                          <w:marLeft w:val="0"/>
                                          <w:marRight w:val="0"/>
                                          <w:marTop w:val="0"/>
                                          <w:marBottom w:val="0"/>
                                          <w:divBdr>
                                            <w:top w:val="none" w:sz="0" w:space="0" w:color="auto"/>
                                            <w:left w:val="none" w:sz="0" w:space="0" w:color="auto"/>
                                            <w:bottom w:val="none" w:sz="0" w:space="0" w:color="auto"/>
                                            <w:right w:val="none" w:sz="0" w:space="0" w:color="auto"/>
                                          </w:divBdr>
                                          <w:divsChild>
                                            <w:div w:id="806626235">
                                              <w:marLeft w:val="0"/>
                                              <w:marRight w:val="0"/>
                                              <w:marTop w:val="0"/>
                                              <w:marBottom w:val="0"/>
                                              <w:divBdr>
                                                <w:top w:val="none" w:sz="0" w:space="0" w:color="auto"/>
                                                <w:left w:val="none" w:sz="0" w:space="0" w:color="auto"/>
                                                <w:bottom w:val="none" w:sz="0" w:space="0" w:color="auto"/>
                                                <w:right w:val="none" w:sz="0" w:space="0" w:color="auto"/>
                                              </w:divBdr>
                                              <w:divsChild>
                                                <w:div w:id="1026910216">
                                                  <w:marLeft w:val="0"/>
                                                  <w:marRight w:val="0"/>
                                                  <w:marTop w:val="0"/>
                                                  <w:marBottom w:val="0"/>
                                                  <w:divBdr>
                                                    <w:top w:val="none" w:sz="0" w:space="0" w:color="auto"/>
                                                    <w:left w:val="none" w:sz="0" w:space="0" w:color="auto"/>
                                                    <w:bottom w:val="none" w:sz="0" w:space="0" w:color="auto"/>
                                                    <w:right w:val="none" w:sz="0" w:space="0" w:color="auto"/>
                                                  </w:divBdr>
                                                  <w:divsChild>
                                                    <w:div w:id="1397126424">
                                                      <w:marLeft w:val="0"/>
                                                      <w:marRight w:val="0"/>
                                                      <w:marTop w:val="0"/>
                                                      <w:marBottom w:val="0"/>
                                                      <w:divBdr>
                                                        <w:top w:val="none" w:sz="0" w:space="0" w:color="auto"/>
                                                        <w:left w:val="none" w:sz="0" w:space="0" w:color="auto"/>
                                                        <w:bottom w:val="none" w:sz="0" w:space="0" w:color="auto"/>
                                                        <w:right w:val="none" w:sz="0" w:space="0" w:color="auto"/>
                                                      </w:divBdr>
                                                      <w:divsChild>
                                                        <w:div w:id="1091121201">
                                                          <w:marLeft w:val="0"/>
                                                          <w:marRight w:val="0"/>
                                                          <w:marTop w:val="0"/>
                                                          <w:marBottom w:val="0"/>
                                                          <w:divBdr>
                                                            <w:top w:val="none" w:sz="0" w:space="0" w:color="auto"/>
                                                            <w:left w:val="none" w:sz="0" w:space="0" w:color="auto"/>
                                                            <w:bottom w:val="none" w:sz="0" w:space="0" w:color="auto"/>
                                                            <w:right w:val="none" w:sz="0" w:space="0" w:color="auto"/>
                                                          </w:divBdr>
                                                          <w:divsChild>
                                                            <w:div w:id="1383402195">
                                                              <w:marLeft w:val="0"/>
                                                              <w:marRight w:val="0"/>
                                                              <w:marTop w:val="0"/>
                                                              <w:marBottom w:val="0"/>
                                                              <w:divBdr>
                                                                <w:top w:val="none" w:sz="0" w:space="0" w:color="auto"/>
                                                                <w:left w:val="none" w:sz="0" w:space="0" w:color="auto"/>
                                                                <w:bottom w:val="none" w:sz="0" w:space="0" w:color="auto"/>
                                                                <w:right w:val="none" w:sz="0" w:space="0" w:color="auto"/>
                                                              </w:divBdr>
                                                              <w:divsChild>
                                                                <w:div w:id="145248671">
                                                                  <w:marLeft w:val="0"/>
                                                                  <w:marRight w:val="0"/>
                                                                  <w:marTop w:val="0"/>
                                                                  <w:marBottom w:val="0"/>
                                                                  <w:divBdr>
                                                                    <w:top w:val="none" w:sz="0" w:space="0" w:color="auto"/>
                                                                    <w:left w:val="none" w:sz="0" w:space="0" w:color="auto"/>
                                                                    <w:bottom w:val="none" w:sz="0" w:space="0" w:color="auto"/>
                                                                    <w:right w:val="none" w:sz="0" w:space="0" w:color="auto"/>
                                                                  </w:divBdr>
                                                                  <w:divsChild>
                                                                    <w:div w:id="2079866204">
                                                                      <w:marLeft w:val="0"/>
                                                                      <w:marRight w:val="0"/>
                                                                      <w:marTop w:val="0"/>
                                                                      <w:marBottom w:val="0"/>
                                                                      <w:divBdr>
                                                                        <w:top w:val="none" w:sz="0" w:space="0" w:color="auto"/>
                                                                        <w:left w:val="none" w:sz="0" w:space="0" w:color="auto"/>
                                                                        <w:bottom w:val="none" w:sz="0" w:space="0" w:color="auto"/>
                                                                        <w:right w:val="none" w:sz="0" w:space="0" w:color="auto"/>
                                                                      </w:divBdr>
                                                                      <w:divsChild>
                                                                        <w:div w:id="182762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4168832">
      <w:bodyDiv w:val="1"/>
      <w:marLeft w:val="0"/>
      <w:marRight w:val="0"/>
      <w:marTop w:val="0"/>
      <w:marBottom w:val="0"/>
      <w:divBdr>
        <w:top w:val="none" w:sz="0" w:space="0" w:color="auto"/>
        <w:left w:val="none" w:sz="0" w:space="0" w:color="auto"/>
        <w:bottom w:val="none" w:sz="0" w:space="0" w:color="auto"/>
        <w:right w:val="none" w:sz="0" w:space="0" w:color="auto"/>
      </w:divBdr>
    </w:div>
    <w:div w:id="962735201">
      <w:bodyDiv w:val="1"/>
      <w:marLeft w:val="0"/>
      <w:marRight w:val="0"/>
      <w:marTop w:val="0"/>
      <w:marBottom w:val="0"/>
      <w:divBdr>
        <w:top w:val="none" w:sz="0" w:space="0" w:color="auto"/>
        <w:left w:val="none" w:sz="0" w:space="0" w:color="auto"/>
        <w:bottom w:val="none" w:sz="0" w:space="0" w:color="auto"/>
        <w:right w:val="none" w:sz="0" w:space="0" w:color="auto"/>
      </w:divBdr>
    </w:div>
    <w:div w:id="1471315576">
      <w:bodyDiv w:val="1"/>
      <w:marLeft w:val="0"/>
      <w:marRight w:val="0"/>
      <w:marTop w:val="0"/>
      <w:marBottom w:val="0"/>
      <w:divBdr>
        <w:top w:val="none" w:sz="0" w:space="0" w:color="auto"/>
        <w:left w:val="none" w:sz="0" w:space="0" w:color="auto"/>
        <w:bottom w:val="none" w:sz="0" w:space="0" w:color="auto"/>
        <w:right w:val="none" w:sz="0" w:space="0" w:color="auto"/>
      </w:divBdr>
    </w:div>
    <w:div w:id="1500119075">
      <w:bodyDiv w:val="1"/>
      <w:marLeft w:val="0"/>
      <w:marRight w:val="0"/>
      <w:marTop w:val="0"/>
      <w:marBottom w:val="0"/>
      <w:divBdr>
        <w:top w:val="none" w:sz="0" w:space="0" w:color="auto"/>
        <w:left w:val="none" w:sz="0" w:space="0" w:color="auto"/>
        <w:bottom w:val="none" w:sz="0" w:space="0" w:color="auto"/>
        <w:right w:val="none" w:sz="0" w:space="0" w:color="auto"/>
      </w:divBdr>
    </w:div>
    <w:div w:id="1789853721">
      <w:bodyDiv w:val="1"/>
      <w:marLeft w:val="0"/>
      <w:marRight w:val="0"/>
      <w:marTop w:val="0"/>
      <w:marBottom w:val="0"/>
      <w:divBdr>
        <w:top w:val="none" w:sz="0" w:space="0" w:color="auto"/>
        <w:left w:val="none" w:sz="0" w:space="0" w:color="auto"/>
        <w:bottom w:val="none" w:sz="0" w:space="0" w:color="auto"/>
        <w:right w:val="none" w:sz="0" w:space="0" w:color="auto"/>
      </w:divBdr>
    </w:div>
    <w:div w:id="1824350740">
      <w:bodyDiv w:val="1"/>
      <w:marLeft w:val="0"/>
      <w:marRight w:val="0"/>
      <w:marTop w:val="0"/>
      <w:marBottom w:val="0"/>
      <w:divBdr>
        <w:top w:val="none" w:sz="0" w:space="0" w:color="auto"/>
        <w:left w:val="none" w:sz="0" w:space="0" w:color="auto"/>
        <w:bottom w:val="none" w:sz="0" w:space="0" w:color="auto"/>
        <w:right w:val="none" w:sz="0" w:space="0" w:color="auto"/>
      </w:divBdr>
      <w:divsChild>
        <w:div w:id="1804615964">
          <w:marLeft w:val="0"/>
          <w:marRight w:val="0"/>
          <w:marTop w:val="0"/>
          <w:marBottom w:val="0"/>
          <w:divBdr>
            <w:top w:val="none" w:sz="0" w:space="0" w:color="auto"/>
            <w:left w:val="none" w:sz="0" w:space="0" w:color="auto"/>
            <w:bottom w:val="none" w:sz="0" w:space="0" w:color="auto"/>
            <w:right w:val="none" w:sz="0" w:space="0" w:color="auto"/>
          </w:divBdr>
        </w:div>
      </w:divsChild>
    </w:div>
    <w:div w:id="188921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olicy@stevenage.gov.uk"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equalities@stevenage.gov.uk" TargetMode="External"/><Relationship Id="rId19" Type="http://schemas.microsoft.com/office/2020/10/relationships/intelligence" Target="intelligence2.xml"/><Relationship Id="rId4" Type="http://schemas.openxmlformats.org/officeDocument/2006/relationships/styles" Target="styles.xml"/><Relationship Id="rId9" Type="http://schemas.openxmlformats.org/officeDocument/2006/relationships/hyperlink" Target="https://www.stevenage.gov.uk/about-the-council/access-to-information/data-protection-act"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5625E8D7484AC18CEF3B31C47858D7"/>
        <w:category>
          <w:name w:val="General"/>
          <w:gallery w:val="placeholder"/>
        </w:category>
        <w:types>
          <w:type w:val="bbPlcHdr"/>
        </w:types>
        <w:behaviors>
          <w:behavior w:val="content"/>
        </w:behaviors>
        <w:guid w:val="{D10F684C-FC78-4FF7-897E-83028AE35AC6}"/>
      </w:docPartPr>
      <w:docPartBody>
        <w:p w:rsidR="00B76022" w:rsidRDefault="00B10846" w:rsidP="00B10846">
          <w:pPr>
            <w:pStyle w:val="CD5625E8D7484AC18CEF3B31C47858D7"/>
          </w:pPr>
          <w:r>
            <w:rPr>
              <w:color w:val="0F4761" w:themeColor="accent1" w:themeShade="BF"/>
              <w:sz w:val="24"/>
              <w:szCs w:val="24"/>
            </w:rPr>
            <w:t>[Company name]</w:t>
          </w:r>
        </w:p>
      </w:docPartBody>
    </w:docPart>
    <w:docPart>
      <w:docPartPr>
        <w:name w:val="0434096570534F48AED2C8F385CEABEA"/>
        <w:category>
          <w:name w:val="General"/>
          <w:gallery w:val="placeholder"/>
        </w:category>
        <w:types>
          <w:type w:val="bbPlcHdr"/>
        </w:types>
        <w:behaviors>
          <w:behavior w:val="content"/>
        </w:behaviors>
        <w:guid w:val="{17D2B840-A8D4-4B6A-9E40-FA986C3E629D}"/>
      </w:docPartPr>
      <w:docPartBody>
        <w:p w:rsidR="00B76022" w:rsidRDefault="00B10846" w:rsidP="00B10846">
          <w:pPr>
            <w:pStyle w:val="0434096570534F48AED2C8F385CEABEA"/>
          </w:pPr>
          <w:r>
            <w:rPr>
              <w:rFonts w:asciiTheme="majorHAnsi" w:eastAsiaTheme="majorEastAsia" w:hAnsiTheme="majorHAnsi" w:cstheme="majorBidi"/>
              <w:color w:val="156082" w:themeColor="accent1"/>
              <w:sz w:val="88"/>
              <w:szCs w:val="88"/>
            </w:rPr>
            <w:t>[Document title]</w:t>
          </w:r>
        </w:p>
      </w:docPartBody>
    </w:docPart>
    <w:docPart>
      <w:docPartPr>
        <w:name w:val="C88BE25F1A6A4ABE937FDF2FAA6D6CCF"/>
        <w:category>
          <w:name w:val="General"/>
          <w:gallery w:val="placeholder"/>
        </w:category>
        <w:types>
          <w:type w:val="bbPlcHdr"/>
        </w:types>
        <w:behaviors>
          <w:behavior w:val="content"/>
        </w:behaviors>
        <w:guid w:val="{97938F0D-3770-499C-A077-294564FBEB9D}"/>
      </w:docPartPr>
      <w:docPartBody>
        <w:p w:rsidR="00B76022" w:rsidRDefault="00B10846" w:rsidP="00B10846">
          <w:pPr>
            <w:pStyle w:val="C88BE25F1A6A4ABE937FDF2FAA6D6CCF"/>
          </w:pPr>
          <w:r>
            <w:rPr>
              <w:color w:val="0F4761"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Variable">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46"/>
    <w:rsid w:val="002429B9"/>
    <w:rsid w:val="00B10846"/>
    <w:rsid w:val="00B76022"/>
    <w:rsid w:val="00BB15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5625E8D7484AC18CEF3B31C47858D7">
    <w:name w:val="CD5625E8D7484AC18CEF3B31C47858D7"/>
    <w:rsid w:val="00B10846"/>
  </w:style>
  <w:style w:type="paragraph" w:customStyle="1" w:styleId="0434096570534F48AED2C8F385CEABEA">
    <w:name w:val="0434096570534F48AED2C8F385CEABEA"/>
    <w:rsid w:val="00B10846"/>
  </w:style>
  <w:style w:type="paragraph" w:customStyle="1" w:styleId="C88BE25F1A6A4ABE937FDF2FAA6D6CCF">
    <w:name w:val="C88BE25F1A6A4ABE937FDF2FAA6D6CCF"/>
    <w:rsid w:val="00B108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9A2108-F5D2-4968-B70F-C91E21D00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LGR Enterprise Architecture Operating Model Strategy</vt:lpstr>
    </vt:vector>
  </TitlesOfParts>
  <Company>Stevenage Borough Council</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LGR Enterprise Architecture Operating Model Strategy</dc:title>
  <dc:subject>2026 - 2030</dc:subject>
  <dc:creator>Adam Staples</dc:creator>
  <cp:lastModifiedBy>Charlotte Bott</cp:lastModifiedBy>
  <cp:revision>12</cp:revision>
  <dcterms:created xsi:type="dcterms:W3CDTF">2024-02-14T11:07:00Z</dcterms:created>
  <dcterms:modified xsi:type="dcterms:W3CDTF">2025-06-10T12:44:00Z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c79f5ae-e7d0-4c5b-be32-58d6e7fbce41_Enabled">
    <vt:lpwstr>true</vt:lpwstr>
  </property>
  <property fmtid="{D5CDD505-2E9C-101B-9397-08002B2CF9AE}" pid="3" name="MSIP_Label_7c79f5ae-e7d0-4c5b-be32-58d6e7fbce41_SetDate">
    <vt:lpwstr>2022-01-04T18:00:05Z</vt:lpwstr>
  </property>
  <property fmtid="{D5CDD505-2E9C-101B-9397-08002B2CF9AE}" pid="4" name="MSIP_Label_7c79f5ae-e7d0-4c5b-be32-58d6e7fbce41_Method">
    <vt:lpwstr>Privileged</vt:lpwstr>
  </property>
  <property fmtid="{D5CDD505-2E9C-101B-9397-08002B2CF9AE}" pid="5" name="MSIP_Label_7c79f5ae-e7d0-4c5b-be32-58d6e7fbce41_Name">
    <vt:lpwstr>Unclassified</vt:lpwstr>
  </property>
  <property fmtid="{D5CDD505-2E9C-101B-9397-08002B2CF9AE}" pid="6" name="MSIP_Label_7c79f5ae-e7d0-4c5b-be32-58d6e7fbce41_SiteId">
    <vt:lpwstr>671b555f-1b74-4a87-a174-b37d2b179b24</vt:lpwstr>
  </property>
  <property fmtid="{D5CDD505-2E9C-101B-9397-08002B2CF9AE}" pid="7" name="MSIP_Label_7c79f5ae-e7d0-4c5b-be32-58d6e7fbce41_ActionId">
    <vt:lpwstr>7fc0a9e6-d418-43d1-b6c8-900271c2fa08</vt:lpwstr>
  </property>
  <property fmtid="{D5CDD505-2E9C-101B-9397-08002B2CF9AE}" pid="8" name="MSIP_Label_7c79f5ae-e7d0-4c5b-be32-58d6e7fbce41_ContentBits">
    <vt:lpwstr>0</vt:lpwstr>
  </property>
</Properties>
</file>