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584C"/>
          <w:sz w:val="32"/>
        </w:rPr>
        <w:t>Stevenage Borough Council</w:t>
      </w:r>
    </w:p>
    <w:p>
      <w:pPr>
        <w:jc w:val="center"/>
      </w:pPr>
      <w:r>
        <w:rPr>
          <w:rFonts w:ascii="Arial" w:hAnsi="Arial"/>
          <w:b/>
          <w:color w:val="00584C"/>
          <w:sz w:val="44"/>
        </w:rPr>
        <w:t>LGR Service Cluster Model</w:t>
        <w:br/>
        <w:t>County-Level Service Inclusion Summary</w:t>
      </w:r>
    </w:p>
    <w:p>
      <w:pPr>
        <w:jc w:val="center"/>
      </w:pPr>
      <w:r>
        <w:rPr>
          <w:rFonts w:ascii="Arial" w:hAnsi="Arial"/>
          <w:color w:val="555555"/>
          <w:sz w:val="24"/>
        </w:rPr>
        <w:t>Supporting Appendix B – Service Cluster Model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BC6"/>
          <w:left w:val="single" w:sz="6" w:space="0" w:color="B6CBC6"/>
          <w:bottom w:val="single" w:sz="6" w:space="0" w:color="B6CBC6"/>
          <w:right w:val="single" w:sz="6" w:space="0" w:color="B6CBC6"/>
          <w:insideH w:val="single" w:sz="6" w:space="0" w:color="B6CBC6"/>
          <w:insideV w:val="single" w:sz="6" w:space="0" w:color="B6CBC6"/>
        </w:tblBorders>
      </w:tblPr>
      <w:tblGrid>
        <w:gridCol w:w="5100"/>
        <w:gridCol w:w="5100"/>
      </w:tblGrid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Date created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June 2026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Approved by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Executive Director – Transformation &amp; Digital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Owner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Head of Enterprise Architecture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Version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1.0 Draft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Author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Adam Staples, Head of Enterprise Architecture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Business Unit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Transformation &amp; Digital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Strategy Review Date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June 2027</w:t>
            </w:r>
          </w:p>
        </w:tc>
      </w:tr>
      <w:tr>
        <w:tc>
          <w:tcPr>
            <w:tcW w:type="dxa" w:w="5100"/>
            <w:shd w:fill="DBEFEB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00584C"/>
                <w:sz w:val="18"/>
              </w:rPr>
              <w:t>Equality Impact Assessment Completed</w:t>
            </w:r>
          </w:p>
        </w:tc>
        <w:tc>
          <w:tcPr>
            <w:tcW w:type="dxa" w:w="5100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8"/>
              </w:rPr>
              <w:t>To be confirmed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This summary document brings together the Appendix B county-level service inclusion report and the visual service-cluster model. It shows how county responsibilities can be absorbed into the same five-cluster architecture model rather than treated as a separate LGR workstream.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The model keeps the resident front door first, then connects people services, place-based services, corporate enabling services and shared technology, data and AI foundations. It is designed to help four Enterprise Architects work as a supportive team across Business, Data, Application &amp; Digital, and Technology &amp; Security Architecture.</w:t>
      </w:r>
    </w:p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The document is intended for senior leaders, programme teams and service representatives who need a clear summary of how county-level services fit into the proposed Appendix B model.</w:t>
      </w:r>
    </w:p>
    <w:p>
      <w:pPr>
        <w:pStyle w:val="Heading1"/>
      </w:pPr>
      <w:r>
        <w:t>2. Purpose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The purpose of this document is to provide a concise reference pack for the Appendix B service-cluster model, with particular focus on the inclusion of county-level services as part of Local Government Reorganisation.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summarise the five service clusters;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show which county-level services should be included in each cluster;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illustrate how the four architecture domains support every cluster;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identify the main implications for service discovery, data, applications, technology, governance and transition planning.</w:t>
      </w:r>
    </w:p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This helps avoid separate county and district design silos. LGR should be treated as one future operating model, not as a mechanical joining of existing organisations.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3. Visual Model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The visual below shows the five service clusters, the district/borough services, the county-level additions, the four Enterprise Architecture domains and the governance spine.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875520" cy="7900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R_Service_Cluster_Model_County_Level_Services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790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The visual is deliberately structured from resident access through to operational services, enabling services and shared foundations. It demonstrates that county-level services strengthen the existing model rather than require a separate architecture model.</w:t>
      </w:r>
    </w:p>
    <w:p>
      <w:pPr>
        <w:sectPr>
          <w:type w:val="nextColumn"/>
          <w:pgSz w:w="15840" w:h="12240" w:orient="landscape"/>
          <w:pgMar w:top="567" w:right="567" w:bottom="567" w:left="567" w:header="720" w:footer="720" w:gutter="0"/>
          <w:cols w:space="720"/>
          <w:docGrid w:linePitch="360"/>
        </w:sectPr>
      </w:pPr>
    </w:p>
    <w:p>
      <w:pPr>
        <w:pStyle w:val="Heading1"/>
      </w:pPr>
      <w:r>
        <w:t>4. Expanded Service Cluster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BC6"/>
          <w:left w:val="single" w:sz="6" w:space="0" w:color="B6CBC6"/>
          <w:bottom w:val="single" w:sz="6" w:space="0" w:color="B6CBC6"/>
          <w:right w:val="single" w:sz="6" w:space="0" w:color="B6CBC6"/>
          <w:insideH w:val="single" w:sz="6" w:space="0" w:color="B6CBC6"/>
          <w:insideV w:val="single" w:sz="6" w:space="0" w:color="B6CBC6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381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Service Cluster</w:t>
            </w:r>
          </w:p>
        </w:tc>
        <w:tc>
          <w:tcPr>
            <w:tcW w:type="dxa" w:w="2835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District / Borough Services</w:t>
            </w:r>
          </w:p>
        </w:tc>
        <w:tc>
          <w:tcPr>
            <w:tcW w:type="dxa" w:w="2835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County-Level Additions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Customer, Access and Resident Experience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Customer Services, contact centre, website, CRM, complaints, FOI, assisted digital.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Adult care first contact, children’s access routes, highways reporting, school admissions, Blue Badge, registration bookings.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Community, Housing and People Services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Housing, homelessness, repairs, community safety, anti-social behaviour, wellbeing.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Adult social care, children’s social care, SEND, public health, libraries, youth services.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Place, Environment and Regulatory Services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Planning, building control, waste collection, environmental health, licensing, parking.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Highways, transport planning, street lighting, waste disposal, flood risk, trading standards.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Corporate and Enabling Services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HR, Finance, Payroll, Procurement, Legal, Democratic Services.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County finance, county HR and payroll, commissioning, pensions interfaces, audit and insurance, contract management.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Technology, Data, AI and Shared Platforms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Identity, cyber, M365, ERP, data platform, integration.</w:t>
            </w:r>
          </w:p>
        </w:tc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Care systems, education systems, highways systems, GIS platforms, public health data, county networks.</w:t>
            </w:r>
          </w:p>
        </w:tc>
      </w:tr>
    </w:tbl>
    <w:p/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This table is the core summary of the report. It retains the original Appendix B structure and expands each cluster with the relevant county-level services that would need to be considered in a future unitary model.</w:t>
      </w:r>
    </w:p>
    <w:p>
      <w:pPr>
        <w:pStyle w:val="Heading1"/>
      </w:pPr>
      <w:r>
        <w:t>5. Key Architecture Implications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BC6"/>
          <w:left w:val="single" w:sz="6" w:space="0" w:color="B6CBC6"/>
          <w:bottom w:val="single" w:sz="6" w:space="0" w:color="B6CBC6"/>
          <w:right w:val="single" w:sz="6" w:space="0" w:color="B6CBC6"/>
          <w:insideH w:val="single" w:sz="6" w:space="0" w:color="B6CBC6"/>
          <w:insideV w:val="single" w:sz="6" w:space="0" w:color="B6CBC6"/>
        </w:tblBorders>
      </w:tblPr>
      <w:tblGrid>
        <w:gridCol w:w="5100"/>
        <w:gridCol w:w="5100"/>
      </w:tblGrid>
      <w:tr>
        <w:tc>
          <w:tcPr>
            <w:tcW w:type="dxa" w:w="2835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Architecture Domain</w:t>
            </w:r>
          </w:p>
        </w:tc>
        <w:tc>
          <w:tcPr>
            <w:tcW w:type="dxa" w:w="5953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Implication of County-Level Services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Business Architecture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Expand the service value chain to include adult care, children’s services, education, highways, public health, libraries and county corporate functions.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Data Architecture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Account for sensitive care data, children and family data, education data, highways asset data, public health data, GIS and statutory reporting.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Application &amp; Digital Architecture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Map specialist systems for care, education, highways, libraries, fire interfaces, trading standards, ERP and county-wide case management.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Technology &amp; Security Architecture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Assess larger-scale identity, cyber, cloud, network, device, field-working, resilience and secure collaboration requirements.</w:t>
            </w:r>
          </w:p>
        </w:tc>
      </w:tr>
    </w:tbl>
    <w:p/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County-level services expand both the breadth and risk profile of the architecture work. This reinforces the need for a collaborative four-architect model rather than single-person ownership of complex service areas.</w:t>
      </w:r>
    </w:p>
    <w:p>
      <w:pPr>
        <w:pStyle w:val="Heading1"/>
      </w:pPr>
      <w:r>
        <w:t>6. Priority Areas for Discovery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BC6"/>
          <w:left w:val="single" w:sz="6" w:space="0" w:color="B6CBC6"/>
          <w:bottom w:val="single" w:sz="6" w:space="0" w:color="B6CBC6"/>
          <w:right w:val="single" w:sz="6" w:space="0" w:color="B6CBC6"/>
          <w:insideH w:val="single" w:sz="6" w:space="0" w:color="B6CBC6"/>
          <w:insideV w:val="single" w:sz="6" w:space="0" w:color="B6CBC6"/>
        </w:tblBorders>
      </w:tblPr>
      <w:tblGrid>
        <w:gridCol w:w="5100"/>
        <w:gridCol w:w="5100"/>
      </w:tblGrid>
      <w:tr>
        <w:tc>
          <w:tcPr>
            <w:tcW w:type="dxa" w:w="2551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Priority Area</w:t>
            </w:r>
          </w:p>
        </w:tc>
        <w:tc>
          <w:tcPr>
            <w:tcW w:type="dxa" w:w="6236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Discovery Focus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Customer and access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Understand future front-door routing for adult care, children’s services, highways, admissions, Blue Badge and registration services.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People services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Prioritise discovery of adult social care, children’s social care, SEND, public health, libraries and youth services because of statutory and safeguarding impact.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Place services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Map highways, transport planning, waste disposal, flood risk, trading standards and GIS dependencies alongside district place services.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Corporate services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Confirm HR, payroll, finance, legal, procurement, democratic governance, audit and pensions dependencies required for vesting day.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Shared platforms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Identify county systems, identity platforms, data platforms, reporting, integrations, cyber controls and network dependencies.</w:t>
            </w:r>
          </w:p>
        </w:tc>
      </w:tr>
    </w:tbl>
    <w:p/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Discovery should start with the highest-risk and highest-dependency services. In LGR this means statutory people services, core corporate services and shared technical foundations.</w:t>
      </w:r>
    </w:p>
    <w:p>
      <w:pPr>
        <w:pStyle w:val="Heading1"/>
      </w:pPr>
      <w:r>
        <w:t>7. Recommended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6CBC6"/>
          <w:left w:val="single" w:sz="6" w:space="0" w:color="B6CBC6"/>
          <w:bottom w:val="single" w:sz="6" w:space="0" w:color="B6CBC6"/>
          <w:right w:val="single" w:sz="6" w:space="0" w:color="B6CBC6"/>
          <w:insideH w:val="single" w:sz="6" w:space="0" w:color="B6CBC6"/>
          <w:insideV w:val="single" w:sz="6" w:space="0" w:color="B6CBC6"/>
        </w:tblBorders>
      </w:tblPr>
      <w:tblGrid>
        <w:gridCol w:w="3400"/>
        <w:gridCol w:w="3400"/>
        <w:gridCol w:w="3400"/>
      </w:tblGrid>
      <w:tr>
        <w:tc>
          <w:tcPr>
            <w:tcW w:type="dxa" w:w="567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953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268"/>
            <w:shd w:fill="00584C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Validate the expanded service-cluster model with LGR programme leads and service representatives.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Head of Enterprise Architecture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Use the visual model in senior leadership and service-cluster workshops.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Head of EA / Business Architect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Create service discovery packs for adult social care, children’s services, SEND, highways, public health and corporate services.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Business Architect and Data Architect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Develop a county-level application and data dependency map.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Application &amp; Digital Architect and Data Architect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Assess shared identity, cyber, infrastructure, GIS, data platform and integration dependencies.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Technology &amp; Security Architect</w:t>
            </w:r>
          </w:p>
        </w:tc>
      </w:tr>
      <w:tr>
        <w:tc>
          <w:tcPr>
            <w:tcW w:type="dxa" w:w="567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5953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Update the LGR architecture roadmap to include county-level transition milestones.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7"/>
              </w:rPr>
              <w:t>Head of Enterprise Architecture</w:t>
            </w:r>
          </w:p>
        </w:tc>
      </w:tr>
    </w:tbl>
    <w:p/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The next steps focus on validation before detailed design. County-level services carry statutory, safeguarding, operational and technical complexity, so assumptions should be tested with service experts.</w:t>
      </w:r>
    </w:p>
    <w:p>
      <w:pPr>
        <w:pStyle w:val="Heading1"/>
      </w:pPr>
      <w:r>
        <w:t>8. Conclusion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The Appendix B service-cluster model remains suitable for LGR when county-level services are added. The model provides a coherent structure for bringing together district, borough and county functions around resident journeys, statutory services, corporate enabling capabilities and shared digital foundations.</w:t>
      </w:r>
    </w:p>
    <w:p>
      <w:pPr>
        <w:spacing w:after="120" w:line="259" w:lineRule="auto"/>
      </w:pPr>
      <w:r>
        <w:rPr>
          <w:rFonts w:ascii="Arial" w:hAnsi="Arial" w:eastAsia="Arial"/>
          <w:b w:val="0"/>
          <w:i w:val="0"/>
          <w:sz w:val="21"/>
        </w:rPr>
        <w:t>The key principle is that county-level services should not be designed as a separate architecture layer. They should be absorbed into the same five service clusters, with each cluster supported by all four architecture domains.</w:t>
      </w:r>
    </w:p>
    <w:p>
      <w:pPr>
        <w:spacing w:before="40" w:after="160"/>
        <w:ind w:left="170" w:right="170"/>
      </w:pPr>
      <w:r>
        <w:rPr>
          <w:rFonts w:ascii="Arial" w:hAnsi="Arial" w:eastAsia="Arial"/>
          <w:i/>
          <w:color w:val="505A58"/>
          <w:sz w:val="19"/>
        </w:rPr>
        <w:t>Thinking and justification: This creates one practical, resident-led service architecture that can support future operating model design, transition planning and architecture governance.</w:t>
      </w:r>
    </w:p>
    <w:p>
      <w:pPr>
        <w:pStyle w:val="Heading1"/>
      </w:pPr>
      <w:r>
        <w:t>9. References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Stevenage Borough Council Enterprise Architecture and Artificial Intelligence Strategy 2026–2030 – internal draft.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Appendix B – Service Cluster Model – draft architecture appendix.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Hertfordshire County Council services: https://www.hertfordshire.gov.uk/services/our-services.aspx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MHCLG Local Government Reorganisation policy and programme updates: https://www.gov.uk/government/collections/local-government-reorganisation-policy-and-programme-updates</w:t>
      </w:r>
    </w:p>
    <w:p>
      <w:pPr>
        <w:spacing w:after="80"/>
        <w:ind w:left="283" w:hanging="170"/>
      </w:pPr>
      <w:r>
        <w:rPr>
          <w:rFonts w:ascii="Arial" w:hAnsi="Arial"/>
          <w:sz w:val="21"/>
        </w:rPr>
        <w:t xml:space="preserve">• </w:t>
      </w:r>
      <w:r>
        <w:rPr>
          <w:rFonts w:ascii="Arial" w:hAnsi="Arial"/>
          <w:sz w:val="21"/>
        </w:rPr>
        <w:t>GDS Technology in Government Blog – Publishing a common architectural model for local government: https://technology.blog.gov.uk/2026/04/14/publishing-a-common-architectural-model-for-local-government/</w:t>
      </w:r>
    </w:p>
    <w:sectPr w:rsidR="00FC693F" w:rsidRPr="0006063C" w:rsidSect="00034616">
      <w:type w:val="continuous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55555"/>
        <w:sz w:val="16"/>
      </w:rPr>
      <w:t>LGR Service Cluster Model – County-Level Service Inclusion Summary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584C"/>
        <w:sz w:val="18"/>
      </w:rPr>
      <w:t>Stevenage Borough Council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8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8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58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584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