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Adam </w:t>
            </w:r>
            <w:proofErr w:type="spellStart"/>
            <w:r>
              <w:rPr>
                <w:rFonts w:cs="Times New Roman"/>
                <w:i/>
                <w:iCs/>
              </w:rPr>
              <w:t>Krizar</w:t>
            </w:r>
            <w:proofErr w:type="spellEnd"/>
            <w:r>
              <w:rPr>
                <w:rFonts w:cs="Times New Roman"/>
                <w:i/>
                <w:iCs/>
              </w:rPr>
              <w:t xml:space="preserve">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6EE375CF" w14:textId="77777777" w:rsidR="0035447D" w:rsidRDefault="0035447D" w:rsidP="00111617">
      <w:pPr>
        <w:ind w:left="6096"/>
        <w:jc w:val="left"/>
      </w:pPr>
    </w:p>
    <w:p w14:paraId="057DF88F" w14:textId="2934EFE2" w:rsidR="00086A16" w:rsidRDefault="00594363" w:rsidP="00B52B94">
      <w:pPr>
        <w:ind w:left="6521"/>
        <w:jc w:val="left"/>
      </w:pPr>
      <w:r>
        <w:t>Sprawdziła:</w:t>
      </w:r>
      <w:r w:rsidR="00111617">
        <w:t xml:space="preserve"> Katarzyna Czajkowska</w:t>
      </w:r>
      <w:r>
        <w:br/>
        <w:t>Zatwierdził:</w:t>
      </w:r>
      <w:r w:rsidR="00D61FEE">
        <w:t xml:space="preserve"> Mateusz </w:t>
      </w:r>
      <w:proofErr w:type="spellStart"/>
      <w:r w:rsidR="00D61FEE">
        <w:t>Gurski</w:t>
      </w:r>
      <w:proofErr w:type="spellEnd"/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DBF2C23" w14:textId="310C0974" w:rsidR="001C1F5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903" w:history="1">
            <w:r w:rsidR="001C1F52" w:rsidRPr="00EF22DB">
              <w:rPr>
                <w:rStyle w:val="Hipercze"/>
                <w:noProof/>
              </w:rPr>
              <w:t>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Organizacja pracy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A0D1A19" w14:textId="2E5B7CE6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4" w:history="1">
            <w:r w:rsidR="001C1F52" w:rsidRPr="00EF22DB">
              <w:rPr>
                <w:rStyle w:val="Hipercze"/>
                <w:noProof/>
              </w:rPr>
              <w:t>1.1.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Zarządzanie projektem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3AF13B1" w14:textId="2E22E8E4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5" w:history="1">
            <w:r w:rsidR="001C1F52" w:rsidRPr="00EF22DB">
              <w:rPr>
                <w:rStyle w:val="Hipercze"/>
                <w:noProof/>
              </w:rPr>
              <w:t>1.2.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Aplikacja desktopowa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E932247" w14:textId="3E666492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6" w:history="1">
            <w:r w:rsidR="001C1F52" w:rsidRPr="00EF22DB">
              <w:rPr>
                <w:rStyle w:val="Hipercze"/>
                <w:noProof/>
              </w:rPr>
              <w:t>1.3.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Backend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D96C161" w14:textId="37B903BD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7" w:history="1">
            <w:r w:rsidR="001C1F52" w:rsidRPr="00EF22DB">
              <w:rPr>
                <w:rStyle w:val="Hipercze"/>
                <w:noProof/>
              </w:rPr>
              <w:t>1.4.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Zbieranie informacji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8579EF" w14:textId="333116DC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8" w:history="1">
            <w:r w:rsidR="001C1F52" w:rsidRPr="00EF22DB">
              <w:rPr>
                <w:rStyle w:val="Hipercze"/>
                <w:noProof/>
              </w:rPr>
              <w:t>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Wymagania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AA39B8B" w14:textId="3848BB7E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9" w:history="1">
            <w:r w:rsidR="001C1F52" w:rsidRPr="00EF22DB">
              <w:rPr>
                <w:rStyle w:val="Hipercze"/>
                <w:noProof/>
                <w:lang w:eastAsia="pl-PL"/>
              </w:rPr>
              <w:t>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  <w:lang w:eastAsia="pl-PL"/>
              </w:rPr>
              <w:t>Założenia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192F58A" w14:textId="48D20A9E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0" w:history="1">
            <w:r w:rsidR="001C1F52" w:rsidRPr="00EF22DB">
              <w:rPr>
                <w:rStyle w:val="Hipercze"/>
                <w:noProof/>
              </w:rPr>
              <w:t>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Opis zadania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4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DE2AB5D" w14:textId="02314F28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1" w:history="1">
            <w:r w:rsidR="001C1F52" w:rsidRPr="00EF22DB">
              <w:rPr>
                <w:rStyle w:val="Hipercze"/>
                <w:noProof/>
              </w:rPr>
              <w:t>5.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Środowisko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D4EEC4" w14:textId="46DF7945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2" w:history="1">
            <w:r w:rsidR="001C1F52" w:rsidRPr="00EF22DB">
              <w:rPr>
                <w:rStyle w:val="Hipercze"/>
                <w:noProof/>
              </w:rPr>
              <w:t>5.1.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Instalacyjne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2D8C932" w14:textId="6EB93E5E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3" w:history="1">
            <w:r w:rsidR="001C1F52" w:rsidRPr="00EF22DB">
              <w:rPr>
                <w:rStyle w:val="Hipercze"/>
                <w:noProof/>
              </w:rPr>
              <w:t>5.2.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Programistyczne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1AB3D89" w14:textId="07A46BFD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4" w:history="1">
            <w:r w:rsidR="001C1F52" w:rsidRPr="00EF22DB">
              <w:rPr>
                <w:rStyle w:val="Hipercze"/>
                <w:noProof/>
              </w:rPr>
              <w:t>6.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Sprzęt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164775A" w14:textId="79F24D8C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5" w:history="1">
            <w:r w:rsidR="001C1F52" w:rsidRPr="00EF22DB">
              <w:rPr>
                <w:rStyle w:val="Hipercze"/>
                <w:noProof/>
              </w:rPr>
              <w:t>6.1.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Jednostki centralne (Mikrokontrolery)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6439595" w14:textId="77F65012" w:rsidR="001C1F52" w:rsidRDefault="00007A4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ESP82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9CE3F76" w14:textId="15BEE215" w:rsidR="001C1F52" w:rsidRDefault="00007A4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Mikrontroler Arduino Uno/Nano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8654C89" w14:textId="5CCCAFD3" w:rsidR="001C1F52" w:rsidRDefault="00007A4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8" w:history="1">
            <w:r w:rsidR="001C1F52" w:rsidRPr="00EF22DB">
              <w:rPr>
                <w:rStyle w:val="Hipercze"/>
                <w:noProof/>
              </w:rPr>
              <w:t>6.2.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Czujniki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136063A" w14:textId="47D31E86" w:rsidR="001C1F52" w:rsidRDefault="00007A4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9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Czujnik DHT11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099AC78" w14:textId="649CF9C2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0" w:history="1">
            <w:r w:rsidR="001C1F52" w:rsidRPr="00EF22DB">
              <w:rPr>
                <w:rStyle w:val="Hipercze"/>
                <w:noProof/>
              </w:rPr>
              <w:t>7.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Kosztorys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7A69CA" w14:textId="469244D4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1" w:history="1">
            <w:r w:rsidR="001C1F52" w:rsidRPr="00EF22DB">
              <w:rPr>
                <w:rStyle w:val="Hipercze"/>
                <w:noProof/>
              </w:rPr>
              <w:t>8.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Plan realizacji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3916F7" w14:textId="628ABF71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2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Pierwszy punkt kontrolny [19.03]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32DE80" w14:textId="6D72C57B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3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Drugi punkt kontrolny [02.04]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48E73AB" w14:textId="116E8835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4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Trzeci punkt kontrolny [23.04]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7F8568B" w14:textId="0B226E7C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5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Instalacja [07.05]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1CE0CC" w14:textId="45A397F0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Testy użytkownika [21.05]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E8C4D4" w14:textId="7779599F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Oddanie projektu do użytku [04.06]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D3E73C" w14:textId="20FFFE04" w:rsidR="001C1F52" w:rsidRDefault="00007A4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8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Prezentacja naszych osiągnięć [10.06]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75ACA0E" w14:textId="50551FB7" w:rsidR="001C1F52" w:rsidRDefault="00007A4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9" w:history="1">
            <w:r w:rsidR="001C1F52" w:rsidRPr="00EF22DB">
              <w:rPr>
                <w:rStyle w:val="Hipercze"/>
                <w:noProof/>
              </w:rPr>
              <w:t>9.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Źródła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9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66DE987" w14:textId="61064C1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924903"/>
      <w:r>
        <w:lastRenderedPageBreak/>
        <w:t>Organizacja pracy</w:t>
      </w:r>
      <w:bookmarkEnd w:id="0"/>
    </w:p>
    <w:p w14:paraId="06FE5134" w14:textId="11A93843" w:rsidR="00541403" w:rsidRPr="00541403" w:rsidRDefault="00541403" w:rsidP="00541403">
      <w:r>
        <w:t xml:space="preserve">Autor Adam </w:t>
      </w:r>
      <w:proofErr w:type="spellStart"/>
      <w:r>
        <w:t>Krizar</w:t>
      </w:r>
      <w:proofErr w:type="spellEnd"/>
    </w:p>
    <w:p w14:paraId="2F757483" w14:textId="2A8519F7" w:rsidR="00E013E3" w:rsidRPr="00E013E3" w:rsidRDefault="00DB4235" w:rsidP="00B52B94">
      <w:pPr>
        <w:pStyle w:val="Nagwek2"/>
        <w:numPr>
          <w:ilvl w:val="1"/>
          <w:numId w:val="3"/>
        </w:numPr>
        <w:ind w:left="709"/>
      </w:pPr>
      <w:bookmarkStart w:id="1" w:name="_Toc34924904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 xml:space="preserve">projektem: Adam </w:t>
      </w:r>
      <w:proofErr w:type="spellStart"/>
      <w:r w:rsidR="002B7567">
        <w:t>Krizar</w:t>
      </w:r>
      <w:proofErr w:type="spellEnd"/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 xml:space="preserve">eusz </w:t>
      </w:r>
      <w:proofErr w:type="spellStart"/>
      <w:r w:rsidR="00A10331">
        <w:t>Gurski</w:t>
      </w:r>
      <w:proofErr w:type="spellEnd"/>
    </w:p>
    <w:p w14:paraId="55F53A80" w14:textId="07F4F815" w:rsidR="00012359" w:rsidRDefault="00012359" w:rsidP="00B52B94">
      <w:pPr>
        <w:pStyle w:val="Nagwek2"/>
        <w:numPr>
          <w:ilvl w:val="1"/>
          <w:numId w:val="3"/>
        </w:numPr>
        <w:ind w:left="709"/>
      </w:pPr>
      <w:bookmarkStart w:id="2" w:name="_Toc34924905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 xml:space="preserve">opracowanie portu na system Windows: Adam </w:t>
      </w:r>
      <w:proofErr w:type="spellStart"/>
      <w:r w:rsidR="000054CC">
        <w:t>Krizar</w:t>
      </w:r>
      <w:proofErr w:type="spellEnd"/>
      <w:r w:rsidR="000054CC">
        <w:t>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 xml:space="preserve">protokołu HTTP: Mateusz </w:t>
      </w:r>
      <w:proofErr w:type="spellStart"/>
      <w:r w:rsidR="0087261B">
        <w:t>Gurski</w:t>
      </w:r>
      <w:proofErr w:type="spellEnd"/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 xml:space="preserve">QTT: Adam </w:t>
      </w:r>
      <w:proofErr w:type="spellStart"/>
      <w:r w:rsidR="003A035A">
        <w:t>Krizar</w:t>
      </w:r>
      <w:proofErr w:type="spellEnd"/>
      <w:r w:rsidR="003A035A">
        <w:t>, Katarzyna Czajkowska</w:t>
      </w:r>
    </w:p>
    <w:p w14:paraId="4735A232" w14:textId="4C9A95C0" w:rsidR="00442049" w:rsidRDefault="00442049" w:rsidP="00B52B94">
      <w:pPr>
        <w:pStyle w:val="Nagwek2"/>
        <w:numPr>
          <w:ilvl w:val="1"/>
          <w:numId w:val="3"/>
        </w:numPr>
        <w:ind w:left="709"/>
      </w:pPr>
      <w:bookmarkStart w:id="3" w:name="_Toc34924906"/>
      <w:proofErr w:type="spellStart"/>
      <w:r>
        <w:t>Backend</w:t>
      </w:r>
      <w:bookmarkEnd w:id="3"/>
      <w:proofErr w:type="spellEnd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proofErr w:type="spellStart"/>
      <w:r w:rsidR="00A54CAA">
        <w:t>IoT</w:t>
      </w:r>
      <w:proofErr w:type="spellEnd"/>
      <w:r w:rsidR="00A54CAA">
        <w:t xml:space="preserve">: </w:t>
      </w:r>
      <w:r w:rsidR="005412A2">
        <w:t>Mateusz</w:t>
      </w:r>
      <w:r w:rsidR="00A54CAA">
        <w:t xml:space="preserve"> </w:t>
      </w:r>
      <w:proofErr w:type="spellStart"/>
      <w:r w:rsidR="00A54CAA">
        <w:t>Gurski</w:t>
      </w:r>
      <w:proofErr w:type="spellEnd"/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 xml:space="preserve">, listy urządzeń oraz odczyt tych plików):  Adam </w:t>
      </w:r>
      <w:proofErr w:type="spellStart"/>
      <w:r w:rsidR="005811BF">
        <w:t>Krizar</w:t>
      </w:r>
      <w:proofErr w:type="spellEnd"/>
      <w:r w:rsidR="005811BF">
        <w:t>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 xml:space="preserve">, Mateusz </w:t>
      </w:r>
      <w:proofErr w:type="spellStart"/>
      <w:r w:rsidR="00A60FFF">
        <w:t>Gurski</w:t>
      </w:r>
      <w:proofErr w:type="spellEnd"/>
    </w:p>
    <w:p w14:paraId="04A36A5A" w14:textId="72DD925F" w:rsidR="00C07A08" w:rsidRPr="00C07A08" w:rsidRDefault="000A4304" w:rsidP="00B52B94">
      <w:pPr>
        <w:pStyle w:val="Nagwek2"/>
        <w:numPr>
          <w:ilvl w:val="1"/>
          <w:numId w:val="3"/>
        </w:numPr>
        <w:ind w:left="709"/>
      </w:pPr>
      <w:bookmarkStart w:id="4" w:name="_Toc34924907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 xml:space="preserve">protokołu MQTT: Adam </w:t>
      </w:r>
      <w:proofErr w:type="spellStart"/>
      <w:r w:rsidR="00EE2EE7">
        <w:t>Krizar</w:t>
      </w:r>
      <w:proofErr w:type="spellEnd"/>
      <w:r w:rsidR="00EE2EE7">
        <w:t>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 xml:space="preserve">/urządzeń </w:t>
      </w:r>
      <w:proofErr w:type="spellStart"/>
      <w:r w:rsidR="002D0215">
        <w:t>IoT</w:t>
      </w:r>
      <w:proofErr w:type="spellEnd"/>
      <w:r w:rsidR="002D0215">
        <w:t xml:space="preserve">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proofErr w:type="spellStart"/>
      <w:r w:rsidR="001810E7">
        <w:t>IoT</w:t>
      </w:r>
      <w:proofErr w:type="spellEnd"/>
      <w:r w:rsidR="001810E7">
        <w:t>: Szymon Cichy, Arkadiusz Cichy</w:t>
      </w:r>
    </w:p>
    <w:p w14:paraId="5C1C5898" w14:textId="06B27281" w:rsidR="00F67B82" w:rsidRDefault="002A468E" w:rsidP="00CC2208">
      <w:pPr>
        <w:pStyle w:val="Nagwek1"/>
        <w:numPr>
          <w:ilvl w:val="0"/>
          <w:numId w:val="1"/>
        </w:numPr>
        <w:ind w:left="426" w:hanging="426"/>
      </w:pPr>
      <w:bookmarkStart w:id="5" w:name="_Toc34924908"/>
      <w:r>
        <w:t>W</w:t>
      </w:r>
      <w:r w:rsidR="00371516">
        <w:t>ymagania</w:t>
      </w:r>
      <w:bookmarkEnd w:id="5"/>
    </w:p>
    <w:p w14:paraId="65EAA458" w14:textId="1830761E" w:rsidR="00465783" w:rsidRDefault="002A468E" w:rsidP="00054081">
      <w:pPr>
        <w:tabs>
          <w:tab w:val="left" w:pos="960"/>
        </w:tabs>
      </w:pPr>
      <w:r>
        <w:t xml:space="preserve">Autor Adam </w:t>
      </w:r>
      <w:proofErr w:type="spellStart"/>
      <w:r>
        <w:t>Krizar</w:t>
      </w:r>
      <w:proofErr w:type="spellEnd"/>
      <w:r w:rsidR="00054081">
        <w:tab/>
      </w:r>
    </w:p>
    <w:p w14:paraId="131C0F35" w14:textId="39A8ACC1" w:rsidR="002A468E" w:rsidRDefault="002A468E" w:rsidP="00F67B82">
      <w:r>
        <w:t xml:space="preserve">Poniższe wymagania są w przedstawione w sposób niezmieniony od zgłoszonego przez firmę </w:t>
      </w:r>
      <w:proofErr w:type="spellStart"/>
      <w:r>
        <w:t>InterElecom</w:t>
      </w:r>
      <w:proofErr w:type="spellEnd"/>
      <w:r>
        <w:t xml:space="preserve">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  <w:r w:rsidR="00FE3A56" w:rsidRPr="00FE3A56">
        <w:rPr>
          <w:rStyle w:val="Hipercze"/>
          <w:color w:val="auto"/>
          <w:u w:val="none"/>
        </w:rPr>
        <w:t>.</w:t>
      </w:r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</w:t>
      </w:r>
      <w:proofErr w:type="spellStart"/>
      <w:r w:rsidR="00E93592">
        <w:t>IoT</w:t>
      </w:r>
      <w:proofErr w:type="spellEnd"/>
      <w:r w:rsidR="00E93592">
        <w:t>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12F016E8" w14:textId="21B59055" w:rsidR="002A468E" w:rsidRDefault="002A468E" w:rsidP="002A468E">
      <w:pPr>
        <w:pStyle w:val="Nagwek1"/>
        <w:numPr>
          <w:ilvl w:val="0"/>
          <w:numId w:val="1"/>
        </w:numPr>
        <w:ind w:left="426"/>
        <w:rPr>
          <w:lang w:eastAsia="pl-PL"/>
        </w:rPr>
      </w:pPr>
      <w:bookmarkStart w:id="6" w:name="_Toc34924909"/>
      <w:r>
        <w:rPr>
          <w:lang w:eastAsia="pl-PL"/>
        </w:rPr>
        <w:t>Założenia</w:t>
      </w:r>
      <w:bookmarkEnd w:id="6"/>
    </w:p>
    <w:p w14:paraId="5692709E" w14:textId="77777777" w:rsidR="00064019" w:rsidRDefault="002A468E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 xml:space="preserve">Autor Adam </w:t>
      </w:r>
      <w:proofErr w:type="spellStart"/>
      <w:r>
        <w:rPr>
          <w:rFonts w:eastAsia="Times New Roman" w:cs="Times New Roman"/>
          <w:color w:val="auto"/>
          <w:lang w:eastAsia="pl-PL"/>
        </w:rPr>
        <w:t>Krizar</w:t>
      </w:r>
      <w:proofErr w:type="spellEnd"/>
    </w:p>
    <w:p w14:paraId="33AFB707" w14:textId="607A8022" w:rsidR="006D4591" w:rsidRPr="00AA7896" w:rsidRDefault="00365038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18D30D63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365038">
        <w:t xml:space="preserve">Dla systemu </w:t>
      </w:r>
      <w:proofErr w:type="spellStart"/>
      <w:r w:rsidR="00365038">
        <w:t>Linux</w:t>
      </w:r>
      <w:r w:rsidR="00CB43DC">
        <w:t>fuc</w:t>
      </w:r>
      <w:proofErr w:type="spellEnd"/>
      <w:r w:rsidR="00365038">
        <w:t xml:space="preserve"> oraz w mobilnej wersji dla systemu </w:t>
      </w:r>
      <w:r w:rsidR="00680D6F">
        <w:t>A</w:t>
      </w:r>
      <w:r w:rsidR="00365038">
        <w:t>ndroid</w:t>
      </w:r>
    </w:p>
    <w:p w14:paraId="0540C88E" w14:textId="6CAE808D" w:rsidR="001A2A9B" w:rsidRDefault="001A2A9B" w:rsidP="00F67B82">
      <w:r>
        <w:t>- Wykorzystanie biblioteki QT w najnowszej wersji (</w:t>
      </w:r>
      <w:r w:rsidR="00045090">
        <w:t xml:space="preserve">5.14) </w:t>
      </w:r>
      <w:r>
        <w:t>oraz języka C++</w:t>
      </w:r>
    </w:p>
    <w:p w14:paraId="6AD65E13" w14:textId="73D986E5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</w:t>
      </w:r>
      <w:proofErr w:type="spellStart"/>
      <w:r w:rsidR="005C191B">
        <w:t>IoT</w:t>
      </w:r>
      <w:proofErr w:type="spellEnd"/>
      <w:r w:rsidR="005C191B">
        <w:t xml:space="preserve">: </w:t>
      </w:r>
      <w:r w:rsidR="00B1312C">
        <w:t>HTTP</w:t>
      </w:r>
      <w:r w:rsidR="005C191B">
        <w:t xml:space="preserve"> oraz MQTT. </w:t>
      </w:r>
    </w:p>
    <w:p w14:paraId="7B18FA4C" w14:textId="5E36F027" w:rsidR="0048462D" w:rsidRDefault="0048462D" w:rsidP="00F67B82">
      <w:r>
        <w:t>- Obsługa czujników w sieci lokalnej (LAN)</w:t>
      </w:r>
    </w:p>
    <w:p w14:paraId="7CA7F8B5" w14:textId="39C0555C" w:rsidR="0048462D" w:rsidRDefault="0048462D" w:rsidP="00F67B82">
      <w:r>
        <w:t xml:space="preserve">- Obsługa do 80 urządzeń </w:t>
      </w:r>
      <w:proofErr w:type="spellStart"/>
      <w:r>
        <w:t>IoT</w:t>
      </w:r>
      <w:proofErr w:type="spellEnd"/>
      <w:r>
        <w:t xml:space="preserve"> naraz. </w:t>
      </w:r>
      <w:r w:rsidRPr="001624A3">
        <w:rPr>
          <w:u w:val="single"/>
        </w:rPr>
        <w:t>Wymaga odpowiedniego routera</w:t>
      </w:r>
      <w:r>
        <w:t xml:space="preserve">!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7E79BFB8" w14:textId="5ECDF9BD" w:rsidR="00B01735" w:rsidRDefault="00B01735" w:rsidP="00F67B82">
      <w:r>
        <w:t xml:space="preserve">- </w:t>
      </w:r>
      <w:r w:rsidR="00365038">
        <w:t>Zaimplementowanie menu pomocy z instrukcją obsługi aplikacji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 xml:space="preserve">: Zmiana adresu IP urządzenia </w:t>
      </w:r>
      <w:proofErr w:type="spellStart"/>
      <w:r w:rsidR="00271032">
        <w:t>IoT</w:t>
      </w:r>
      <w:proofErr w:type="spellEnd"/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7FE90B5A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924910"/>
      <w:r>
        <w:t>Opis zadania</w:t>
      </w:r>
      <w:bookmarkEnd w:id="7"/>
    </w:p>
    <w:p w14:paraId="599B62BA" w14:textId="4E37A6BF" w:rsidR="006E2298" w:rsidRDefault="006E2298" w:rsidP="006E2298"/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 xml:space="preserve">komunikacji z urządzeniami </w:t>
      </w:r>
      <w:proofErr w:type="spellStart"/>
      <w:r w:rsidR="009F32CF">
        <w:t>IoT</w:t>
      </w:r>
      <w:proofErr w:type="spellEnd"/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 xml:space="preserve">Aplikacja pozwalać będzie na wyświetlanie danych z czujników podłączonych do urządzeń </w:t>
      </w:r>
      <w:proofErr w:type="spellStart"/>
      <w:r>
        <w:t>IoT</w:t>
      </w:r>
      <w:proofErr w:type="spellEnd"/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</w:t>
      </w:r>
      <w:proofErr w:type="spellStart"/>
      <w:r w:rsidR="00654FE5">
        <w:t>IoT</w:t>
      </w:r>
      <w:proofErr w:type="spellEnd"/>
      <w:r w:rsidR="00654FE5">
        <w:t xml:space="preserve">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</w:t>
      </w:r>
      <w:proofErr w:type="spellStart"/>
      <w:r w:rsidR="008B28BE">
        <w:t>IoT</w:t>
      </w:r>
      <w:proofErr w:type="spellEnd"/>
      <w:r w:rsidR="008B28BE">
        <w:t xml:space="preserve">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 xml:space="preserve">urządzenie </w:t>
      </w:r>
      <w:proofErr w:type="spellStart"/>
      <w:r w:rsidR="000D4D99">
        <w:t>IoT</w:t>
      </w:r>
      <w:proofErr w:type="spellEnd"/>
      <w:r w:rsidR="000D4D99">
        <w:t xml:space="preserve">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2A3D640D" w:rsidR="00C426F9" w:rsidRDefault="00C426F9" w:rsidP="009D15C8">
      <w:pPr>
        <w:jc w:val="center"/>
      </w:pPr>
    </w:p>
    <w:p w14:paraId="30D55E83" w14:textId="5EA3A475" w:rsidR="009D15C8" w:rsidRDefault="009D15C8" w:rsidP="009D15C8">
      <w:pPr>
        <w:jc w:val="center"/>
      </w:pPr>
    </w:p>
    <w:p w14:paraId="048139A1" w14:textId="52DDAE5E" w:rsidR="009D15C8" w:rsidRDefault="009D15C8" w:rsidP="009D15C8">
      <w:pPr>
        <w:jc w:val="center"/>
      </w:pPr>
    </w:p>
    <w:p w14:paraId="6F8D0AE7" w14:textId="535253D2" w:rsidR="009D15C8" w:rsidRDefault="009D15C8" w:rsidP="009D15C8">
      <w:pPr>
        <w:jc w:val="center"/>
      </w:pPr>
    </w:p>
    <w:p w14:paraId="07A9C0FF" w14:textId="14F48389" w:rsidR="009D15C8" w:rsidRDefault="009D15C8" w:rsidP="009D15C8">
      <w:pPr>
        <w:jc w:val="center"/>
      </w:pPr>
    </w:p>
    <w:p w14:paraId="3326D1AB" w14:textId="306EB9C1" w:rsidR="009D15C8" w:rsidRDefault="009D15C8" w:rsidP="009D15C8">
      <w:pPr>
        <w:jc w:val="center"/>
      </w:pPr>
    </w:p>
    <w:p w14:paraId="039E3E72" w14:textId="16FE2C29" w:rsidR="009D15C8" w:rsidRDefault="009D15C8" w:rsidP="009D15C8">
      <w:pPr>
        <w:jc w:val="center"/>
      </w:pPr>
    </w:p>
    <w:p w14:paraId="1AC852B1" w14:textId="3D8476CC" w:rsidR="0064277A" w:rsidRDefault="0064277A" w:rsidP="009D15C8">
      <w:pPr>
        <w:jc w:val="center"/>
      </w:pPr>
    </w:p>
    <w:p w14:paraId="669E44D9" w14:textId="4D65B025" w:rsidR="0064277A" w:rsidRDefault="00FA1503" w:rsidP="009D15C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7802357C" wp14:editId="5123622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6275" cy="4581525"/>
            <wp:effectExtent l="0" t="0" r="9525" b="952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05A56" w14:textId="3DFA14E9" w:rsidR="00034813" w:rsidRDefault="00034813" w:rsidP="00D15D26">
      <w:pPr>
        <w:jc w:val="left"/>
      </w:pPr>
    </w:p>
    <w:p w14:paraId="47290671" w14:textId="77777777" w:rsidR="00F070B5" w:rsidRDefault="00FA1503" w:rsidP="00D15D26">
      <w:pPr>
        <w:jc w:val="left"/>
        <w:sectPr w:rsidR="00F070B5" w:rsidSect="006079FB">
          <w:pgSz w:w="11906" w:h="16838"/>
          <w:pgMar w:top="1083" w:right="1077" w:bottom="1083" w:left="1077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92" behindDoc="1" locked="0" layoutInCell="1" allowOverlap="1" wp14:anchorId="2DE9F6D8" wp14:editId="1C0049A6">
            <wp:simplePos x="0" y="0"/>
            <wp:positionH relativeFrom="margin">
              <wp:align>center</wp:align>
            </wp:positionH>
            <wp:positionV relativeFrom="paragraph">
              <wp:posOffset>4744085</wp:posOffset>
            </wp:positionV>
            <wp:extent cx="5343525" cy="372427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7AFCAD28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6C7F5F" w:rsidRPr="00080722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6C7F5F" w:rsidRPr="00080722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408FCF99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CB188AB" w:rsidR="006C7F5F" w:rsidRPr="004767AC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070B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CB188AB" w:rsidR="006C7F5F" w:rsidRPr="004767AC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070B5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7A">
        <w:br w:type="page"/>
      </w:r>
    </w:p>
    <w:p w14:paraId="29205794" w14:textId="77777777" w:rsidR="00F070B5" w:rsidRDefault="00F070B5" w:rsidP="00F07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6A481A" wp14:editId="43787D57">
            <wp:extent cx="8867775" cy="55322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14" cy="55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8FA6" w14:textId="257A4E55" w:rsidR="00F070B5" w:rsidRDefault="00F070B5" w:rsidP="00F070B5">
      <w:pPr>
        <w:pStyle w:val="Legenda"/>
        <w:jc w:val="center"/>
      </w:pPr>
      <w:r>
        <w:t>Rysunek 3.. Ogólny schemat projektowanego systemu</w:t>
      </w:r>
    </w:p>
    <w:p w14:paraId="19BFDC32" w14:textId="4EB8F874" w:rsidR="00F070B5" w:rsidRDefault="00F070B5" w:rsidP="00F070B5">
      <w:pPr>
        <w:jc w:val="center"/>
        <w:sectPr w:rsidR="00F070B5" w:rsidSect="00F070B5">
          <w:pgSz w:w="16838" w:h="11906" w:orient="landscape"/>
          <w:pgMar w:top="1077" w:right="1083" w:bottom="1077" w:left="1083" w:header="709" w:footer="709" w:gutter="0"/>
          <w:cols w:space="708"/>
          <w:docGrid w:linePitch="360"/>
        </w:sectPr>
      </w:pPr>
      <w:r>
        <w:br w:type="page"/>
      </w:r>
    </w:p>
    <w:p w14:paraId="0174501A" w14:textId="6631A626" w:rsidR="00F070B5" w:rsidRDefault="00F070B5" w:rsidP="00D15D26">
      <w:pPr>
        <w:jc w:val="left"/>
      </w:pP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8" w:name="_Toc34924911"/>
      <w:r>
        <w:t>Środowisko</w:t>
      </w:r>
      <w:bookmarkEnd w:id="8"/>
    </w:p>
    <w:p w14:paraId="718B04A7" w14:textId="059FFB0B" w:rsidR="002E2FB3" w:rsidRDefault="00D45426" w:rsidP="002E2FB3">
      <w:r>
        <w:t>Autor: Szymon Cichy</w:t>
      </w:r>
    </w:p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9" w:name="_Toc34924912"/>
      <w:r>
        <w:t>Instalacyjne</w:t>
      </w:r>
      <w:bookmarkEnd w:id="9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9483805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0" w:name="_Toc34924913"/>
      <w:r>
        <w:t>Programistyczne</w:t>
      </w:r>
      <w:bookmarkEnd w:id="10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1" w:name="_Toc34924914"/>
      <w:r>
        <w:t>Sprzęt</w:t>
      </w:r>
      <w:bookmarkEnd w:id="11"/>
    </w:p>
    <w:p w14:paraId="7847F65F" w14:textId="46A5764A" w:rsidR="0035447D" w:rsidRDefault="0035447D" w:rsidP="0035447D">
      <w:r>
        <w:t xml:space="preserve">Autor: Adam </w:t>
      </w:r>
      <w:proofErr w:type="spellStart"/>
      <w:r>
        <w:t>Krizar</w:t>
      </w:r>
      <w:proofErr w:type="spellEnd"/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2" w:name="_Toc34924915"/>
      <w:r>
        <w:t>Jednostki centralne (Mikrokontrolery)</w:t>
      </w:r>
      <w:bookmarkEnd w:id="12"/>
    </w:p>
    <w:p w14:paraId="1332F74F" w14:textId="7CBFFE54" w:rsidR="002E3372" w:rsidRPr="002E3372" w:rsidRDefault="002E3372" w:rsidP="002E3372">
      <w:pPr>
        <w:pStyle w:val="Nagwek3"/>
      </w:pPr>
      <w:bookmarkStart w:id="13" w:name="_Toc34924916"/>
      <w:r>
        <w:t>ESP82</w:t>
      </w:r>
      <w:bookmarkEnd w:id="13"/>
      <w:r w:rsidR="00383E08">
        <w:t>66/ESP01</w:t>
      </w:r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lastRenderedPageBreak/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2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r>
        <w:t>ESP32</w:t>
      </w:r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t>- Koszt 38,79 zł</w:t>
      </w:r>
    </w:p>
    <w:p w14:paraId="38CBC9A2" w14:textId="69EEEA32" w:rsidR="007A6367" w:rsidRDefault="006A6FA5" w:rsidP="00F13C17">
      <w:pPr>
        <w:pStyle w:val="Nagwek3"/>
      </w:pPr>
      <w:bookmarkStart w:id="14" w:name="_Toc34924917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4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5" w:name="_Toc34924918"/>
      <w:r>
        <w:lastRenderedPageBreak/>
        <w:t>Czujniki</w:t>
      </w:r>
      <w:bookmarkEnd w:id="15"/>
    </w:p>
    <w:p w14:paraId="50F778AF" w14:textId="390D8EA5" w:rsidR="00F7234D" w:rsidRDefault="00F7234D" w:rsidP="00F13C17">
      <w:pPr>
        <w:pStyle w:val="Nagwek3"/>
      </w:pPr>
      <w:bookmarkStart w:id="16" w:name="_Toc34924919"/>
      <w:r>
        <w:t xml:space="preserve">Czujnik </w:t>
      </w:r>
      <w:r w:rsidR="00694F51">
        <w:t>DHT11</w:t>
      </w:r>
      <w:bookmarkEnd w:id="16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7" w:name="_Toc34924920"/>
      <w:r>
        <w:t>Kosztorys</w:t>
      </w:r>
      <w:bookmarkEnd w:id="17"/>
    </w:p>
    <w:p w14:paraId="1E585D64" w14:textId="2296B688" w:rsidR="00AE551E" w:rsidRDefault="00F13C17" w:rsidP="00AE551E">
      <w:r>
        <w:t xml:space="preserve">Autor Adam </w:t>
      </w:r>
      <w:proofErr w:type="spellStart"/>
      <w:r>
        <w:t>Krizar</w:t>
      </w:r>
      <w:proofErr w:type="spellEnd"/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3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4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</w:t>
      </w:r>
      <w:bookmarkStart w:id="18" w:name="_GoBack"/>
      <w:bookmarkEnd w:id="18"/>
      <w:r>
        <w:t>ki wynosi odpowiednio:</w:t>
      </w:r>
    </w:p>
    <w:p w14:paraId="4AAD4D74" w14:textId="2AD0E2FB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9" w:name="_Toc34924921"/>
      <w:r>
        <w:t>Plan realizacji</w:t>
      </w:r>
      <w:bookmarkEnd w:id="19"/>
    </w:p>
    <w:p w14:paraId="7B82DFD8" w14:textId="2523E91C" w:rsidR="00FE4F8A" w:rsidRDefault="002E3372" w:rsidP="002E3372">
      <w:r>
        <w:t xml:space="preserve">Autor Adam </w:t>
      </w:r>
      <w:proofErr w:type="spellStart"/>
      <w:r>
        <w:t>Krizar</w:t>
      </w:r>
      <w:proofErr w:type="spellEnd"/>
    </w:p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0" w:name="_Toc3492492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0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1" w:name="_Toc34924923"/>
      <w:r>
        <w:t>Drugi punkt kontrolny</w:t>
      </w:r>
      <w:r w:rsidR="003C5BB1">
        <w:t xml:space="preserve"> [</w:t>
      </w:r>
      <w:r w:rsidR="00C06107">
        <w:t>02.04]</w:t>
      </w:r>
      <w:bookmarkEnd w:id="21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2" w:name="_Toc34924924"/>
      <w:r>
        <w:t>Trzeci punkt kontrolny</w:t>
      </w:r>
      <w:r w:rsidR="00C06107">
        <w:t xml:space="preserve"> [23.04</w:t>
      </w:r>
      <w:r w:rsidR="00C5689A">
        <w:t>]</w:t>
      </w:r>
      <w:bookmarkEnd w:id="22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4924925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4924926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492492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561339A3" w14:textId="19AD8494" w:rsidR="00722935" w:rsidRDefault="00722935" w:rsidP="001624A3">
      <w:pPr>
        <w:pStyle w:val="Nagwek2"/>
        <w:numPr>
          <w:ilvl w:val="1"/>
          <w:numId w:val="1"/>
        </w:numPr>
      </w:pPr>
      <w:bookmarkStart w:id="26" w:name="_Toc34924928"/>
      <w:r>
        <w:t>Prezentacja naszych osiągnięć</w:t>
      </w:r>
      <w:r w:rsidR="00066279">
        <w:t xml:space="preserve"> [10.06]</w:t>
      </w:r>
      <w:bookmarkEnd w:id="26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7" w:name="_Toc34924929"/>
      <w:r>
        <w:lastRenderedPageBreak/>
        <w:t>Źródła</w:t>
      </w:r>
      <w:bookmarkEnd w:id="27"/>
    </w:p>
    <w:p w14:paraId="2F6A7EB0" w14:textId="238AE448" w:rsidR="00FA78C5" w:rsidRDefault="00FA78C5" w:rsidP="00FA78C5"/>
    <w:p w14:paraId="5C91443E" w14:textId="5667484A" w:rsidR="0046164B" w:rsidRDefault="00007A4F" w:rsidP="00FA78C5">
      <w:hyperlink r:id="rId15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007A4F" w:rsidP="00FA78C5">
      <w:hyperlink r:id="rId16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007A4F" w:rsidP="00FA78C5">
      <w:hyperlink r:id="rId17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007A4F" w:rsidP="00FA78C5">
      <w:hyperlink r:id="rId18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007A4F" w:rsidP="00FA78C5">
      <w:pPr>
        <w:rPr>
          <w:rStyle w:val="Hipercze"/>
        </w:rPr>
      </w:pPr>
      <w:hyperlink r:id="rId19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007A4F" w:rsidP="00FA78C5">
      <w:hyperlink r:id="rId20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007A4F" w:rsidP="00FA78C5">
      <w:hyperlink r:id="rId21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2D53" w14:textId="77777777" w:rsidR="00007A4F" w:rsidRDefault="00007A4F" w:rsidP="001A2A9B">
      <w:pPr>
        <w:spacing w:after="0" w:line="240" w:lineRule="auto"/>
      </w:pPr>
      <w:r>
        <w:separator/>
      </w:r>
    </w:p>
  </w:endnote>
  <w:endnote w:type="continuationSeparator" w:id="0">
    <w:p w14:paraId="3CF3B4C3" w14:textId="77777777" w:rsidR="00007A4F" w:rsidRDefault="00007A4F" w:rsidP="001A2A9B">
      <w:pPr>
        <w:spacing w:after="0" w:line="240" w:lineRule="auto"/>
      </w:pPr>
      <w:r>
        <w:continuationSeparator/>
      </w:r>
    </w:p>
  </w:endnote>
  <w:endnote w:type="continuationNotice" w:id="1">
    <w:p w14:paraId="481EC800" w14:textId="77777777" w:rsidR="00007A4F" w:rsidRDefault="00007A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E61A6" w14:textId="77777777" w:rsidR="00007A4F" w:rsidRDefault="00007A4F" w:rsidP="001A2A9B">
      <w:pPr>
        <w:spacing w:after="0" w:line="240" w:lineRule="auto"/>
      </w:pPr>
      <w:r>
        <w:separator/>
      </w:r>
    </w:p>
  </w:footnote>
  <w:footnote w:type="continuationSeparator" w:id="0">
    <w:p w14:paraId="59E56602" w14:textId="77777777" w:rsidR="00007A4F" w:rsidRDefault="00007A4F" w:rsidP="001A2A9B">
      <w:pPr>
        <w:spacing w:after="0" w:line="240" w:lineRule="auto"/>
      </w:pPr>
      <w:r>
        <w:continuationSeparator/>
      </w:r>
    </w:p>
  </w:footnote>
  <w:footnote w:type="continuationNotice" w:id="1">
    <w:p w14:paraId="70C9EFE2" w14:textId="77777777" w:rsidR="00007A4F" w:rsidRDefault="00007A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499E9FD4"/>
    <w:lvl w:ilvl="0" w:tplc="D6DA0504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1516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F19CA"/>
    <w:rsid w:val="008F5EA4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67D6"/>
    <w:rsid w:val="00B96C79"/>
    <w:rsid w:val="00BA2F86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013E3"/>
    <w:pPr>
      <w:keepNext/>
      <w:keepLines/>
      <w:numPr>
        <w:numId w:val="6"/>
      </w:numPr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esp8266-nodemcu-v3-wifi-2-4ghz-ch340-do-arduino-7241549772" TargetMode="External"/><Relationship Id="rId18" Type="http://schemas.openxmlformats.org/officeDocument/2006/relationships/hyperlink" Target="https://learn.adafruit.com/d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SP826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ESP8266" TargetMode="External"/><Relationship Id="rId17" Type="http://schemas.openxmlformats.org/officeDocument/2006/relationships/hyperlink" Target="https://store.arduino.cc/arduino-uno-rev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t.io/" TargetMode="External"/><Relationship Id="rId20" Type="http://schemas.openxmlformats.org/officeDocument/2006/relationships/hyperlink" Target="https://en.wikipedia.org/wiki/ESP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tore.arduino.cc/arduino-nan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parkfun.com/datasheets/Components/nRF24L01_prelim_prod_spec_1_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llegro.pl/oferta/dht11-czujnik-temperatury-i-wilgotnosci-arduino-74879414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2061</Words>
  <Characters>12369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Student 242079</cp:lastModifiedBy>
  <cp:revision>2</cp:revision>
  <cp:lastPrinted>2020-03-10T16:46:00Z</cp:lastPrinted>
  <dcterms:created xsi:type="dcterms:W3CDTF">2020-03-18T11:10:00Z</dcterms:created>
  <dcterms:modified xsi:type="dcterms:W3CDTF">2020-03-18T11:10:00Z</dcterms:modified>
</cp:coreProperties>
</file>