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369D2" w14:textId="77777777" w:rsidR="004F5466" w:rsidRDefault="007F6A43" w:rsidP="004F5466">
      <w:pPr>
        <w:jc w:val="right"/>
        <w:rPr>
          <w:i/>
          <w:iCs/>
          <w:szCs w:val="24"/>
        </w:rPr>
      </w:pPr>
      <w:r>
        <w:rPr>
          <w:noProof/>
          <w:szCs w:val="24"/>
        </w:rPr>
        <w:drawing>
          <wp:inline distT="0" distB="0" distL="0" distR="0" wp14:anchorId="7CB0FBE9" wp14:editId="2CBD2217">
            <wp:extent cx="2952750" cy="479425"/>
            <wp:effectExtent l="0" t="0" r="0" b="3175"/>
            <wp:docPr id="1" name="Picture 1" descr="C:\Users\heidiw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idiw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466" w:rsidRPr="004F5466">
        <w:rPr>
          <w:b/>
          <w:noProof/>
          <w:szCs w:val="24"/>
          <w:u w:val="single"/>
        </w:rPr>
        <w:t xml:space="preserve">                                          </w:t>
      </w:r>
      <w:r w:rsidR="004F5466">
        <w:rPr>
          <w:b/>
          <w:noProof/>
          <w:szCs w:val="24"/>
          <w:u w:val="single"/>
        </w:rPr>
        <w:t xml:space="preserve">    </w:t>
      </w:r>
      <w:r w:rsidR="004F5466" w:rsidRPr="004F5466">
        <w:rPr>
          <w:b/>
          <w:noProof/>
          <w:szCs w:val="24"/>
          <w:u w:val="single"/>
        </w:rPr>
        <w:t>Faculty Senate Office</w:t>
      </w:r>
      <w:r w:rsidR="004F5466" w:rsidRPr="004F5466">
        <w:rPr>
          <w:szCs w:val="24"/>
        </w:rPr>
        <w:tab/>
      </w:r>
      <w:r w:rsidR="004F5466" w:rsidRPr="004F5466">
        <w:rPr>
          <w:szCs w:val="24"/>
        </w:rPr>
        <w:tab/>
      </w:r>
      <w:r w:rsidR="004F5466" w:rsidRPr="004F5466">
        <w:rPr>
          <w:szCs w:val="24"/>
        </w:rPr>
        <w:tab/>
      </w:r>
      <w:r w:rsidR="004F5466" w:rsidRPr="004F5466">
        <w:rPr>
          <w:szCs w:val="24"/>
        </w:rPr>
        <w:tab/>
      </w:r>
      <w:r w:rsidR="004F5466" w:rsidRPr="004F5466">
        <w:rPr>
          <w:szCs w:val="24"/>
        </w:rPr>
        <w:tab/>
      </w:r>
      <w:r w:rsidR="004F5466" w:rsidRPr="004F5466">
        <w:rPr>
          <w:i/>
          <w:iCs/>
          <w:szCs w:val="24"/>
        </w:rPr>
        <w:t xml:space="preserve">                                                          </w:t>
      </w:r>
      <w:r w:rsidR="004F5466">
        <w:rPr>
          <w:i/>
          <w:iCs/>
          <w:szCs w:val="24"/>
        </w:rPr>
        <w:t xml:space="preserve">Phone: </w:t>
      </w:r>
      <w:r w:rsidR="004F5466" w:rsidRPr="004F5466">
        <w:rPr>
          <w:i/>
          <w:iCs/>
          <w:szCs w:val="24"/>
        </w:rPr>
        <w:t>(818) 677-3263</w:t>
      </w:r>
    </w:p>
    <w:p w14:paraId="04AF6C0B" w14:textId="77777777" w:rsidR="00320E8E" w:rsidRDefault="00320E8E">
      <w:pPr>
        <w:widowControl w:val="0"/>
        <w:tabs>
          <w:tab w:val="left" w:pos="720"/>
        </w:tabs>
      </w:pPr>
    </w:p>
    <w:p w14:paraId="58D091CD" w14:textId="77777777" w:rsidR="00A90A77" w:rsidRDefault="00A90A77" w:rsidP="00A90A77">
      <w:pPr>
        <w:pStyle w:val="BodyText"/>
        <w:ind w:firstLine="0"/>
      </w:pPr>
      <w:r w:rsidRPr="00CB2B2F">
        <w:rPr>
          <w:b/>
        </w:rPr>
        <w:t>DATE:</w:t>
      </w:r>
      <w:r>
        <w:t xml:space="preserve"> </w:t>
      </w:r>
      <w:r>
        <w:tab/>
        <w:t>1 June 2015</w:t>
      </w:r>
    </w:p>
    <w:p w14:paraId="54763AF7" w14:textId="77777777" w:rsidR="00A90A77" w:rsidRDefault="00A90A77" w:rsidP="00A90A77">
      <w:pPr>
        <w:pStyle w:val="BodyText"/>
        <w:ind w:left="1440" w:hanging="1440"/>
      </w:pPr>
      <w:r>
        <w:rPr>
          <w:b/>
        </w:rPr>
        <w:t xml:space="preserve">RE: </w:t>
      </w:r>
      <w:r>
        <w:rPr>
          <w:b/>
        </w:rPr>
        <w:tab/>
      </w:r>
      <w:r w:rsidRPr="00CB2B2F">
        <w:t>Faculty governance outside academic year: Senate Executive Committee members who are ineligible for Personnel Planning and Review.</w:t>
      </w:r>
    </w:p>
    <w:p w14:paraId="56C0F93C" w14:textId="77777777" w:rsidR="00A90A77" w:rsidRPr="00A308A1" w:rsidRDefault="00A90A77" w:rsidP="00A90A77">
      <w:pPr>
        <w:pStyle w:val="BodyText"/>
        <w:ind w:left="1440" w:hanging="1440"/>
      </w:pPr>
      <w:r>
        <w:rPr>
          <w:b/>
        </w:rPr>
        <w:t>BY:</w:t>
      </w:r>
      <w:r>
        <w:rPr>
          <w:b/>
        </w:rPr>
        <w:tab/>
      </w:r>
      <w:r>
        <w:t>Adam Swenson</w:t>
      </w:r>
    </w:p>
    <w:p w14:paraId="44265507" w14:textId="77777777" w:rsidR="00A90A77" w:rsidRDefault="00A90A77" w:rsidP="00A90A77">
      <w:pPr>
        <w:pStyle w:val="BodyText"/>
        <w:ind w:firstLine="0"/>
      </w:pPr>
    </w:p>
    <w:p w14:paraId="0D98CC68" w14:textId="77777777" w:rsidR="00A90A77" w:rsidRDefault="00A90A77" w:rsidP="00A90A77">
      <w:pPr>
        <w:pStyle w:val="Heading2"/>
        <w:ind w:firstLine="0"/>
      </w:pPr>
      <w:r>
        <w:t>Interpretation</w:t>
      </w:r>
    </w:p>
    <w:p w14:paraId="39E6639C" w14:textId="77777777" w:rsidR="00A90A77" w:rsidRDefault="00A90A77" w:rsidP="00A90A77">
      <w:pPr>
        <w:pStyle w:val="BodyText"/>
        <w:ind w:firstLine="0"/>
      </w:pPr>
      <w:r>
        <w:t>SEC acts as PP&amp;R during the summer. Members of SEC may be ineligible for PP&amp;R. However, there is no requirement that such members recuse themselves from participating in such actions.</w:t>
      </w:r>
    </w:p>
    <w:p w14:paraId="5688297E" w14:textId="77777777" w:rsidR="00A90A77" w:rsidRDefault="00A90A77" w:rsidP="00A90A77">
      <w:pPr>
        <w:pStyle w:val="BodyText"/>
        <w:ind w:firstLine="0"/>
      </w:pPr>
    </w:p>
    <w:p w14:paraId="40ACAE1A" w14:textId="77777777" w:rsidR="00A90A77" w:rsidRDefault="00A90A77" w:rsidP="00A90A77">
      <w:pPr>
        <w:pStyle w:val="Heading2"/>
        <w:ind w:firstLine="0"/>
      </w:pPr>
      <w:r>
        <w:t>Rationale</w:t>
      </w:r>
    </w:p>
    <w:p w14:paraId="3B9FE16E" w14:textId="77777777" w:rsidR="00A90A77" w:rsidRDefault="00A90A77" w:rsidP="00A90A77">
      <w:pPr>
        <w:pStyle w:val="BodyText"/>
      </w:pPr>
      <w:r>
        <w:t>The Senate Executive Committee (SEC) is composed of ex officio members and “six members of the teaching faculty elected by and from the Senate.”</w:t>
      </w:r>
      <w:r>
        <w:rPr>
          <w:rStyle w:val="FootnoteReference"/>
        </w:rPr>
        <w:footnoteReference w:id="1"/>
      </w:r>
      <w:r>
        <w:t xml:space="preserve"> The ‘teaching faculty’ are </w:t>
      </w:r>
    </w:p>
    <w:p w14:paraId="7F980576" w14:textId="77777777" w:rsidR="00A90A77" w:rsidRDefault="00A90A77" w:rsidP="00486969">
      <w:pPr>
        <w:pStyle w:val="BodyText"/>
        <w:ind w:left="720" w:firstLine="0"/>
      </w:pPr>
      <w:r>
        <w:t>all faculty-unity employees of the University, both full-time and part-time, who are faculty employees, coaching employees, counselor employees, or librarian employees.</w:t>
      </w:r>
      <w:r>
        <w:rPr>
          <w:rStyle w:val="FootnoteReference"/>
        </w:rPr>
        <w:footnoteReference w:id="2"/>
      </w:r>
    </w:p>
    <w:p w14:paraId="06166B2B" w14:textId="77777777" w:rsidR="00A90A77" w:rsidRDefault="00A90A77" w:rsidP="00A90A77">
      <w:pPr>
        <w:pStyle w:val="BodyText"/>
        <w:ind w:firstLine="0"/>
      </w:pPr>
      <w:r>
        <w:t xml:space="preserve">Membership in the Personnel Planning and Review Committee (PP&amp;R) is more limited. </w:t>
      </w:r>
    </w:p>
    <w:p w14:paraId="251A084B" w14:textId="77777777" w:rsidR="00A90A77" w:rsidRDefault="00A90A77" w:rsidP="00486969">
      <w:pPr>
        <w:pStyle w:val="BodyText"/>
        <w:ind w:left="720" w:firstLine="0"/>
      </w:pPr>
      <w:r>
        <w:t>Only faculty in the rank of Professor, Librarian, or Student Services Professional III-Academically Related are eligible to serve on the Personnel Planning and Review Committee.”</w:t>
      </w:r>
      <w:r>
        <w:rPr>
          <w:rStyle w:val="FootnoteReference"/>
        </w:rPr>
        <w:footnoteReference w:id="3"/>
      </w:r>
    </w:p>
    <w:p w14:paraId="72BCFD82" w14:textId="77777777" w:rsidR="00A90A77" w:rsidRDefault="00A90A77" w:rsidP="00A90A77">
      <w:pPr>
        <w:pStyle w:val="BodyText"/>
        <w:ind w:firstLine="0"/>
      </w:pPr>
      <w:r>
        <w:t>Therefore, some members of SEC may be prohibited from serving on PP&amp;R.</w:t>
      </w:r>
      <w:r>
        <w:rPr>
          <w:rStyle w:val="FootnoteReference"/>
        </w:rPr>
        <w:footnoteReference w:id="4"/>
      </w:r>
    </w:p>
    <w:p w14:paraId="57566361" w14:textId="77777777" w:rsidR="00A90A77" w:rsidRDefault="00A90A77" w:rsidP="00A90A77">
      <w:pPr>
        <w:pStyle w:val="BodyText"/>
      </w:pPr>
      <w:r>
        <w:t>Under Bylaws IV.3.6, outside of the academic year SEC handles the duties assigned to standing committees such as PP&amp;R. This is sometimes colloquially described as “SEC convening as PP&amp;R.”</w:t>
      </w:r>
    </w:p>
    <w:p w14:paraId="282F6385" w14:textId="77777777" w:rsidR="00A90A77" w:rsidRDefault="00A90A77" w:rsidP="00A90A77">
      <w:pPr>
        <w:pStyle w:val="BodyText"/>
      </w:pPr>
      <w:r>
        <w:t xml:space="preserve">However, this description is strictly false. If SEC were literally convening as PP&amp;R, some of SEC’s members would be serving on a committee upon which they are not eligible to serve. This could include the Faculty President who would be chairing a committee upon which she or he could not serve. </w:t>
      </w:r>
    </w:p>
    <w:p w14:paraId="3D09B2A5" w14:textId="14ACA5DB" w:rsidR="00A90A77" w:rsidRDefault="00486969" w:rsidP="00A90A77">
      <w:pPr>
        <w:pStyle w:val="BodyText"/>
      </w:pPr>
      <w:r>
        <w:t>Fortunately, t</w:t>
      </w:r>
      <w:bookmarkStart w:id="0" w:name="_GoBack"/>
      <w:bookmarkEnd w:id="0"/>
      <w:r w:rsidR="00A90A77">
        <w:t xml:space="preserve">he Bylaws avoid this absurdity. </w:t>
      </w:r>
    </w:p>
    <w:p w14:paraId="381728CD" w14:textId="77777777" w:rsidR="00A90A77" w:rsidRDefault="00A90A77" w:rsidP="00A90A77">
      <w:pPr>
        <w:pStyle w:val="BodyText"/>
        <w:ind w:left="432" w:firstLine="0"/>
      </w:pPr>
      <w:r>
        <w:lastRenderedPageBreak/>
        <w:t xml:space="preserve">The Executive Committee of the Senate shall </w:t>
      </w:r>
      <w:r w:rsidRPr="00A150CC">
        <w:rPr>
          <w:i/>
        </w:rPr>
        <w:t>act for</w:t>
      </w:r>
      <w:r>
        <w:t xml:space="preserve"> the Faculty, the Senate, and the Standing Committees of the Senate on those matters requiring Faculty action or consultation during the intersession, special sessions, or summer months.</w:t>
      </w:r>
      <w:r>
        <w:rPr>
          <w:rStyle w:val="FootnoteReference"/>
        </w:rPr>
        <w:footnoteReference w:id="5"/>
      </w:r>
    </w:p>
    <w:p w14:paraId="6B851789" w14:textId="77777777" w:rsidR="00A90A77" w:rsidRPr="000D77AE" w:rsidRDefault="00A90A77" w:rsidP="00A90A77">
      <w:pPr>
        <w:pStyle w:val="BodyText"/>
        <w:ind w:firstLine="0"/>
      </w:pPr>
      <w:r>
        <w:t xml:space="preserve">Thus when SEC acts under Bylaws IV.3.6 they convene as SEC. At that meeting they exercise a duty which normally belongs to PP&amp;R. Indeed, the </w:t>
      </w:r>
      <w:r w:rsidRPr="00BB35C4">
        <w:rPr>
          <w:i/>
        </w:rPr>
        <w:t>Search and Screen Manual</w:t>
      </w:r>
      <w:r>
        <w:t xml:space="preserve"> describes this as SEC conducting the same action PP&amp;R would normally conduct.</w:t>
      </w:r>
    </w:p>
    <w:p w14:paraId="6BE4E584" w14:textId="77777777" w:rsidR="00A90A77" w:rsidRDefault="00A90A77" w:rsidP="00A90A77">
      <w:pPr>
        <w:pStyle w:val="BodyText"/>
        <w:ind w:left="720" w:firstLine="0"/>
      </w:pPr>
      <w:r w:rsidRPr="000D77AE">
        <w:t>The search committee submits its report</w:t>
      </w:r>
      <w:r>
        <w:t>…</w:t>
      </w:r>
      <w:r w:rsidRPr="000D77AE">
        <w:t>to the Personnel Planning and Review Committee. (At times when PP&amp;R is not available, a subcommittee of PP&amp;R can receive and review the report. If a subcommittee of PP&amp;R is not available, the Faculty Senate Executive Committee or a subcommittee of the Faculty Senate Executive Committee can receive and review the report.)</w:t>
      </w:r>
      <w:r>
        <w:rPr>
          <w:rStyle w:val="FootnoteReference"/>
        </w:rPr>
        <w:footnoteReference w:id="6"/>
      </w:r>
      <w:r w:rsidRPr="000D77AE">
        <w:t xml:space="preserve"> </w:t>
      </w:r>
    </w:p>
    <w:p w14:paraId="4745F7CE" w14:textId="77777777" w:rsidR="00A90A77" w:rsidRDefault="00A90A77" w:rsidP="00A90A77">
      <w:pPr>
        <w:pStyle w:val="BodyText"/>
        <w:ind w:firstLine="0"/>
      </w:pPr>
      <w:r>
        <w:t>There is no implication that SEC convenes as an instance of PP&amp;R.</w:t>
      </w:r>
    </w:p>
    <w:p w14:paraId="6240879B" w14:textId="77777777" w:rsidR="00A90A77" w:rsidRDefault="00A90A77" w:rsidP="00A90A77">
      <w:pPr>
        <w:pStyle w:val="BodyText"/>
        <w:ind w:firstLine="0"/>
      </w:pPr>
    </w:p>
    <w:p w14:paraId="609F231E" w14:textId="77777777" w:rsidR="00A90A77" w:rsidRDefault="00A90A77" w:rsidP="00A90A77">
      <w:pPr>
        <w:pStyle w:val="BodyText"/>
        <w:ind w:firstLine="0"/>
      </w:pPr>
      <w:r>
        <w:t xml:space="preserve">Therefore, when SEC acts under Bylaws IV.3.6, members of SEC who are ineligible for PP&amp;R may fully participate. </w:t>
      </w:r>
    </w:p>
    <w:p w14:paraId="54131F9F" w14:textId="77777777" w:rsidR="003B0042" w:rsidRPr="003B0042" w:rsidRDefault="003B0042">
      <w:pPr>
        <w:widowControl w:val="0"/>
        <w:tabs>
          <w:tab w:val="left" w:pos="720"/>
        </w:tabs>
        <w:rPr>
          <w:rFonts w:ascii="Palatino Linotype" w:hAnsi="Palatino Linotype"/>
        </w:rPr>
      </w:pPr>
    </w:p>
    <w:sectPr w:rsidR="003B0042" w:rsidRPr="003B0042">
      <w:footerReference w:type="even" r:id="rId9"/>
      <w:footerReference w:type="default" r:id="rId10"/>
      <w:footnotePr>
        <w:numFmt w:val="lowerLetter"/>
      </w:footnotePr>
      <w:endnotePr>
        <w:numFmt w:val="lowerLetter"/>
      </w:endnotePr>
      <w:pgSz w:w="12240" w:h="15840"/>
      <w:pgMar w:top="1152" w:right="1296" w:bottom="1152" w:left="1296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7AB5D8" w14:textId="77777777" w:rsidR="00A90A77" w:rsidRDefault="00A90A77" w:rsidP="00A90A77">
      <w:r>
        <w:separator/>
      </w:r>
    </w:p>
  </w:endnote>
  <w:endnote w:type="continuationSeparator" w:id="0">
    <w:p w14:paraId="4D0AA12E" w14:textId="77777777" w:rsidR="00A90A77" w:rsidRDefault="00A90A77" w:rsidP="00A90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5B3A86" w14:textId="77777777" w:rsidR="00A90A77" w:rsidRDefault="00A90A77" w:rsidP="00FB39D7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6969">
      <w:rPr>
        <w:rStyle w:val="PageNumber"/>
        <w:noProof/>
      </w:rPr>
      <w:t>2</w:t>
    </w:r>
    <w:r>
      <w:rPr>
        <w:rStyle w:val="PageNumber"/>
      </w:rPr>
      <w:fldChar w:fldCharType="end"/>
    </w:r>
  </w:p>
  <w:p w14:paraId="27E0FB5A" w14:textId="77777777" w:rsidR="00A90A77" w:rsidRDefault="00A90A77" w:rsidP="00A90A77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209BD9" w14:textId="77777777" w:rsidR="00A90A77" w:rsidRDefault="00A90A77" w:rsidP="00FB39D7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6969">
      <w:rPr>
        <w:rStyle w:val="PageNumber"/>
        <w:noProof/>
      </w:rPr>
      <w:t>1</w:t>
    </w:r>
    <w:r>
      <w:rPr>
        <w:rStyle w:val="PageNumber"/>
      </w:rPr>
      <w:fldChar w:fldCharType="end"/>
    </w:r>
  </w:p>
  <w:p w14:paraId="2C078835" w14:textId="77777777" w:rsidR="00A90A77" w:rsidRDefault="00A90A77" w:rsidP="00A90A77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D19D5A" w14:textId="77777777" w:rsidR="00A90A77" w:rsidRDefault="00A90A77" w:rsidP="00A90A77">
      <w:r>
        <w:separator/>
      </w:r>
    </w:p>
  </w:footnote>
  <w:footnote w:type="continuationSeparator" w:id="0">
    <w:p w14:paraId="44FC2509" w14:textId="77777777" w:rsidR="00A90A77" w:rsidRDefault="00A90A77" w:rsidP="00A90A77">
      <w:r>
        <w:continuationSeparator/>
      </w:r>
    </w:p>
  </w:footnote>
  <w:footnote w:id="1">
    <w:p w14:paraId="75B95A93" w14:textId="77777777" w:rsidR="00A90A77" w:rsidRDefault="00A90A77" w:rsidP="00A90A77">
      <w:pPr>
        <w:pStyle w:val="FootnoteText"/>
      </w:pPr>
      <w:r>
        <w:rPr>
          <w:rStyle w:val="FootnoteReference"/>
        </w:rPr>
        <w:footnoteRef/>
      </w:r>
      <w:r>
        <w:t xml:space="preserve"> Bylaws IV.1</w:t>
      </w:r>
    </w:p>
  </w:footnote>
  <w:footnote w:id="2">
    <w:p w14:paraId="62D4A79F" w14:textId="77777777" w:rsidR="00A90A77" w:rsidRDefault="00A90A77" w:rsidP="00A90A77">
      <w:pPr>
        <w:pStyle w:val="FootnoteText"/>
      </w:pPr>
      <w:r>
        <w:rPr>
          <w:rStyle w:val="FootnoteReference"/>
        </w:rPr>
        <w:footnoteRef/>
      </w:r>
      <w:r>
        <w:t xml:space="preserve"> Bylaws II.1</w:t>
      </w:r>
    </w:p>
  </w:footnote>
  <w:footnote w:id="3">
    <w:p w14:paraId="132F6019" w14:textId="77777777" w:rsidR="00A90A77" w:rsidRDefault="00A90A77" w:rsidP="00A90A77">
      <w:pPr>
        <w:pStyle w:val="FootnoteText"/>
      </w:pPr>
      <w:r>
        <w:rPr>
          <w:rStyle w:val="FootnoteReference"/>
        </w:rPr>
        <w:footnoteRef/>
      </w:r>
      <w:r>
        <w:t xml:space="preserve"> Bylaws V.6.8</w:t>
      </w:r>
    </w:p>
  </w:footnote>
  <w:footnote w:id="4">
    <w:p w14:paraId="1B8650B0" w14:textId="77777777" w:rsidR="00A90A77" w:rsidRDefault="00A90A77" w:rsidP="00A90A77">
      <w:pPr>
        <w:pStyle w:val="FootnoteText"/>
        <w:ind w:left="432" w:firstLine="0"/>
      </w:pPr>
      <w:r>
        <w:rPr>
          <w:rStyle w:val="FootnoteReference"/>
        </w:rPr>
        <w:footnoteRef/>
      </w:r>
      <w:r>
        <w:t xml:space="preserve"> The Bylaws are cognizant of this. They explicitly provide for the case in which the Faculty President is ineligible for the committee (Bylaws V.6.8)</w:t>
      </w:r>
    </w:p>
  </w:footnote>
  <w:footnote w:id="5">
    <w:p w14:paraId="0AD22CDC" w14:textId="77777777" w:rsidR="00A90A77" w:rsidRDefault="00A90A77" w:rsidP="00A90A7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04EB7">
        <w:t>Bylaws 3.6</w:t>
      </w:r>
      <w:r>
        <w:t>; emphasis added.</w:t>
      </w:r>
    </w:p>
  </w:footnote>
  <w:footnote w:id="6">
    <w:p w14:paraId="3C0F9AE3" w14:textId="77777777" w:rsidR="00A90A77" w:rsidRDefault="00A90A77" w:rsidP="00A90A77">
      <w:pPr>
        <w:pStyle w:val="FootnoteText"/>
        <w:ind w:left="432" w:firstLine="0"/>
      </w:pPr>
      <w:r>
        <w:rPr>
          <w:rStyle w:val="FootnoteReference"/>
        </w:rPr>
        <w:footnoteRef/>
      </w:r>
      <w:r>
        <w:t xml:space="preserve"> </w:t>
      </w:r>
      <w:r w:rsidRPr="000D77AE">
        <w:rPr>
          <w:i/>
          <w:iCs/>
        </w:rPr>
        <w:t>Manual of Procedures for Search and Screen Committees for Academic-Administrative Positions</w:t>
      </w:r>
      <w:r w:rsidRPr="000D77AE">
        <w:t>,</w:t>
      </w:r>
      <w:r>
        <w:t xml:space="preserve"> 8.3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FEACE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Fmt w:val="lowerLetter"/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A77"/>
    <w:rsid w:val="001154AA"/>
    <w:rsid w:val="00271E87"/>
    <w:rsid w:val="00320E8E"/>
    <w:rsid w:val="003B0042"/>
    <w:rsid w:val="00486969"/>
    <w:rsid w:val="00496B88"/>
    <w:rsid w:val="004D1382"/>
    <w:rsid w:val="004F5466"/>
    <w:rsid w:val="007F6A43"/>
    <w:rsid w:val="00837110"/>
    <w:rsid w:val="008F6A65"/>
    <w:rsid w:val="00A90A77"/>
    <w:rsid w:val="00C25F8B"/>
    <w:rsid w:val="00E12D06"/>
    <w:rsid w:val="00E31C9F"/>
    <w:rsid w:val="00F8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8CDE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widowControl w:val="0"/>
      <w:jc w:val="right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0A77"/>
    <w:pPr>
      <w:keepNext/>
      <w:spacing w:before="120"/>
      <w:ind w:firstLine="432"/>
      <w:outlineLvl w:val="1"/>
    </w:pPr>
    <w:rPr>
      <w:rFonts w:ascii="Palatino" w:hAnsi="Palatino"/>
      <w:b/>
      <w:bCs/>
      <w:iCs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firstLine="720"/>
    </w:pPr>
    <w:rPr>
      <w:sz w:val="22"/>
    </w:rPr>
  </w:style>
  <w:style w:type="paragraph" w:customStyle="1" w:styleId="26">
    <w:name w:val="_26"/>
    <w:basedOn w:val="Normal"/>
    <w:pPr>
      <w:widowControl w:val="0"/>
    </w:pPr>
  </w:style>
  <w:style w:type="paragraph" w:customStyle="1" w:styleId="25">
    <w:name w:val="_25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24">
    <w:name w:val="_24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23">
    <w:name w:val="_23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22">
    <w:name w:val="_22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21">
    <w:name w:val="_21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20">
    <w:name w:val="_20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19">
    <w:name w:val="_19"/>
    <w:basedOn w:val="Normal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18">
    <w:name w:val="_18"/>
    <w:basedOn w:val="Normal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17">
    <w:name w:val="_17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16">
    <w:name w:val="_16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15">
    <w:name w:val="_15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14">
    <w:name w:val="_14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13">
    <w:name w:val="_13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12">
    <w:name w:val="_12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11">
    <w:name w:val="_11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10">
    <w:name w:val="_10"/>
    <w:basedOn w:val="Normal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9">
    <w:name w:val="_9"/>
    <w:basedOn w:val="Normal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8">
    <w:name w:val="_8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7">
    <w:name w:val="_7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6">
    <w:name w:val="_6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5">
    <w:name w:val="_5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4">
    <w:name w:val="_4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3">
    <w:name w:val="_3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2">
    <w:name w:val="_2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1">
    <w:name w:val="_1"/>
    <w:basedOn w:val="Normal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">
    <w:name w:val="_"/>
    <w:basedOn w:val="Normal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character" w:customStyle="1" w:styleId="DefaultPara">
    <w:name w:val="Default Para"/>
  </w:style>
  <w:style w:type="paragraph" w:styleId="BalloonText">
    <w:name w:val="Balloon Text"/>
    <w:basedOn w:val="Normal"/>
    <w:link w:val="BalloonTextChar"/>
    <w:rsid w:val="003B00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B0042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0A77"/>
    <w:rPr>
      <w:rFonts w:ascii="Palatino" w:hAnsi="Palatino"/>
      <w:b/>
      <w:bCs/>
      <w:iCs/>
      <w:sz w:val="24"/>
      <w:szCs w:val="28"/>
      <w:lang w:eastAsia="ja-JP"/>
    </w:rPr>
  </w:style>
  <w:style w:type="paragraph" w:styleId="BodyText">
    <w:name w:val="Body Text"/>
    <w:basedOn w:val="Normal"/>
    <w:link w:val="BodyTextChar"/>
    <w:rsid w:val="00A90A77"/>
    <w:pPr>
      <w:ind w:firstLine="144"/>
    </w:pPr>
    <w:rPr>
      <w:rFonts w:ascii="Palatino Linotype" w:hAnsi="Palatino Linotype"/>
      <w:lang w:eastAsia="ja-JP"/>
    </w:rPr>
  </w:style>
  <w:style w:type="character" w:customStyle="1" w:styleId="BodyTextChar">
    <w:name w:val="Body Text Char"/>
    <w:basedOn w:val="DefaultParagraphFont"/>
    <w:link w:val="BodyText"/>
    <w:rsid w:val="00A90A77"/>
    <w:rPr>
      <w:rFonts w:ascii="Palatino Linotype" w:hAnsi="Palatino Linotype"/>
      <w:sz w:val="24"/>
      <w:lang w:eastAsia="ja-JP"/>
    </w:rPr>
  </w:style>
  <w:style w:type="character" w:styleId="FootnoteReference">
    <w:name w:val="footnote reference"/>
    <w:basedOn w:val="DefaultParagraphFont"/>
    <w:rsid w:val="00A90A77"/>
    <w:rPr>
      <w:vertAlign w:val="superscript"/>
    </w:rPr>
  </w:style>
  <w:style w:type="paragraph" w:styleId="FootnoteText">
    <w:name w:val="footnote text"/>
    <w:basedOn w:val="Normal"/>
    <w:link w:val="FootnoteTextChar"/>
    <w:rsid w:val="00A90A77"/>
    <w:pPr>
      <w:ind w:firstLine="432"/>
    </w:pPr>
    <w:rPr>
      <w:rFonts w:ascii="Palatino Linotype" w:hAnsi="Palatino Linotype"/>
      <w:sz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rsid w:val="00A90A77"/>
    <w:rPr>
      <w:rFonts w:ascii="Palatino Linotype" w:hAnsi="Palatino Linotype"/>
      <w:lang w:eastAsia="ja-JP"/>
    </w:rPr>
  </w:style>
  <w:style w:type="paragraph" w:styleId="Footer">
    <w:name w:val="footer"/>
    <w:basedOn w:val="Normal"/>
    <w:link w:val="FooterChar"/>
    <w:rsid w:val="00A90A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90A77"/>
    <w:rPr>
      <w:sz w:val="24"/>
    </w:rPr>
  </w:style>
  <w:style w:type="character" w:styleId="PageNumber">
    <w:name w:val="page number"/>
    <w:basedOn w:val="DefaultParagraphFont"/>
    <w:rsid w:val="00A90A7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widowControl w:val="0"/>
      <w:jc w:val="right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0A77"/>
    <w:pPr>
      <w:keepNext/>
      <w:spacing w:before="120"/>
      <w:ind w:firstLine="432"/>
      <w:outlineLvl w:val="1"/>
    </w:pPr>
    <w:rPr>
      <w:rFonts w:ascii="Palatino" w:hAnsi="Palatino"/>
      <w:b/>
      <w:bCs/>
      <w:iCs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firstLine="720"/>
    </w:pPr>
    <w:rPr>
      <w:sz w:val="22"/>
    </w:rPr>
  </w:style>
  <w:style w:type="paragraph" w:customStyle="1" w:styleId="26">
    <w:name w:val="_26"/>
    <w:basedOn w:val="Normal"/>
    <w:pPr>
      <w:widowControl w:val="0"/>
    </w:pPr>
  </w:style>
  <w:style w:type="paragraph" w:customStyle="1" w:styleId="25">
    <w:name w:val="_25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24">
    <w:name w:val="_24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23">
    <w:name w:val="_23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22">
    <w:name w:val="_22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21">
    <w:name w:val="_21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20">
    <w:name w:val="_20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19">
    <w:name w:val="_19"/>
    <w:basedOn w:val="Normal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18">
    <w:name w:val="_18"/>
    <w:basedOn w:val="Normal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17">
    <w:name w:val="_17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16">
    <w:name w:val="_16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15">
    <w:name w:val="_15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14">
    <w:name w:val="_14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13">
    <w:name w:val="_13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12">
    <w:name w:val="_12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11">
    <w:name w:val="_11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10">
    <w:name w:val="_10"/>
    <w:basedOn w:val="Normal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9">
    <w:name w:val="_9"/>
    <w:basedOn w:val="Normal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8">
    <w:name w:val="_8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7">
    <w:name w:val="_7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6">
    <w:name w:val="_6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5">
    <w:name w:val="_5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4">
    <w:name w:val="_4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3">
    <w:name w:val="_3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2">
    <w:name w:val="_2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1">
    <w:name w:val="_1"/>
    <w:basedOn w:val="Normal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">
    <w:name w:val="_"/>
    <w:basedOn w:val="Normal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character" w:customStyle="1" w:styleId="DefaultPara">
    <w:name w:val="Default Para"/>
  </w:style>
  <w:style w:type="paragraph" w:styleId="BalloonText">
    <w:name w:val="Balloon Text"/>
    <w:basedOn w:val="Normal"/>
    <w:link w:val="BalloonTextChar"/>
    <w:rsid w:val="003B00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B0042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0A77"/>
    <w:rPr>
      <w:rFonts w:ascii="Palatino" w:hAnsi="Palatino"/>
      <w:b/>
      <w:bCs/>
      <w:iCs/>
      <w:sz w:val="24"/>
      <w:szCs w:val="28"/>
      <w:lang w:eastAsia="ja-JP"/>
    </w:rPr>
  </w:style>
  <w:style w:type="paragraph" w:styleId="BodyText">
    <w:name w:val="Body Text"/>
    <w:basedOn w:val="Normal"/>
    <w:link w:val="BodyTextChar"/>
    <w:rsid w:val="00A90A77"/>
    <w:pPr>
      <w:ind w:firstLine="144"/>
    </w:pPr>
    <w:rPr>
      <w:rFonts w:ascii="Palatino Linotype" w:hAnsi="Palatino Linotype"/>
      <w:lang w:eastAsia="ja-JP"/>
    </w:rPr>
  </w:style>
  <w:style w:type="character" w:customStyle="1" w:styleId="BodyTextChar">
    <w:name w:val="Body Text Char"/>
    <w:basedOn w:val="DefaultParagraphFont"/>
    <w:link w:val="BodyText"/>
    <w:rsid w:val="00A90A77"/>
    <w:rPr>
      <w:rFonts w:ascii="Palatino Linotype" w:hAnsi="Palatino Linotype"/>
      <w:sz w:val="24"/>
      <w:lang w:eastAsia="ja-JP"/>
    </w:rPr>
  </w:style>
  <w:style w:type="character" w:styleId="FootnoteReference">
    <w:name w:val="footnote reference"/>
    <w:basedOn w:val="DefaultParagraphFont"/>
    <w:rsid w:val="00A90A77"/>
    <w:rPr>
      <w:vertAlign w:val="superscript"/>
    </w:rPr>
  </w:style>
  <w:style w:type="paragraph" w:styleId="FootnoteText">
    <w:name w:val="footnote text"/>
    <w:basedOn w:val="Normal"/>
    <w:link w:val="FootnoteTextChar"/>
    <w:rsid w:val="00A90A77"/>
    <w:pPr>
      <w:ind w:firstLine="432"/>
    </w:pPr>
    <w:rPr>
      <w:rFonts w:ascii="Palatino Linotype" w:hAnsi="Palatino Linotype"/>
      <w:sz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rsid w:val="00A90A77"/>
    <w:rPr>
      <w:rFonts w:ascii="Palatino Linotype" w:hAnsi="Palatino Linotype"/>
      <w:lang w:eastAsia="ja-JP"/>
    </w:rPr>
  </w:style>
  <w:style w:type="paragraph" w:styleId="Footer">
    <w:name w:val="footer"/>
    <w:basedOn w:val="Normal"/>
    <w:link w:val="FooterChar"/>
    <w:rsid w:val="00A90A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90A77"/>
    <w:rPr>
      <w:sz w:val="24"/>
    </w:rPr>
  </w:style>
  <w:style w:type="character" w:styleId="PageNumber">
    <w:name w:val="page number"/>
    <w:basedOn w:val="DefaultParagraphFont"/>
    <w:rsid w:val="00A90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4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rs62917:Library:Application%20Support:Microsoft:Office:User%20Templates:My%20Templates:senate-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senate-letterhead.dotx</Template>
  <TotalTime>9</TotalTime>
  <Pages>2</Pages>
  <Words>414</Words>
  <Characters>2363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CSU, Northridge</Company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Swenson</dc:creator>
  <cp:keywords/>
  <cp:lastModifiedBy>Adam Swenson</cp:lastModifiedBy>
  <cp:revision>3</cp:revision>
  <cp:lastPrinted>2015-06-01T19:23:00Z</cp:lastPrinted>
  <dcterms:created xsi:type="dcterms:W3CDTF">2015-06-01T19:22:00Z</dcterms:created>
  <dcterms:modified xsi:type="dcterms:W3CDTF">2015-06-01T19:33:00Z</dcterms:modified>
</cp:coreProperties>
</file>