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DA4" w:rsidRDefault="00360DA4" w:rsidP="00360DA4">
      <w:pPr>
        <w:jc w:val="right"/>
        <w:rPr>
          <w:i/>
          <w:iCs/>
          <w:szCs w:val="24"/>
        </w:rPr>
      </w:pPr>
      <w:r>
        <w:rPr>
          <w:noProof/>
          <w:szCs w:val="24"/>
          <w:lang w:eastAsia="zh-CN"/>
        </w:rPr>
        <w:drawing>
          <wp:inline distT="0" distB="0" distL="0" distR="0" wp14:anchorId="066258BE" wp14:editId="05F328D9">
            <wp:extent cx="2952750" cy="479425"/>
            <wp:effectExtent l="0" t="0" r="0" b="3175"/>
            <wp:docPr id="1" name="Picture 1" descr="C:\Users\heidiw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idiw\Desktop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466">
        <w:rPr>
          <w:b/>
          <w:noProof/>
          <w:szCs w:val="24"/>
          <w:u w:val="single"/>
        </w:rPr>
        <w:t xml:space="preserve">                                          </w:t>
      </w:r>
      <w:r>
        <w:rPr>
          <w:b/>
          <w:noProof/>
          <w:szCs w:val="24"/>
          <w:u w:val="single"/>
        </w:rPr>
        <w:t xml:space="preserve">    </w:t>
      </w:r>
      <w:r w:rsidRPr="004F5466">
        <w:rPr>
          <w:b/>
          <w:noProof/>
          <w:szCs w:val="24"/>
          <w:u w:val="single"/>
        </w:rPr>
        <w:t>Faculty Senate Office</w:t>
      </w:r>
      <w:r w:rsidRPr="004F5466">
        <w:rPr>
          <w:szCs w:val="24"/>
        </w:rPr>
        <w:tab/>
      </w:r>
      <w:r w:rsidRPr="004F5466">
        <w:rPr>
          <w:szCs w:val="24"/>
        </w:rPr>
        <w:tab/>
      </w:r>
      <w:r w:rsidRPr="004F5466">
        <w:rPr>
          <w:szCs w:val="24"/>
        </w:rPr>
        <w:tab/>
      </w:r>
      <w:r w:rsidRPr="004F5466">
        <w:rPr>
          <w:szCs w:val="24"/>
        </w:rPr>
        <w:tab/>
      </w:r>
      <w:r w:rsidRPr="004F5466">
        <w:rPr>
          <w:szCs w:val="24"/>
        </w:rPr>
        <w:tab/>
      </w:r>
      <w:r w:rsidRPr="004F5466">
        <w:rPr>
          <w:i/>
          <w:iCs/>
          <w:szCs w:val="24"/>
        </w:rPr>
        <w:t xml:space="preserve">                                                          </w:t>
      </w:r>
      <w:r>
        <w:rPr>
          <w:i/>
          <w:iCs/>
          <w:szCs w:val="24"/>
        </w:rPr>
        <w:t xml:space="preserve">Phone: </w:t>
      </w:r>
      <w:r w:rsidRPr="004F5466">
        <w:rPr>
          <w:i/>
          <w:iCs/>
          <w:szCs w:val="24"/>
        </w:rPr>
        <w:t>(818) 677-3263</w:t>
      </w:r>
    </w:p>
    <w:p w:rsidR="00360DA4" w:rsidRDefault="00360DA4" w:rsidP="00360DA4">
      <w:pPr>
        <w:widowControl w:val="0"/>
        <w:tabs>
          <w:tab w:val="left" w:pos="720"/>
        </w:tabs>
      </w:pPr>
    </w:p>
    <w:p w:rsidR="00360DA4" w:rsidRDefault="00360DA4" w:rsidP="00360DA4">
      <w:pPr>
        <w:widowControl w:val="0"/>
        <w:tabs>
          <w:tab w:val="left" w:pos="720"/>
        </w:tabs>
        <w:rPr>
          <w:rFonts w:ascii="Palatino Linotype" w:hAnsi="Palatino Linotype"/>
        </w:rPr>
      </w:pPr>
      <w:r w:rsidRPr="004F62B3">
        <w:rPr>
          <w:rFonts w:ascii="Palatino Linotype" w:hAnsi="Palatino Linotype"/>
          <w:b/>
        </w:rPr>
        <w:t>DATE: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ab/>
      </w:r>
      <w:r w:rsidR="00B2084C">
        <w:rPr>
          <w:rFonts w:ascii="Palatino Linotype" w:hAnsi="Palatino Linotype"/>
        </w:rPr>
        <w:t xml:space="preserve">xx xxxx </w:t>
      </w:r>
      <w:r>
        <w:rPr>
          <w:rFonts w:ascii="Palatino Linotype" w:hAnsi="Palatino Linotype"/>
        </w:rPr>
        <w:t>2018</w:t>
      </w:r>
    </w:p>
    <w:p w:rsidR="00360DA4" w:rsidRDefault="00360DA4" w:rsidP="00360DA4">
      <w:pPr>
        <w:widowControl w:val="0"/>
        <w:tabs>
          <w:tab w:val="left" w:pos="720"/>
        </w:tabs>
        <w:rPr>
          <w:rFonts w:ascii="Palatino Linotype" w:hAnsi="Palatino Linotype"/>
        </w:rPr>
      </w:pPr>
      <w:r w:rsidRPr="004F62B3">
        <w:rPr>
          <w:rFonts w:ascii="Palatino Linotype" w:hAnsi="Palatino Linotype"/>
          <w:b/>
        </w:rPr>
        <w:t xml:space="preserve">RE: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When a policy change is merely editorial</w:t>
      </w:r>
    </w:p>
    <w:p w:rsidR="00360DA4" w:rsidRDefault="00360DA4" w:rsidP="00360DA4">
      <w:pPr>
        <w:widowControl w:val="0"/>
        <w:tabs>
          <w:tab w:val="left" w:pos="720"/>
        </w:tabs>
        <w:rPr>
          <w:rFonts w:ascii="Palatino Linotype" w:hAnsi="Palatino Linotype"/>
        </w:rPr>
      </w:pPr>
      <w:r w:rsidRPr="004F62B3">
        <w:rPr>
          <w:rFonts w:ascii="Palatino Linotype" w:hAnsi="Palatino Linotype"/>
          <w:b/>
          <w:szCs w:val="24"/>
        </w:rPr>
        <w:t xml:space="preserve">BY: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Adam Swenson</w:t>
      </w:r>
    </w:p>
    <w:p w:rsidR="006D276C" w:rsidRPr="006D276C" w:rsidRDefault="006D276C" w:rsidP="00360DA4">
      <w:pPr>
        <w:widowControl w:val="0"/>
        <w:tabs>
          <w:tab w:val="left" w:pos="720"/>
        </w:tabs>
        <w:rPr>
          <w:rFonts w:ascii="Palatino Linotype" w:hAnsi="Palatino Linotype"/>
          <w:b/>
          <w:bCs/>
        </w:rPr>
      </w:pPr>
      <w:r w:rsidRPr="006D276C">
        <w:rPr>
          <w:rFonts w:ascii="Palatino Linotype" w:hAnsi="Palatino Linotype"/>
          <w:b/>
          <w:bCs/>
        </w:rPr>
        <w:t xml:space="preserve">UPDATES AND SUPPLANTS: </w:t>
      </w:r>
      <w:r w:rsidRPr="006D276C">
        <w:rPr>
          <w:rFonts w:ascii="Palatino Linotype" w:hAnsi="Palatino Linotype"/>
        </w:rPr>
        <w:t>2015-02 Editorial changes</w:t>
      </w:r>
    </w:p>
    <w:p w:rsidR="00360DA4" w:rsidRDefault="006D276C" w:rsidP="00360DA4">
      <w:pPr>
        <w:widowControl w:val="0"/>
        <w:tabs>
          <w:tab w:val="left" w:pos="72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:rsidR="00C8496C" w:rsidRDefault="00C8496C" w:rsidP="00360DA4">
      <w:pPr>
        <w:widowControl w:val="0"/>
        <w:tabs>
          <w:tab w:val="left" w:pos="720"/>
        </w:tabs>
        <w:rPr>
          <w:rFonts w:ascii="Palatino Linotype" w:hAnsi="Palatino Linotype"/>
        </w:rPr>
      </w:pPr>
    </w:p>
    <w:p w:rsidR="00C8496C" w:rsidRDefault="00C8496C" w:rsidP="00360DA4">
      <w:pPr>
        <w:widowControl w:val="0"/>
        <w:tabs>
          <w:tab w:val="left" w:pos="72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[</w:t>
      </w:r>
      <w:r w:rsidRPr="00C8496C">
        <w:rPr>
          <w:rFonts w:ascii="Palatino Linotype" w:hAnsi="Palatino Linotype"/>
        </w:rPr>
        <w:t>Editorial: if vote to change is divided, can the change be editorial</w:t>
      </w:r>
      <w:r>
        <w:rPr>
          <w:rFonts w:ascii="Palatino Linotype" w:hAnsi="Palatino Linotype"/>
        </w:rPr>
        <w:t>?]</w:t>
      </w:r>
    </w:p>
    <w:p w:rsidR="00C8496C" w:rsidRDefault="00C8496C" w:rsidP="00360DA4">
      <w:pPr>
        <w:widowControl w:val="0"/>
        <w:tabs>
          <w:tab w:val="left" w:pos="720"/>
        </w:tabs>
        <w:rPr>
          <w:rFonts w:ascii="Palatino Linotype" w:hAnsi="Palatino Linotype"/>
        </w:rPr>
      </w:pPr>
    </w:p>
    <w:p w:rsidR="00C8496C" w:rsidRDefault="00C8496C" w:rsidP="00360DA4">
      <w:pPr>
        <w:widowControl w:val="0"/>
        <w:tabs>
          <w:tab w:val="left" w:pos="72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[</w:t>
      </w:r>
      <w:r w:rsidRPr="00C8496C">
        <w:rPr>
          <w:rFonts w:ascii="Palatino Linotype" w:hAnsi="Palatino Linotype"/>
        </w:rPr>
        <w:t>Update editorial memo to include that things should not be ruled editorial until after the responsible group has voted to propose the change.</w:t>
      </w:r>
      <w:r>
        <w:rPr>
          <w:rFonts w:ascii="Palatino Linotype" w:hAnsi="Palatino Linotype"/>
        </w:rPr>
        <w:t>]</w:t>
      </w:r>
      <w:bookmarkStart w:id="0" w:name="_GoBack"/>
      <w:bookmarkEnd w:id="0"/>
    </w:p>
    <w:p w:rsidR="00C8496C" w:rsidRDefault="00C8496C" w:rsidP="00360DA4">
      <w:pPr>
        <w:widowControl w:val="0"/>
        <w:tabs>
          <w:tab w:val="left" w:pos="720"/>
        </w:tabs>
        <w:rPr>
          <w:rFonts w:ascii="Palatino Linotype" w:hAnsi="Palatino Linotype"/>
        </w:rPr>
      </w:pPr>
    </w:p>
    <w:p w:rsidR="00360DA4" w:rsidRDefault="00360DA4" w:rsidP="00360DA4">
      <w:pPr>
        <w:widowControl w:val="0"/>
        <w:tabs>
          <w:tab w:val="left" w:pos="72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Faculty President or Senate Executive Committee are sometimes asked to determine whether a </w:t>
      </w:r>
      <w:r w:rsidRPr="00723B22">
        <w:rPr>
          <w:rFonts w:ascii="Palatino Linotype" w:hAnsi="Palatino Linotype"/>
        </w:rPr>
        <w:t>proposed</w:t>
      </w:r>
      <w:r>
        <w:rPr>
          <w:rFonts w:ascii="Palatino Linotype" w:hAnsi="Palatino Linotype"/>
        </w:rPr>
        <w:t xml:space="preserve"> change to a policy is </w:t>
      </w:r>
      <w:r w:rsidRPr="00E6528D">
        <w:rPr>
          <w:rFonts w:ascii="Palatino Linotype" w:hAnsi="Palatino Linotype"/>
          <w:i/>
        </w:rPr>
        <w:t>editorial</w:t>
      </w:r>
      <w:r>
        <w:rPr>
          <w:rFonts w:ascii="Palatino Linotype" w:hAnsi="Palatino Linotype"/>
        </w:rPr>
        <w:t xml:space="preserve">. If the change is ruled editorial, no further approval is required. </w:t>
      </w:r>
      <w:r w:rsidR="00723B22">
        <w:rPr>
          <w:rFonts w:ascii="Palatino Linotype" w:hAnsi="Palatino Linotype"/>
        </w:rPr>
        <w:t>The purpose of ruling a change editorial is to save the Senate time</w:t>
      </w:r>
      <w:r w:rsidR="00CF26A4">
        <w:rPr>
          <w:rFonts w:ascii="Palatino Linotype" w:hAnsi="Palatino Linotype"/>
        </w:rPr>
        <w:t xml:space="preserve"> by avoiding trivial matters</w:t>
      </w:r>
      <w:r w:rsidR="00723B22">
        <w:rPr>
          <w:rFonts w:ascii="Palatino Linotype" w:hAnsi="Palatino Linotype"/>
        </w:rPr>
        <w:t>.</w:t>
      </w:r>
    </w:p>
    <w:p w:rsidR="00360DA4" w:rsidRDefault="00360DA4" w:rsidP="00360DA4">
      <w:pPr>
        <w:widowControl w:val="0"/>
        <w:tabs>
          <w:tab w:val="left" w:pos="720"/>
        </w:tabs>
        <w:rPr>
          <w:rFonts w:ascii="Palatino Linotype" w:hAnsi="Palatino Linotype"/>
        </w:rPr>
      </w:pPr>
    </w:p>
    <w:p w:rsidR="00360DA4" w:rsidRDefault="00360DA4" w:rsidP="00360DA4">
      <w:pPr>
        <w:widowControl w:val="0"/>
        <w:tabs>
          <w:tab w:val="left" w:pos="72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In every case, the qu</w:t>
      </w:r>
      <w:r w:rsidR="00723B22">
        <w:rPr>
          <w:rFonts w:ascii="Palatino Linotype" w:hAnsi="Palatino Linotype"/>
        </w:rPr>
        <w:t xml:space="preserve">estion of whether a </w:t>
      </w:r>
      <w:r>
        <w:rPr>
          <w:rFonts w:ascii="Palatino Linotype" w:hAnsi="Palatino Linotype"/>
        </w:rPr>
        <w:t xml:space="preserve">change is editorial </w:t>
      </w:r>
      <w:r w:rsidR="00723B22">
        <w:rPr>
          <w:rFonts w:ascii="Palatino Linotype" w:hAnsi="Palatino Linotype"/>
        </w:rPr>
        <w:t xml:space="preserve">must be made subsequent to </w:t>
      </w:r>
      <w:r>
        <w:rPr>
          <w:rFonts w:ascii="Palatino Linotype" w:hAnsi="Palatino Linotype"/>
        </w:rPr>
        <w:t>an appropriate affirmative vote</w:t>
      </w:r>
      <w:r w:rsidR="00723B22">
        <w:rPr>
          <w:rFonts w:ascii="Palatino Linotype" w:hAnsi="Palatino Linotype"/>
        </w:rPr>
        <w:t xml:space="preserve"> by the appropriate body to recommend the change. For example, PPR or EPC must approve the change through normal procedure. Only then may the change be ruled editorial.</w:t>
      </w:r>
    </w:p>
    <w:p w:rsidR="00360DA4" w:rsidRDefault="00360DA4" w:rsidP="00360DA4">
      <w:pPr>
        <w:widowControl w:val="0"/>
        <w:tabs>
          <w:tab w:val="left" w:pos="720"/>
        </w:tabs>
        <w:rPr>
          <w:rFonts w:ascii="Palatino Linotype" w:hAnsi="Palatino Linotype"/>
        </w:rPr>
      </w:pPr>
    </w:p>
    <w:p w:rsidR="00360DA4" w:rsidRDefault="00723B22" w:rsidP="00360DA4">
      <w:pPr>
        <w:widowControl w:val="0"/>
        <w:tabs>
          <w:tab w:val="left" w:pos="72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Whether a change is editorial should usually be</w:t>
      </w:r>
      <w:r w:rsidR="00360DA4">
        <w:rPr>
          <w:rFonts w:ascii="Palatino Linotype" w:hAnsi="Palatino Linotype"/>
        </w:rPr>
        <w:t xml:space="preserve"> uncontroversial. But in </w:t>
      </w:r>
      <w:r>
        <w:rPr>
          <w:rFonts w:ascii="Palatino Linotype" w:hAnsi="Palatino Linotype"/>
        </w:rPr>
        <w:t>some</w:t>
      </w:r>
      <w:r w:rsidR="00360DA4">
        <w:rPr>
          <w:rFonts w:ascii="Palatino Linotype" w:hAnsi="Palatino Linotype"/>
        </w:rPr>
        <w:t xml:space="preserve"> cases it may help to have a clear guideline for making the determination. </w:t>
      </w:r>
    </w:p>
    <w:p w:rsidR="00360DA4" w:rsidRDefault="00360DA4" w:rsidP="00360DA4">
      <w:pPr>
        <w:widowControl w:val="0"/>
        <w:tabs>
          <w:tab w:val="left" w:pos="720"/>
        </w:tabs>
        <w:rPr>
          <w:rFonts w:ascii="Palatino Linotype" w:hAnsi="Palatino Linotype"/>
        </w:rPr>
      </w:pPr>
    </w:p>
    <w:p w:rsidR="00360DA4" w:rsidRDefault="00360DA4" w:rsidP="00360DA4">
      <w:pPr>
        <w:widowControl w:val="0"/>
        <w:tabs>
          <w:tab w:val="left" w:pos="72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I thus suggest the following criterion:</w:t>
      </w:r>
    </w:p>
    <w:p w:rsidR="00360DA4" w:rsidRDefault="00360DA4" w:rsidP="00360DA4">
      <w:pPr>
        <w:widowControl w:val="0"/>
        <w:tabs>
          <w:tab w:val="left" w:pos="720"/>
        </w:tabs>
        <w:rPr>
          <w:rFonts w:ascii="Palatino Linotype" w:hAnsi="Palatino Linotype"/>
        </w:rPr>
      </w:pPr>
    </w:p>
    <w:p w:rsidR="00360DA4" w:rsidRDefault="00360DA4" w:rsidP="00360DA4">
      <w:pPr>
        <w:widowControl w:val="0"/>
        <w:tabs>
          <w:tab w:val="left" w:pos="720"/>
        </w:tabs>
        <w:ind w:left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 change is </w:t>
      </w:r>
      <w:r w:rsidRPr="00B262E8">
        <w:rPr>
          <w:rFonts w:ascii="Palatino Linotype" w:hAnsi="Palatino Linotype"/>
          <w:i/>
        </w:rPr>
        <w:t>editorial</w:t>
      </w:r>
      <w:r>
        <w:rPr>
          <w:rFonts w:ascii="Palatino Linotype" w:hAnsi="Palatino Linotype"/>
        </w:rPr>
        <w:t xml:space="preserve"> if and only if it is not possible that the change affect the reasonable application of the policy. </w:t>
      </w:r>
    </w:p>
    <w:p w:rsidR="00360DA4" w:rsidRDefault="00360DA4" w:rsidP="00360DA4">
      <w:pPr>
        <w:widowControl w:val="0"/>
        <w:tabs>
          <w:tab w:val="left" w:pos="720"/>
        </w:tabs>
        <w:rPr>
          <w:rFonts w:ascii="Palatino Linotype" w:hAnsi="Palatino Linotype"/>
        </w:rPr>
      </w:pPr>
    </w:p>
    <w:p w:rsidR="001757E4" w:rsidRDefault="003F400D" w:rsidP="00360DA4">
      <w:pPr>
        <w:widowControl w:val="0"/>
        <w:tabs>
          <w:tab w:val="left" w:pos="72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Modern logic understands</w:t>
      </w:r>
      <w:r w:rsidR="001757E4">
        <w:rPr>
          <w:rFonts w:ascii="Palatino Linotype" w:hAnsi="Palatino Linotype"/>
        </w:rPr>
        <w:t xml:space="preserve"> modal concepts (e.g., possibility and necessity) via comparing hypothetical worlds which differ only the relevant properties. Thus, this principle may be p</w:t>
      </w:r>
      <w:r w:rsidR="00360DA4">
        <w:rPr>
          <w:rFonts w:ascii="Palatino Linotype" w:hAnsi="Palatino Linotype"/>
        </w:rPr>
        <w:t xml:space="preserve">ut more formally: </w:t>
      </w:r>
    </w:p>
    <w:p w:rsidR="00360DA4" w:rsidRPr="00E6528D" w:rsidRDefault="00360DA4" w:rsidP="001757E4">
      <w:pPr>
        <w:widowControl w:val="0"/>
        <w:tabs>
          <w:tab w:val="left" w:pos="720"/>
        </w:tabs>
        <w:ind w:left="720"/>
        <w:rPr>
          <w:rFonts w:ascii="Palatino Linotype" w:hAnsi="Palatino Linotype"/>
        </w:rPr>
      </w:pPr>
      <w:r>
        <w:rPr>
          <w:rFonts w:ascii="Palatino Linotype" w:hAnsi="Palatino Linotype"/>
        </w:rPr>
        <w:t>Consider two worlds in which the policy will be applied in good faith by reasonable interpreters. In world</w:t>
      </w:r>
      <w:r>
        <w:rPr>
          <w:rFonts w:ascii="Palatino Linotype" w:hAnsi="Palatino Linotype"/>
          <w:vertAlign w:val="subscript"/>
        </w:rPr>
        <w:t>1</w:t>
      </w:r>
      <w:r>
        <w:rPr>
          <w:rFonts w:ascii="Palatino Linotype" w:hAnsi="Palatino Linotype"/>
        </w:rPr>
        <w:t xml:space="preserve"> the policy in its present form is applied. In world</w:t>
      </w:r>
      <w:r>
        <w:rPr>
          <w:rFonts w:ascii="Palatino Linotype" w:hAnsi="Palatino Linotype"/>
          <w:vertAlign w:val="subscript"/>
        </w:rPr>
        <w:t>2</w:t>
      </w:r>
      <w:r>
        <w:rPr>
          <w:rFonts w:ascii="Palatino Linotype" w:hAnsi="Palatino Linotype"/>
        </w:rPr>
        <w:t xml:space="preserve"> the policy with the change under consideration is applied. In each world, the policy is used to make decisions d</w:t>
      </w:r>
      <w:r>
        <w:rPr>
          <w:rFonts w:ascii="Palatino Linotype" w:hAnsi="Palatino Linotype"/>
          <w:vertAlign w:val="subscript"/>
        </w:rPr>
        <w:t>0…n</w:t>
      </w:r>
      <w:r>
        <w:rPr>
          <w:rFonts w:ascii="Palatino Linotype" w:hAnsi="Palatino Linotype"/>
        </w:rPr>
        <w:t xml:space="preserve"> about cases c</w:t>
      </w:r>
      <w:r>
        <w:rPr>
          <w:rFonts w:ascii="Palatino Linotype" w:hAnsi="Palatino Linotype"/>
          <w:vertAlign w:val="subscript"/>
        </w:rPr>
        <w:t>0…n</w:t>
      </w:r>
      <w:r>
        <w:rPr>
          <w:rFonts w:ascii="Palatino Linotype" w:hAnsi="Palatino Linotype"/>
        </w:rPr>
        <w:t>. If we can reasonably expect that there is some case-decision tuple (c</w:t>
      </w:r>
      <w:r w:rsidRPr="00E6528D">
        <w:rPr>
          <w:rFonts w:ascii="Palatino Linotype" w:hAnsi="Palatino Linotype"/>
          <w:vertAlign w:val="subscript"/>
        </w:rPr>
        <w:t>i</w:t>
      </w:r>
      <w:r>
        <w:rPr>
          <w:rFonts w:ascii="Palatino Linotype" w:hAnsi="Palatino Linotype"/>
        </w:rPr>
        <w:t>, d</w:t>
      </w:r>
      <w:r w:rsidRPr="00E6528D">
        <w:rPr>
          <w:rFonts w:ascii="Palatino Linotype" w:hAnsi="Palatino Linotype"/>
          <w:vertAlign w:val="subscript"/>
        </w:rPr>
        <w:t>i</w:t>
      </w:r>
      <w:r>
        <w:rPr>
          <w:rFonts w:ascii="Palatino Linotype" w:hAnsi="Palatino Linotype"/>
        </w:rPr>
        <w:t>) in world</w:t>
      </w:r>
      <w:r w:rsidRPr="00E6528D">
        <w:rPr>
          <w:rFonts w:ascii="Palatino Linotype" w:hAnsi="Palatino Linotype"/>
          <w:vertAlign w:val="subscript"/>
        </w:rPr>
        <w:t>1</w:t>
      </w:r>
      <w:r>
        <w:rPr>
          <w:rFonts w:ascii="Palatino Linotype" w:hAnsi="Palatino Linotype"/>
        </w:rPr>
        <w:t xml:space="preserve"> which differs from (c</w:t>
      </w:r>
      <w:r w:rsidRPr="00E6528D">
        <w:rPr>
          <w:rFonts w:ascii="Palatino Linotype" w:hAnsi="Palatino Linotype"/>
          <w:vertAlign w:val="subscript"/>
        </w:rPr>
        <w:t>i</w:t>
      </w:r>
      <w:r>
        <w:rPr>
          <w:rFonts w:ascii="Palatino Linotype" w:hAnsi="Palatino Linotype"/>
        </w:rPr>
        <w:t>, d</w:t>
      </w:r>
      <w:r w:rsidRPr="00E6528D">
        <w:rPr>
          <w:rFonts w:ascii="Palatino Linotype" w:hAnsi="Palatino Linotype"/>
          <w:vertAlign w:val="subscript"/>
        </w:rPr>
        <w:t>i</w:t>
      </w:r>
      <w:r>
        <w:rPr>
          <w:rFonts w:ascii="Palatino Linotype" w:hAnsi="Palatino Linotype"/>
        </w:rPr>
        <w:t xml:space="preserve">) in </w:t>
      </w:r>
      <w:r>
        <w:rPr>
          <w:rFonts w:ascii="Palatino Linotype" w:hAnsi="Palatino Linotype"/>
        </w:rPr>
        <w:lastRenderedPageBreak/>
        <w:t>world</w:t>
      </w:r>
      <w:r w:rsidRPr="00E6528D">
        <w:rPr>
          <w:rFonts w:ascii="Palatino Linotype" w:hAnsi="Palatino Linotype"/>
          <w:vertAlign w:val="subscript"/>
        </w:rPr>
        <w:t>2</w:t>
      </w:r>
      <w:r>
        <w:rPr>
          <w:rFonts w:ascii="Palatino Linotype" w:hAnsi="Palatino Linotype"/>
        </w:rPr>
        <w:t xml:space="preserve">, then the change is not editorial. </w:t>
      </w:r>
    </w:p>
    <w:p w:rsidR="0057061A" w:rsidRDefault="00C8496C"/>
    <w:sectPr w:rsidR="0057061A">
      <w:footnotePr>
        <w:numFmt w:val="lowerLetter"/>
      </w:footnotePr>
      <w:endnotePr>
        <w:numFmt w:val="lowerLetter"/>
      </w:endnotePr>
      <w:pgSz w:w="12240" w:h="15840"/>
      <w:pgMar w:top="1152" w:right="1296" w:bottom="1152" w:left="1296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45845"/>
    <w:multiLevelType w:val="hybridMultilevel"/>
    <w:tmpl w:val="D9B8F8EA"/>
    <w:lvl w:ilvl="0" w:tplc="28E65CC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numFmt w:val="lowerLetter"/>
  </w:footnotePr>
  <w:endnotePr>
    <w:numFmt w:val="lowerLetter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A4"/>
    <w:rsid w:val="000725AD"/>
    <w:rsid w:val="00136B86"/>
    <w:rsid w:val="001757E4"/>
    <w:rsid w:val="001F45FC"/>
    <w:rsid w:val="00360DA4"/>
    <w:rsid w:val="003A1FF5"/>
    <w:rsid w:val="003F400D"/>
    <w:rsid w:val="0047032C"/>
    <w:rsid w:val="00607092"/>
    <w:rsid w:val="006D276C"/>
    <w:rsid w:val="00723B22"/>
    <w:rsid w:val="007E7D27"/>
    <w:rsid w:val="008872FD"/>
    <w:rsid w:val="00992E59"/>
    <w:rsid w:val="00AF7C34"/>
    <w:rsid w:val="00B2084C"/>
    <w:rsid w:val="00C8496C"/>
    <w:rsid w:val="00CF26A4"/>
    <w:rsid w:val="00EA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B1FE5"/>
  <w14:defaultImageDpi w14:val="32767"/>
  <w15:chartTrackingRefBased/>
  <w15:docId w15:val="{D73E9DED-0C4C-2143-9F90-6B21C824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0DA4"/>
    <w:rPr>
      <w:rFonts w:ascii="Times New Roman" w:eastAsia="Times New Roman" w:hAnsi="Times New Roman" w:cs="Times New Roman"/>
      <w:szCs w:val="20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7032C"/>
    <w:pPr>
      <w:keepNext/>
      <w:spacing w:before="120"/>
      <w:contextualSpacing/>
      <w:jc w:val="center"/>
      <w:outlineLvl w:val="0"/>
    </w:pPr>
    <w:rPr>
      <w:rFonts w:ascii="Palatino Linotype" w:eastAsiaTheme="minorEastAsia" w:hAnsi="Palatino Linotype"/>
      <w:b/>
      <w:kern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rsid w:val="00992E59"/>
    <w:pPr>
      <w:keepNext/>
      <w:spacing w:before="120"/>
      <w:outlineLvl w:val="1"/>
    </w:pPr>
    <w:rPr>
      <w:rFonts w:ascii="Palatino Linotype" w:hAnsi="Palatino Linotype"/>
      <w:b/>
      <w:bCs/>
      <w:iCs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992E59"/>
    <w:pPr>
      <w:keepNext/>
      <w:spacing w:before="120"/>
      <w:outlineLvl w:val="2"/>
    </w:pPr>
    <w:rPr>
      <w:rFonts w:ascii="Palatino Linotype" w:hAnsi="Palatino Linotype"/>
      <w:color w:val="0000FF"/>
      <w:sz w:val="20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032C"/>
    <w:rPr>
      <w:rFonts w:ascii="Palatino Linotype" w:hAnsi="Palatino Linotype" w:cs="Times New Roman"/>
      <w:b/>
      <w:kern w:val="32"/>
      <w:szCs w:val="32"/>
      <w:lang w:eastAsia="en-US"/>
    </w:rPr>
  </w:style>
  <w:style w:type="paragraph" w:styleId="BodyText">
    <w:name w:val="Body Text"/>
    <w:basedOn w:val="Normal"/>
    <w:link w:val="BodyTextChar"/>
    <w:qFormat/>
    <w:rsid w:val="00992E59"/>
    <w:pPr>
      <w:ind w:firstLine="144"/>
    </w:pPr>
    <w:rPr>
      <w:rFonts w:ascii="Palatino Linotype" w:eastAsiaTheme="minorEastAsia" w:hAnsi="Palatino Linotype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992E59"/>
    <w:rPr>
      <w:rFonts w:ascii="Palatino Linotype" w:hAnsi="Palatino Linotype"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92E59"/>
    <w:rPr>
      <w:rFonts w:ascii="Palatino Linotype" w:eastAsia="Times New Roman" w:hAnsi="Palatino Linotype" w:cs="Times New Roman"/>
      <w:b/>
      <w:bCs/>
      <w:iCs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992E59"/>
    <w:rPr>
      <w:rFonts w:ascii="Palatino Linotype" w:eastAsia="Times New Roman" w:hAnsi="Palatino Linotype" w:cs="Times New Roman"/>
      <w:color w:val="0000FF"/>
      <w:sz w:val="20"/>
      <w:szCs w:val="26"/>
      <w:lang w:eastAsia="en-US"/>
    </w:rPr>
  </w:style>
  <w:style w:type="paragraph" w:customStyle="1" w:styleId="Note">
    <w:name w:val="Note"/>
    <w:basedOn w:val="Normal"/>
    <w:next w:val="BodyText"/>
    <w:rsid w:val="0047032C"/>
    <w:pPr>
      <w:spacing w:after="120"/>
      <w:contextualSpacing/>
    </w:pPr>
    <w:rPr>
      <w:rFonts w:ascii="Baskerville" w:hAnsi="Baskerville"/>
      <w:caps/>
      <w:sz w:val="16"/>
      <w:szCs w:val="16"/>
    </w:rPr>
  </w:style>
  <w:style w:type="paragraph" w:styleId="ListParagraph">
    <w:name w:val="List Paragraph"/>
    <w:basedOn w:val="Normal"/>
    <w:uiPriority w:val="34"/>
    <w:qFormat/>
    <w:rsid w:val="0047032C"/>
    <w:pPr>
      <w:spacing w:after="120"/>
      <w:contextualSpacing/>
    </w:pPr>
    <w:rPr>
      <w:rFonts w:ascii="Palatino Linotype" w:eastAsiaTheme="minorEastAsia" w:hAnsi="Palatino Linotype"/>
      <w:szCs w:val="24"/>
      <w:lang w:eastAsia="zh-CN"/>
    </w:rPr>
  </w:style>
  <w:style w:type="paragraph" w:styleId="BodyTextIndent">
    <w:name w:val="Body Text Indent"/>
    <w:basedOn w:val="Normal"/>
    <w:link w:val="BodyTextIndentChar"/>
    <w:rsid w:val="0047032C"/>
    <w:pPr>
      <w:ind w:left="360"/>
    </w:pPr>
    <w:rPr>
      <w:rFonts w:ascii="Palatino Linotype" w:hAnsi="Palatino Linotype"/>
      <w:szCs w:val="24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47032C"/>
    <w:rPr>
      <w:rFonts w:ascii="Palatino Linotype" w:eastAsia="Times New Roman" w:hAnsi="Palatino Linotype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Swenson, Adam R</dc:creator>
  <cp:keywords/>
  <dc:description/>
  <cp:lastModifiedBy>Swenson, Adam R</cp:lastModifiedBy>
  <cp:revision>6</cp:revision>
  <dcterms:created xsi:type="dcterms:W3CDTF">2018-03-26T02:50:00Z</dcterms:created>
  <dcterms:modified xsi:type="dcterms:W3CDTF">2018-05-31T20:59:00Z</dcterms:modified>
</cp:coreProperties>
</file>