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Layout w:type="fixed"/>
        <w:tblLook w:val="0000"/>
      </w:tblPr>
      <w:tblGrid>
        <w:gridCol w:w="1926"/>
        <w:gridCol w:w="2619"/>
        <w:gridCol w:w="2520"/>
        <w:gridCol w:w="644"/>
        <w:gridCol w:w="1935"/>
        <w:tblGridChange w:id="0">
          <w:tblGrid>
            <w:gridCol w:w="1926"/>
            <w:gridCol w:w="2619"/>
            <w:gridCol w:w="2520"/>
            <w:gridCol w:w="644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50620" cy="1150620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50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Politechnika Bydgoska im. J.J. Śniadeckich Wydział Telekomunikacji, Informatyki i Elektrotechniki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58240" cy="1158240"/>
                  <wp:effectExtent b="0" l="0" r="0" t="0"/>
                  <wp:docPr id="2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Przedmiot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Algorytmy i eksploracja danych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Prowadzący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inż. Michał Kruczkowski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Temat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Uczenie bez nadzoru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Studenci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 Szreiber, Cezary Naskręt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 ćw.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wykonania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.10.2023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r7cojdyrmoqc" w:id="0"/>
      <w:bookmarkEnd w:id="0"/>
      <w:r w:rsidDel="00000000" w:rsidR="00000000" w:rsidRPr="00000000">
        <w:rPr>
          <w:rtl w:val="0"/>
        </w:rPr>
        <w:t xml:space="preserve">Cel ćwiczenia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Uczenie maszynowe bez nadzoru to obszar uczenia maszynowego, w którym algorytmy są trenowane na danych, które nie mają przypisanych etykiet lub wyników, w przeciwieństwie do uczenia maszynowego nadzorowanego, gdzie algorytmy uczą się na danych z etykietami (wynikami). W uczeniu maszynowym bez nadzoru celem jest odnalezienie ukrytych wzorców, struktury lub zależności w danych, a także grupowanie danych w klastry lub redukcja wymiarów.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t01szs8qhla" w:id="1"/>
      <w:bookmarkEnd w:id="1"/>
      <w:r w:rsidDel="00000000" w:rsidR="00000000" w:rsidRPr="00000000">
        <w:rPr>
          <w:rtl w:val="0"/>
        </w:rPr>
        <w:t xml:space="preserve">Przebieg laboratorium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1"/>
          <w:numId w:val="3"/>
        </w:numPr>
        <w:ind w:left="1440" w:hanging="360"/>
        <w:rPr/>
      </w:pPr>
      <w:bookmarkStart w:colFirst="0" w:colLast="0" w:name="_io1kzhrhlbk7" w:id="2"/>
      <w:bookmarkEnd w:id="2"/>
      <w:r w:rsidDel="00000000" w:rsidR="00000000" w:rsidRPr="00000000">
        <w:rPr>
          <w:rtl w:val="0"/>
        </w:rPr>
        <w:t xml:space="preserve">Zadanie 1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Zbiór danych: http://archive.ics.uci.edu/ml/machine-learning-databases/00396/ Dane dotyczące transakcji różnych produktów na przestrzeni 51-tygodni zawierają zarówno wartości oryginalne jak i znormalizowane.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1"/>
          <w:numId w:val="3"/>
        </w:numPr>
        <w:ind w:left="1440" w:hanging="360"/>
      </w:pPr>
      <w:bookmarkStart w:colFirst="0" w:colLast="0" w:name="_2g4va2id1vph" w:id="3"/>
      <w:bookmarkEnd w:id="3"/>
      <w:r w:rsidDel="00000000" w:rsidR="00000000" w:rsidRPr="00000000">
        <w:rPr>
          <w:rtl w:val="0"/>
        </w:rPr>
        <w:t xml:space="preserve">Zadanie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Wykonaj analizę skupień danych dla następujących algorytmów: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K-MEANS++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*K-MEDIOD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Na początku importuje wszystkie biblioteki.</w:t>
        <w:br w:type="textWrapping"/>
        <w:t xml:space="preserve">Następnie przygotowuję dane do obróbki.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Kod przedstawiający metodę łokciową - służącą w wyznaczaniu ilości klastrów.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33875" cy="2390775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Na wykresie poszukaj "łokcia" (punkt zwany "punkt łokcia"), który jest miejscem, w którym spadek wartości funkcji kosztu zaczyna się wyhamowywać. Z wykresu wynika że przy wartości 3 jest wyrównanie na wykresie - co oznacza że to jest nasza ilość klastrów.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96180" cy="322421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18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Kod służący wczytaniu ilości klastrów od użytkownika, a następnie wykonaniu uczenia modelu sieci KMeans.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Do danych w `features` zostanie dodana kolumna ‘Cluster’ i w niej będą przechowywane etykiety klastra do którego przynależą.</w:t>
        <w:br w:type="textWrapping"/>
        <w:t xml:space="preserve">W ostatniej fazie zostaje tworzony wykres w raz z centroidami.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04365" cy="4087149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4365" cy="408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Przedstawienie wykresu z pogrupowanymi punktami.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497624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97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Widok danych wraz z etykietą klastra w ostatniej kolumnie.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 kolejnym podpunkcie należało użyć metody `k-means++`.</w:t>
        <w:br w:type="textWrapping"/>
        <w:t xml:space="preserve">Nie nastąpiła żadna większa zmiana w kodzie. </w:t>
        <w:br w:type="textWrapping"/>
        <w:t xml:space="preserve">Poniżej przedstawiono fragment kodu zawierającego inicjalizację modelu `KMeans` lecz parametr `init` świadczy o tym iż będzie użyty algorytm `k-means++`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5048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Wyniki z konsoli.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Wykres przedstawiający dane pogrupowane za pomocą metody `k-means++`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3531172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531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W kolejnym podpunkcie należało wykorzystać metodę KMedoids. </w:t>
        <w:br w:type="textWrapping"/>
        <w:t xml:space="preserve">Poniżej przedstawiono kod który realizuje uczenie oraz tworzenie wykres</w:t>
      </w:r>
      <w:r w:rsidDel="00000000" w:rsidR="00000000" w:rsidRPr="00000000">
        <w:rPr/>
        <w:drawing>
          <wp:inline distB="114300" distT="114300" distL="114300" distR="114300">
            <wp:extent cx="4928962" cy="3250398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962" cy="325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Wykres grupowania metodą KMedoids z centroidami.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3"/>
        </w:numPr>
        <w:ind w:left="1440" w:hanging="360"/>
      </w:pPr>
      <w:bookmarkStart w:colFirst="0" w:colLast="0" w:name="_wv886k5ovwwo" w:id="4"/>
      <w:bookmarkEnd w:id="4"/>
      <w:r w:rsidDel="00000000" w:rsidR="00000000" w:rsidRPr="00000000">
        <w:rPr>
          <w:rtl w:val="0"/>
        </w:rPr>
        <w:t xml:space="preserve">Zadanie 3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Wykonaj klasteryzację dla tego samego zbioru danych na podstawie algorytmów: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Agglomerative Clustering z dowolnym typem klasteryzacji, typem wiązania oraz metryką odległości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DBSCAN z domyślnymi wartościami argumentów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Inicjalizacja modelu AgglomerativeClustering,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90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Zliczanie ilości wystąpień elementów danej klasy.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95275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Wyświetlenie obfitości wystąpień klas.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376613" cy="2608388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60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Następnie przeszedłem do obróbki danych pod `heatmap`</w:t>
        <w:br w:type="textWrapping"/>
        <w:t xml:space="preserve">Poniżej tworze 10 zakresów liczbowych, od wartości 0 do maksymalnej wartości występującej w oryginalnej tablicy “data”.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Liczymy ilość wystąpień danej wystąpień danych z danego przedziały w każdej z klas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712636" cy="5151949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636" cy="515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 obróbce danych możemy wyświetlić heatmap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Interpretacja danych: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Heatmapa przedstawia 3 klastry ( oś y ).</w:t>
        <w:br w:type="textWrapping"/>
        <w:t xml:space="preserve">Oś x przedstawia zakresy indeksy danych w tablicy zwróconej poprzez predykcję modelu.</w:t>
        <w:br w:type="textWrapping"/>
        <w:t xml:space="preserve">Natomiast nałożone kolory tj. im jaśniejszy kolor tym większa ilość wystąpień.</w:t>
        <w:br w:type="textWrapping"/>
        <w:br w:type="textWrapping"/>
        <w:t xml:space="preserve">Z poniższego wykresu możemy zauważyć, że klaster 2 najwięcej występował w pod koniec datasetu, natomiast najmniej na początku.</w:t>
        <w:br w:type="textWrapping"/>
        <w:t xml:space="preserve">Zupełnie inaczej wygląda klaster 1, który to można powiedzieć, występował tylko na początkowych 250 pozycjach.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Elementy przynależące do klaster 0, były niemal równomiernie rozłożone po całym dataset, za wyjątkiem zakresów 485-565 gdzie występował pik częstotliwości występowania (65 razy - co stanowi 80% predykcji), 650-end gdzie klaster 0 praktycznie nie występował.</w:t>
        <w:br w:type="textWrapping"/>
      </w:r>
      <w:r w:rsidDel="00000000" w:rsidR="00000000" w:rsidRPr="00000000">
        <w:rPr/>
        <w:drawing>
          <wp:inline distB="114300" distT="114300" distL="114300" distR="114300">
            <wp:extent cx="4563076" cy="3032424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5243" l="2008" r="2811" t="3718"/>
                    <a:stretch>
                      <a:fillRect/>
                    </a:stretch>
                  </pic:blipFill>
                  <pic:spPr>
                    <a:xfrm>
                      <a:off x="0" y="0"/>
                      <a:ext cx="4563076" cy="303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 kolejnym kroku należało przygotować dane do denogramu.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355528" cy="292357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528" cy="292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Wyświetlenie denogramu.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285937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85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 pierwszej kolejności, po wczytaniu danych, należy ustandaryzować dane.</w:t>
        <w:br w:type="textWrapping"/>
        <w:t xml:space="preserve">W przypadku, gdy niektóre cechy mają większy wpływ na wyniki analizy niż inne, to może prowadzić to do błędnych wyników lub zniekształcenia struktury klastrów.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Standaryzacja pomaga uniknąć takich sytuacji.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Wykres standaryzowanych danych.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Z wykresu wynika, że wszystkie punkty to “szum”.</w:t>
        <w:br w:type="textWrapping"/>
        <w:t xml:space="preserve">Zakwalifikowanych danych było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315986" cy="3256787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986" cy="325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Natomiast zmiana parametrów przyniosła tylko negatywne skutki.</w:t>
        <w:br w:type="textWrapping"/>
        <w:t xml:space="preserve">Np dla wartości min_samples = 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1547813" cy="51593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51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858656" cy="3675261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656" cy="3675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1"/>
          <w:numId w:val="3"/>
        </w:numPr>
        <w:ind w:left="1440" w:hanging="360"/>
      </w:pPr>
      <w:bookmarkStart w:colFirst="0" w:colLast="0" w:name="_b4taiqn2t9t" w:id="5"/>
      <w:bookmarkEnd w:id="5"/>
      <w:r w:rsidDel="00000000" w:rsidR="00000000" w:rsidRPr="00000000">
        <w:rPr>
          <w:rtl w:val="0"/>
        </w:rPr>
        <w:t xml:space="preserve">Zadanie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Korzystając z miary silhouette, a dokładnie średniej miary silhouette dla wszystkich klastrów oblicz i zaprezentuj graficznie optymalne liczby klastrów dla każdego z analizowanych algorytmów w zakresie od 2 do 15 klastrów.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Poniższy kod realizuje wczytanie danych z pliku, inicjalizację podstawowych zmiennych, oraz generowanie danych potrzebnych do utworzenia wykresu silhouette.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Następnie mając dane mogłem utworzyć wykres</w:t>
        <w:br w:type="textWrapping"/>
      </w:r>
      <w:r w:rsidDel="00000000" w:rsidR="00000000" w:rsidRPr="00000000">
        <w:rPr/>
        <w:drawing>
          <wp:inline distB="114300" distT="114300" distL="114300" distR="114300">
            <wp:extent cx="4257675" cy="20002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Przedstawienie wykresu który otrzymałem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br w:type="textWrapping"/>
        <w:t xml:space="preserve">W kolejnym przeszedłem do realizacji wykresu  silhouette dla metody KMedoids, co ukazuje poniższy kod: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571625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Dane zostały zgromadzone, mogę je następnie zaprezentować na wykresie.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1457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Wykres optymalnej ilości klas dla metody K-Medoids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fbmg8o1840tx" w:id="6"/>
      <w:bookmarkEnd w:id="6"/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K-means (K-średnich) to popularny algorytm w uczeniu maszynowym, wykorzystywany do klasteryzacji danych. Jest to technika uczenia maszynowego bez nadzoru, która grupuje punkty danych w klastry na podstawie ich podobieństwa. Istnieją techniki, takie jak metoda łokcia (elbow method) do wyboru optymalnej liczby klastrów. Algorytm K-means jest prosty w implementacji, ale jego skuteczność może zależeć od charakterystyki danych i wyboru parametrów.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K-means jest stosowany w wielu dziedzinach, takich jak analiza danych, segmentacja klientów, analiza obrazów, analiza tekstu, przetwarzanie sygnałów i wiele innych.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K-means++ to ulepszona wersja algorytmu K-means, która poprawia sposób inicjalizacji początkowych pozycji centroidów klastrów. Standardowa inicjalizacja w algorytmie K-means polega na losowym wyborze początkowych centroidów, co może prowadzić do wyników zależnych od wylosowanego początkowego stanu. K-means++ wprowadza bardziej inteligentny sposób inicjalizacji, który pomaga zbiegnąć do lepszych wyników klastrowania. 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K-medoid, który jest modyfikacją algorytmu K-średnich (K-means) i bazuje na koncepcji medoidów. 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K-medoid to algorytm klasteryzacji danych, który jest podobny do K-średnich, ale zamiast używać centroidów klastrów, używa medoidów.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Medoid to punkt danych w klastrze, który minimalizuje sumę odległości między nim a pozostałymi punktami w klastrze. W przeciwieństwie do centroidów, medoid nie jest średnią arytmetyczną punktów w klastrze.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Algorytm K-medoid ma na celu znalezienie k medoidów, reprezentujących klastry w danych.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Agglomerative Clustering to algorytm klasteryzacji hierarchicznej wykorzystywany w uczeniu maszynowym do grupowania danych. Jest to algorytm aglomeracyjny, co oznacza, że zaczyna od pojedynczych punktów i stopniowo łączy je w większe klastry.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Algorytm DBSCAN to metoda klasteryzacji danych, która grupuje punkty na podstawie gęstości punktów w przestrzeni.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Wykorzystuje dwa parametry: promień otoczenia (eps) i minimalną liczbę punktów w otoczeniu (min_samples), aby określić klastry i punkty odstające.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Dendrogram ukazuje hierarchiczną strukturę danych lub obserwacji w kontekście skupień. Skupienia są reprezentowane jako gałęzie drzewa, a odległość między nimi jest interpretowana jako miara podobieństwa lub odmienności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Wykres Silhouette pomaga on w określeniu optymalnej liczby klastrów poprzez mierzenie odległości między punktami wewnątrz klastrów i między klastrami. Wyższe wartości indeksu Silhouette wskazują na lepszą jakość klastrów.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24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7.png"/><Relationship Id="rId25" Type="http://schemas.openxmlformats.org/officeDocument/2006/relationships/image" Target="media/image19.png"/><Relationship Id="rId28" Type="http://schemas.openxmlformats.org/officeDocument/2006/relationships/image" Target="media/image3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1.png"/><Relationship Id="rId7" Type="http://schemas.openxmlformats.org/officeDocument/2006/relationships/image" Target="media/image14.png"/><Relationship Id="rId8" Type="http://schemas.openxmlformats.org/officeDocument/2006/relationships/image" Target="media/image23.png"/><Relationship Id="rId31" Type="http://schemas.openxmlformats.org/officeDocument/2006/relationships/image" Target="media/image7.png"/><Relationship Id="rId30" Type="http://schemas.openxmlformats.org/officeDocument/2006/relationships/image" Target="media/image12.png"/><Relationship Id="rId11" Type="http://schemas.openxmlformats.org/officeDocument/2006/relationships/image" Target="media/image28.png"/><Relationship Id="rId33" Type="http://schemas.openxmlformats.org/officeDocument/2006/relationships/image" Target="media/image17.png"/><Relationship Id="rId10" Type="http://schemas.openxmlformats.org/officeDocument/2006/relationships/image" Target="media/image1.png"/><Relationship Id="rId32" Type="http://schemas.openxmlformats.org/officeDocument/2006/relationships/image" Target="media/image20.png"/><Relationship Id="rId13" Type="http://schemas.openxmlformats.org/officeDocument/2006/relationships/image" Target="media/image16.png"/><Relationship Id="rId35" Type="http://schemas.openxmlformats.org/officeDocument/2006/relationships/image" Target="media/image26.png"/><Relationship Id="rId12" Type="http://schemas.openxmlformats.org/officeDocument/2006/relationships/image" Target="media/image15.png"/><Relationship Id="rId34" Type="http://schemas.openxmlformats.org/officeDocument/2006/relationships/image" Target="media/image2.png"/><Relationship Id="rId15" Type="http://schemas.openxmlformats.org/officeDocument/2006/relationships/image" Target="media/image29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