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6B5928">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6B5928">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6B5928">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6B5928">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6B5928">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6B5928">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6B5928">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6B5928">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6B5928"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6B5928" w:rsidP="009379C1">
      <w:pPr>
        <w:rPr>
          <w:lang w:val="en-US"/>
        </w:rPr>
      </w:pPr>
      <w:r>
        <w:fldChar w:fldCharType="begin"/>
      </w:r>
      <w:r w:rsidRPr="00B75BDD">
        <w:rPr>
          <w:lang w:val="en-US"/>
        </w:rPr>
        <w:instrText xml:space="preserve"> HYPERLINK "https://www.split.io/product/feature-flags/" </w:instrText>
      </w:r>
      <w:r>
        <w:fldChar w:fldCharType="separate"/>
      </w:r>
      <w:r w:rsidR="00833693" w:rsidRPr="00FF16E9">
        <w:rPr>
          <w:rStyle w:val="Hipercze"/>
          <w:lang w:val="en-US"/>
        </w:rPr>
        <w:t>Feature Flags: Faster software deployment and safer code releases | Split</w:t>
      </w:r>
      <w:r>
        <w:rPr>
          <w:rStyle w:val="Hipercze"/>
          <w:lang w:val="en-US"/>
        </w:rPr>
        <w:fldChar w:fldCharType="end"/>
      </w:r>
    </w:p>
    <w:p w14:paraId="25E25EC6" w14:textId="77777777" w:rsidR="00833693" w:rsidRPr="00FF16E9" w:rsidRDefault="006B5928" w:rsidP="009379C1">
      <w:pPr>
        <w:rPr>
          <w:lang w:val="en-US"/>
        </w:rPr>
      </w:pPr>
      <w:r>
        <w:fldChar w:fldCharType="begin"/>
      </w:r>
      <w:r w:rsidRPr="00B75BDD">
        <w:rPr>
          <w:lang w:val="en-US"/>
        </w:rPr>
        <w:instrText xml:space="preserve"> HYPERLINK "https://harness.io/blog/feature-flag-management-tools/" </w:instrText>
      </w:r>
      <w:r>
        <w:fldChar w:fldCharType="separate"/>
      </w:r>
      <w:r w:rsidR="00833693" w:rsidRPr="00FF16E9">
        <w:rPr>
          <w:rStyle w:val="Hipercze"/>
          <w:lang w:val="en-US"/>
        </w:rPr>
        <w:t>The Top 6 Feature Flag Management Tools | Harness</w:t>
      </w:r>
      <w:r>
        <w:rPr>
          <w:rStyle w:val="Hipercze"/>
          <w:lang w:val="en-US"/>
        </w:rPr>
        <w:fldChar w:fldCharType="end"/>
      </w:r>
    </w:p>
    <w:p w14:paraId="785A9836" w14:textId="77777777" w:rsidR="00FF67BB" w:rsidRPr="009857DC" w:rsidRDefault="006B5928" w:rsidP="009379C1">
      <w:hyperlink r:id="rId10"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2"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3"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4"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5"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18" o:title=""/>
                </v:shape>
                <o:OLEObject Type="Embed" ProgID="PBrush" ShapeID="_x0000_i1026" DrawAspect="Content" ObjectID="_1708373289" r:id="rId19"/>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0" o:title=""/>
                </v:shape>
                <o:OLEObject Type="Embed" ProgID="PBrush" ShapeID="_x0000_i1027" DrawAspect="Content" ObjectID="_1708373290" r:id="rId21"/>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2">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3"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0DE725D0" w14:textId="36822E11" w:rsidR="0027281B" w:rsidRDefault="006E17DC" w:rsidP="00E636F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w:t>
      </w:r>
      <w:bookmarkStart w:id="26" w:name="_GoBack"/>
      <w:bookmarkEnd w:id="26"/>
      <w:r w:rsidR="0027281B">
        <w:t>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691B2B0" w:rsidR="00D9713D" w:rsidRPr="00D9713D" w:rsidRDefault="006E17DC" w:rsidP="00D9713D">
      <w:r>
        <w:rPr>
          <w:noProof/>
          <w:lang w:eastAsia="pl-PL"/>
        </w:rPr>
        <w:drawing>
          <wp:inline distT="0" distB="0" distL="0" distR="0" wp14:anchorId="4A126477" wp14:editId="749F1912">
            <wp:extent cx="5756910" cy="3482975"/>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7" w:name="_Toc97063036"/>
      <w:r w:rsidR="000213D1" w:rsidRPr="009857DC">
        <w:lastRenderedPageBreak/>
        <w:t>Podsumowanie</w:t>
      </w:r>
      <w:bookmarkEnd w:id="27"/>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8" w:name="_Toc97063037"/>
      <w:r w:rsidR="000213D1"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8"/>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D9713D" w:rsidRDefault="00D9713D">
      <w:pPr>
        <w:pStyle w:val="Tekstkomentarza"/>
      </w:pPr>
      <w:r>
        <w:rPr>
          <w:rStyle w:val="Odwoaniedokomentarza"/>
        </w:rPr>
        <w:annotationRef/>
      </w:r>
      <w:r>
        <w:t>Po krotce</w:t>
      </w:r>
    </w:p>
  </w:comment>
  <w:comment w:id="6" w:author="Adam SZREIBER" w:date="2022-03-04T16:31:00Z" w:initials="AS">
    <w:p w14:paraId="182BC7A4" w14:textId="77777777" w:rsidR="00D9713D" w:rsidRDefault="00D9713D"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D9713D" w:rsidRDefault="00D9713D">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D9713D" w:rsidRDefault="00D9713D">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D9713D" w:rsidRDefault="00D9713D">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D9713D" w:rsidRDefault="00D9713D">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D9713D" w:rsidRDefault="00D9713D">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D9713D" w:rsidRDefault="00D9713D">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D9713D" w:rsidRDefault="00D9713D">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D9713D" w:rsidRDefault="00D9713D">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D9713D" w:rsidRPr="00A70096" w:rsidRDefault="00D9713D">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D9713D" w:rsidRDefault="00D9713D">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D9713D" w:rsidRDefault="00D9713D">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D9713D" w:rsidRPr="001E0899" w:rsidRDefault="00D9713D">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D9713D" w:rsidRPr="00EF1496" w:rsidRDefault="00D9713D">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D9713D" w:rsidRPr="00783C64" w:rsidRDefault="00D9713D">
      <w:pPr>
        <w:pStyle w:val="Tekstkomentarza"/>
      </w:pPr>
      <w:r>
        <w:rPr>
          <w:rStyle w:val="Odwoaniedokomentarza"/>
        </w:rPr>
        <w:annotationRef/>
      </w:r>
      <w:hyperlink r:id="rId12"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D9713D" w:rsidRPr="00783C64" w:rsidRDefault="00D9713D">
      <w:pPr>
        <w:pStyle w:val="Tekstkomentarza"/>
      </w:pPr>
      <w:r>
        <w:rPr>
          <w:rStyle w:val="Odwoaniedokomentarza"/>
        </w:rPr>
        <w:annotationRef/>
      </w:r>
      <w:hyperlink r:id="rId13"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D9713D" w:rsidRPr="00783C64" w:rsidRDefault="00D9713D">
      <w:pPr>
        <w:pStyle w:val="Tekstkomentarza"/>
      </w:pPr>
      <w:r>
        <w:rPr>
          <w:rStyle w:val="Odwoaniedokomentarza"/>
        </w:rPr>
        <w:annotationRef/>
      </w:r>
      <w:hyperlink r:id="rId14"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D9713D" w:rsidRDefault="00D9713D">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D9713D" w:rsidRPr="00C07633" w:rsidRDefault="00D9713D">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 w:id="25" w:author="Adam SZREIBER" w:date="2022-03-09T18:13:00Z" w:initials="S">
    <w:p w14:paraId="6460998F" w14:textId="34DA5FFC" w:rsidR="00D9713D" w:rsidRDefault="00D9713D">
      <w:pPr>
        <w:pStyle w:val="Tekstkomentarza"/>
      </w:pPr>
      <w:r>
        <w:rPr>
          <w:rStyle w:val="Odwoaniedokomentarza"/>
        </w:rPr>
        <w:annotationRef/>
      </w:r>
      <w:hyperlink r:id="rId1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E3418" w14:textId="77777777" w:rsidR="006B5928" w:rsidRDefault="006B5928" w:rsidP="003E7CB8">
      <w:pPr>
        <w:spacing w:after="0" w:line="240" w:lineRule="auto"/>
      </w:pPr>
      <w:r>
        <w:separator/>
      </w:r>
    </w:p>
  </w:endnote>
  <w:endnote w:type="continuationSeparator" w:id="0">
    <w:p w14:paraId="77F82CCE" w14:textId="77777777" w:rsidR="006B5928" w:rsidRDefault="006B5928"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D9713D" w:rsidRDefault="00D9713D">
        <w:pPr>
          <w:pStyle w:val="Stopka"/>
          <w:jc w:val="center"/>
        </w:pPr>
        <w:r>
          <w:fldChar w:fldCharType="begin"/>
        </w:r>
        <w:r>
          <w:instrText>PAGE   \* MERGEFORMAT</w:instrText>
        </w:r>
        <w:r>
          <w:fldChar w:fldCharType="separate"/>
        </w:r>
        <w:r w:rsidR="00B75BDD">
          <w:rPr>
            <w:noProof/>
          </w:rPr>
          <w:t>33</w:t>
        </w:r>
        <w:r>
          <w:fldChar w:fldCharType="end"/>
        </w:r>
      </w:p>
    </w:sdtContent>
  </w:sdt>
  <w:p w14:paraId="4C6FAC7D" w14:textId="77777777" w:rsidR="00D9713D" w:rsidRDefault="00D9713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7E620" w14:textId="77777777" w:rsidR="006B5928" w:rsidRDefault="006B5928" w:rsidP="003E7CB8">
      <w:pPr>
        <w:spacing w:after="0" w:line="240" w:lineRule="auto"/>
      </w:pPr>
      <w:r>
        <w:separator/>
      </w:r>
    </w:p>
  </w:footnote>
  <w:footnote w:type="continuationSeparator" w:id="0">
    <w:p w14:paraId="3C7898A3" w14:textId="77777777" w:rsidR="006B5928" w:rsidRDefault="006B5928"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CBA"/>
    <w:rsid w:val="00060FCC"/>
    <w:rsid w:val="0006517C"/>
    <w:rsid w:val="0008584D"/>
    <w:rsid w:val="00093007"/>
    <w:rsid w:val="0009430D"/>
    <w:rsid w:val="000C54E1"/>
    <w:rsid w:val="000D4702"/>
    <w:rsid w:val="000E3810"/>
    <w:rsid w:val="000F0D9A"/>
    <w:rsid w:val="00124D08"/>
    <w:rsid w:val="00133BA3"/>
    <w:rsid w:val="00153CCE"/>
    <w:rsid w:val="001566D8"/>
    <w:rsid w:val="00162A74"/>
    <w:rsid w:val="001930A5"/>
    <w:rsid w:val="001960B2"/>
    <w:rsid w:val="001C38EE"/>
    <w:rsid w:val="001E0899"/>
    <w:rsid w:val="00200537"/>
    <w:rsid w:val="00214F64"/>
    <w:rsid w:val="00220472"/>
    <w:rsid w:val="00243671"/>
    <w:rsid w:val="00255F5A"/>
    <w:rsid w:val="00256353"/>
    <w:rsid w:val="002645B0"/>
    <w:rsid w:val="00267265"/>
    <w:rsid w:val="0027281B"/>
    <w:rsid w:val="00281D1A"/>
    <w:rsid w:val="002834B0"/>
    <w:rsid w:val="002939A9"/>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B5928"/>
    <w:rsid w:val="006D3869"/>
    <w:rsid w:val="006E17DC"/>
    <w:rsid w:val="006E3304"/>
    <w:rsid w:val="00707DBA"/>
    <w:rsid w:val="00750B1E"/>
    <w:rsid w:val="00764EB0"/>
    <w:rsid w:val="00770A6E"/>
    <w:rsid w:val="007807C2"/>
    <w:rsid w:val="007810EF"/>
    <w:rsid w:val="00783C64"/>
    <w:rsid w:val="007B0838"/>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4AC2"/>
    <w:rsid w:val="00B65BA8"/>
    <w:rsid w:val="00B734ED"/>
    <w:rsid w:val="00B752AE"/>
    <w:rsid w:val="00B75BDD"/>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82B2D"/>
    <w:rsid w:val="00D9375B"/>
    <w:rsid w:val="00D96E59"/>
    <w:rsid w:val="00D9713D"/>
    <w:rsid w:val="00DA6902"/>
    <w:rsid w:val="00DB1F63"/>
    <w:rsid w:val="00DE7807"/>
    <w:rsid w:val="00E357B0"/>
    <w:rsid w:val="00E3772E"/>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6EC5"/>
    <w:rsid w:val="00F47898"/>
    <w:rsid w:val="00F505BB"/>
    <w:rsid w:val="00F52B99"/>
    <w:rsid w:val="00F83402"/>
    <w:rsid w:val="00F907E7"/>
    <w:rsid w:val="00F939AE"/>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6" Type="http://schemas.openxmlformats.org/officeDocument/2006/relationships/hyperlink" Target="https://pl.wikipedia.org/wiki/U%C5%BCyteczno%C5%9B%C4%87_(informatyka)"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search?q=postgres&amp;type=repositories"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oleObject" Target="embeddings/oleObject2.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theme" Target="theme/theme1.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hyperlink" Target="https://bulldogjob.pl/news/871-do-czego-przydaje-sie-technika-feature-flag" TargetMode="External"/><Relationship Id="rId19"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sponsor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pl.wikipedia.org/wiki/Jakob_Nielsen" TargetMode="External"/><Relationship Id="rId48" Type="http://schemas.openxmlformats.org/officeDocument/2006/relationships/footer" Target="footer1.xml"/><Relationship Id="rId56" Type="http://schemas.microsoft.com/office/2016/09/relationships/commentsIds" Target="commentsIds.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www.postgresql.org/about/licence/"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20" Type="http://schemas.openxmlformats.org/officeDocument/2006/relationships/image" Target="media/image5.png"/><Relationship Id="rId41" Type="http://schemas.openxmlformats.org/officeDocument/2006/relationships/image" Target="media/image25.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postgresql.org/support/professional_support/europ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65D992DD-15ED-451C-ADF6-25743C44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TotalTime>
  <Pages>38</Pages>
  <Words>5800</Words>
  <Characters>38461</Characters>
  <Application>Microsoft Office Word</Application>
  <DocSecurity>0</DocSecurity>
  <Lines>894</Lines>
  <Paragraphs>409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82</cp:revision>
  <dcterms:created xsi:type="dcterms:W3CDTF">2022-03-01T10:11:00Z</dcterms:created>
  <dcterms:modified xsi:type="dcterms:W3CDTF">2022-03-09T22:22:00Z</dcterms:modified>
</cp:coreProperties>
</file>