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1999" w:rsidRPr="00F13CC6" w:rsidRDefault="00171999" w:rsidP="00171999">
      <w:pPr>
        <w:pStyle w:val="berschrift3"/>
        <w:numPr>
          <w:ilvl w:val="1"/>
          <w:numId w:val="1"/>
        </w:numPr>
        <w:spacing w:line="240" w:lineRule="auto"/>
      </w:pPr>
      <w:r w:rsidRPr="00F13CC6">
        <w:t>The Bloch</w:t>
      </w:r>
      <w:r w:rsidRPr="00F13CC6">
        <w:rPr>
          <w:lang w:val="en-GB"/>
        </w:rPr>
        <w:t>–</w:t>
      </w:r>
      <w:r w:rsidRPr="00F13CC6">
        <w:t>McConnell (BM) equations</w:t>
      </w:r>
    </w:p>
    <w:p w:rsidR="00171999" w:rsidRPr="00F13CC6" w:rsidRDefault="00171999" w:rsidP="00171999">
      <w:pPr>
        <w:spacing w:after="120" w:line="240" w:lineRule="auto"/>
        <w:jc w:val="both"/>
      </w:pPr>
    </w:p>
    <w:p w:rsidR="00171999" w:rsidRPr="00F13CC6" w:rsidRDefault="00171999" w:rsidP="00171999">
      <w:pPr>
        <w:spacing w:after="120" w:line="240" w:lineRule="auto"/>
        <w:jc w:val="both"/>
      </w:pPr>
      <w:r w:rsidRPr="00F13CC6">
        <w:t>We consider a 2</w:t>
      </w:r>
      <w:r w:rsidRPr="00F13CC6">
        <w:rPr>
          <w:lang w:val="en-GB"/>
        </w:rPr>
        <w:t>–</w:t>
      </w:r>
      <w:r w:rsidRPr="00F13CC6">
        <w:t xml:space="preserve">pool system, i.e., a system of two coupled spin populations, comprising pool a (the water pool) and pool b (the dilute solute pool), with forward (b </w:t>
      </w:r>
      <w:r w:rsidRPr="00F13CC6">
        <w:sym w:font="Wingdings 3" w:char="F08E"/>
      </w:r>
      <w:r w:rsidRPr="00F13CC6">
        <w:t xml:space="preserve"> a) exchange rate k</w:t>
      </w:r>
      <w:r w:rsidRPr="00F13CC6">
        <w:rPr>
          <w:vertAlign w:val="subscript"/>
        </w:rPr>
        <w:t>b</w:t>
      </w:r>
      <w:r w:rsidRPr="00F13CC6">
        <w:t xml:space="preserve"> and thermal equilibrium magnetizations M</w:t>
      </w:r>
      <w:r w:rsidRPr="00F13CC6">
        <w:rPr>
          <w:vertAlign w:val="subscript"/>
        </w:rPr>
        <w:t>0,a</w:t>
      </w:r>
      <w:r w:rsidRPr="00F13CC6">
        <w:t xml:space="preserve"> and M</w:t>
      </w:r>
      <w:r w:rsidRPr="00F13CC6">
        <w:rPr>
          <w:vertAlign w:val="subscript"/>
        </w:rPr>
        <w:t>0,b</w:t>
      </w:r>
      <w:r w:rsidRPr="00F13CC6">
        <w:t>, respectively, in a static magnetic field B</w:t>
      </w:r>
      <w:r w:rsidRPr="00F13CC6">
        <w:rPr>
          <w:vertAlign w:val="subscript"/>
        </w:rPr>
        <w:t>0</w:t>
      </w:r>
      <w:r w:rsidRPr="00F13CC6">
        <w:t xml:space="preserve"> </w:t>
      </w:r>
      <w:r w:rsidRPr="00F13CC6">
        <w:rPr>
          <w:rFonts w:eastAsia="rtxr"/>
        </w:rPr>
        <w:sym w:font="Symbol" w:char="F03D"/>
      </w:r>
      <w:r w:rsidRPr="00F13CC6">
        <w:rPr>
          <w:rFonts w:eastAsia="rtxr"/>
        </w:rPr>
        <w:t xml:space="preserve"> </w:t>
      </w:r>
      <w:r w:rsidRPr="00F13CC6">
        <w:t>(0, 0, B</w:t>
      </w:r>
      <w:r w:rsidRPr="00F13CC6">
        <w:rPr>
          <w:vertAlign w:val="subscript"/>
        </w:rPr>
        <w:t>0</w:t>
      </w:r>
      <w:r w:rsidRPr="00F13CC6">
        <w:t>). The ratio of these magnetizations, M</w:t>
      </w:r>
      <w:r w:rsidRPr="00F13CC6">
        <w:rPr>
          <w:vertAlign w:val="subscript"/>
        </w:rPr>
        <w:t>0,b</w:t>
      </w:r>
      <w:r w:rsidRPr="00F13CC6">
        <w:t>/M</w:t>
      </w:r>
      <w:r w:rsidRPr="00F13CC6">
        <w:rPr>
          <w:vertAlign w:val="subscript"/>
        </w:rPr>
        <w:t>0,a</w:t>
      </w:r>
      <w:r w:rsidRPr="00F13CC6">
        <w:rPr>
          <w:rFonts w:eastAsia="rtxr"/>
        </w:rPr>
        <w:t xml:space="preserve"> </w:t>
      </w:r>
      <w:r w:rsidRPr="00F13CC6">
        <w:rPr>
          <w:rFonts w:eastAsia="rtxr"/>
        </w:rPr>
        <w:sym w:font="Symbol" w:char="F03D"/>
      </w:r>
      <w:r w:rsidRPr="00F13CC6">
        <w:rPr>
          <w:rFonts w:eastAsia="rtxr"/>
        </w:rPr>
        <w:t xml:space="preserve"> </w:t>
      </w:r>
      <w:r w:rsidRPr="00F13CC6">
        <w:t>f</w:t>
      </w:r>
      <w:r w:rsidRPr="00F13CC6">
        <w:rPr>
          <w:vertAlign w:val="subscript"/>
        </w:rPr>
        <w:t>b</w:t>
      </w:r>
      <w:r w:rsidRPr="00F13CC6">
        <w:t xml:space="preserve">, is conserved by the backward (a </w:t>
      </w:r>
      <w:r w:rsidRPr="00F13CC6">
        <w:sym w:font="Wingdings 3" w:char="F08E"/>
      </w:r>
      <w:r w:rsidRPr="00F13CC6">
        <w:t xml:space="preserve"> b) exchange rate </w:t>
      </w:r>
      <w:proofErr w:type="spellStart"/>
      <w:r w:rsidRPr="00F13CC6">
        <w:t>k</w:t>
      </w:r>
      <w:r w:rsidRPr="00F13CC6">
        <w:rPr>
          <w:vertAlign w:val="subscript"/>
        </w:rPr>
        <w:t>a</w:t>
      </w:r>
      <w:proofErr w:type="spellEnd"/>
      <w:r w:rsidRPr="00F13CC6">
        <w:t xml:space="preserve"> </w:t>
      </w:r>
      <w:r w:rsidRPr="00F13CC6">
        <w:rPr>
          <w:rFonts w:eastAsia="rtxr"/>
        </w:rPr>
        <w:sym w:font="Symbol" w:char="F03D"/>
      </w:r>
      <w:r w:rsidRPr="00F13CC6">
        <w:rPr>
          <w:rFonts w:eastAsia="rtxr"/>
        </w:rPr>
        <w:t xml:space="preserve"> </w:t>
      </w:r>
      <w:proofErr w:type="spellStart"/>
      <w:r w:rsidRPr="00F13CC6">
        <w:t>f</w:t>
      </w:r>
      <w:r w:rsidRPr="00F13CC6">
        <w:rPr>
          <w:vertAlign w:val="subscript"/>
        </w:rPr>
        <w:t>b</w:t>
      </w:r>
      <w:r w:rsidRPr="00F13CC6">
        <w:t>k</w:t>
      </w:r>
      <w:r w:rsidRPr="00F13CC6">
        <w:rPr>
          <w:vertAlign w:val="subscript"/>
        </w:rPr>
        <w:t>b</w:t>
      </w:r>
      <w:proofErr w:type="spellEnd"/>
      <w:r w:rsidRPr="00F13CC6">
        <w:t xml:space="preserve">. Pool a is always the pool which is measured, here and in proton CEST it is the spin ensemble of water protons. In the case of </w:t>
      </w:r>
      <w:proofErr w:type="spellStart"/>
      <w:r w:rsidRPr="00F13CC6">
        <w:t>HyperCEST</w:t>
      </w:r>
      <w:proofErr w:type="spellEnd"/>
      <w:r w:rsidRPr="00F13CC6">
        <w:t>, pool a is that of xenon in the solvent.</w:t>
      </w:r>
    </w:p>
    <w:p w:rsidR="00171999" w:rsidRPr="00F13CC6" w:rsidRDefault="00171999" w:rsidP="00171999">
      <w:pPr>
        <w:spacing w:after="120" w:line="240" w:lineRule="auto"/>
        <w:jc w:val="both"/>
      </w:pPr>
      <w:r w:rsidRPr="00F13CC6">
        <w:t xml:space="preserve">The temporal evolution of the magnetizations of the two pools during </w:t>
      </w:r>
      <w:proofErr w:type="spellStart"/>
      <w:r w:rsidRPr="00F13CC6">
        <w:t>rf</w:t>
      </w:r>
      <w:proofErr w:type="spellEnd"/>
      <w:r w:rsidRPr="00F13CC6">
        <w:t xml:space="preserve"> irradiation is well described by the BM equations for the case of exchange between pool </w:t>
      </w:r>
      <w:proofErr w:type="gramStart"/>
      <w:r w:rsidRPr="00F13CC6">
        <w:t>a</w:t>
      </w:r>
      <w:proofErr w:type="gramEnd"/>
      <w:r w:rsidRPr="00F13CC6">
        <w:t xml:space="preserve"> and b and by the BS equations for dipolar</w:t>
      </w:r>
      <w:r w:rsidRPr="00F13CC6">
        <w:rPr>
          <w:lang w:val="en-GB"/>
        </w:rPr>
        <w:t>–</w:t>
      </w:r>
      <w:r w:rsidRPr="00F13CC6">
        <w:t>coupled systems.</w:t>
      </w:r>
    </w:p>
    <w:p w:rsidR="00171999" w:rsidRPr="00F13CC6" w:rsidRDefault="00171999" w:rsidP="00171999">
      <w:pPr>
        <w:spacing w:after="120" w:line="240" w:lineRule="auto"/>
        <w:jc w:val="both"/>
      </w:pPr>
      <w:r w:rsidRPr="00F13CC6">
        <w:t xml:space="preserve">In the rotating frame of reference (x, y, z) defined by the frequency </w:t>
      </w:r>
      <w:proofErr w:type="spellStart"/>
      <w:r w:rsidRPr="00F13CC6">
        <w:t>ω</w:t>
      </w:r>
      <w:r w:rsidRPr="00F13CC6">
        <w:rPr>
          <w:vertAlign w:val="subscript"/>
        </w:rPr>
        <w:t>rf</w:t>
      </w:r>
      <w:proofErr w:type="spellEnd"/>
      <w:r w:rsidRPr="00F13CC6">
        <w:t xml:space="preserve"> of the oscillating field B</w:t>
      </w:r>
      <w:r w:rsidRPr="00F13CC6">
        <w:rPr>
          <w:vertAlign w:val="subscript"/>
        </w:rPr>
        <w:t>1</w:t>
      </w:r>
      <w:r w:rsidRPr="00F13CC6">
        <w:t>(t), the BM equations read:</w:t>
      </w:r>
    </w:p>
    <w:p w:rsidR="00171999" w:rsidRPr="00F13CC6" w:rsidRDefault="00171999" w:rsidP="00171999">
      <w:pPr>
        <w:spacing w:after="120" w:line="240" w:lineRule="auto"/>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97"/>
        <w:gridCol w:w="4563"/>
      </w:tblGrid>
      <w:tr w:rsidR="00171999" w:rsidRPr="00F13CC6" w:rsidTr="00E669B4">
        <w:tc>
          <w:tcPr>
            <w:tcW w:w="5341" w:type="dxa"/>
            <w:tcBorders>
              <w:top w:val="nil"/>
              <w:left w:val="nil"/>
              <w:bottom w:val="nil"/>
              <w:right w:val="nil"/>
            </w:tcBorders>
            <w:shd w:val="clear" w:color="auto" w:fill="auto"/>
          </w:tcPr>
          <w:p w:rsidR="00171999" w:rsidRPr="00F13CC6" w:rsidRDefault="00171999" w:rsidP="00E669B4">
            <w:pPr>
              <w:spacing w:after="120" w:line="240" w:lineRule="auto"/>
              <w:jc w:val="both"/>
            </w:pPr>
            <w:r w:rsidRPr="00F13CC6">
              <w:rPr>
                <w:position w:val="-24"/>
              </w:rPr>
              <w:object w:dxaOrig="17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30.75pt" o:ole="">
                  <v:imagedata r:id="rId5" o:title=""/>
                </v:shape>
                <o:OLEObject Type="Embed" ProgID="Equation.3" ShapeID="_x0000_i1025" DrawAspect="Content" ObjectID="_1526808512" r:id="rId6"/>
              </w:object>
            </w:r>
          </w:p>
        </w:tc>
        <w:tc>
          <w:tcPr>
            <w:tcW w:w="5341" w:type="dxa"/>
            <w:tcBorders>
              <w:top w:val="nil"/>
              <w:left w:val="nil"/>
              <w:bottom w:val="nil"/>
              <w:right w:val="nil"/>
            </w:tcBorders>
            <w:shd w:val="clear" w:color="auto" w:fill="auto"/>
          </w:tcPr>
          <w:p w:rsidR="00171999" w:rsidRPr="00F13CC6" w:rsidRDefault="00171999" w:rsidP="00E669B4">
            <w:pPr>
              <w:spacing w:after="120" w:line="240" w:lineRule="auto"/>
              <w:jc w:val="right"/>
            </w:pPr>
            <w:bookmarkStart w:id="0" w:name="_Ref348432525"/>
            <w:r w:rsidRPr="00F13CC6">
              <w:t>(</w:t>
            </w:r>
            <w:r w:rsidRPr="00F13CC6">
              <w:fldChar w:fldCharType="begin"/>
            </w:r>
            <w:r w:rsidRPr="00F13CC6">
              <w:instrText xml:space="preserve"> SEQ \* Arabic "(" \* MERGEFORMAT </w:instrText>
            </w:r>
            <w:r w:rsidRPr="00F13CC6">
              <w:fldChar w:fldCharType="separate"/>
            </w:r>
            <w:r w:rsidRPr="00F13CC6">
              <w:rPr>
                <w:noProof/>
              </w:rPr>
              <w:t>1</w:t>
            </w:r>
            <w:r w:rsidRPr="00F13CC6">
              <w:fldChar w:fldCharType="end"/>
            </w:r>
            <w:r w:rsidRPr="00F13CC6">
              <w:t>)</w:t>
            </w:r>
            <w:bookmarkEnd w:id="0"/>
          </w:p>
        </w:tc>
      </w:tr>
      <w:tr w:rsidR="00171999" w:rsidRPr="00F13CC6" w:rsidTr="00E669B4">
        <w:tc>
          <w:tcPr>
            <w:tcW w:w="5341" w:type="dxa"/>
            <w:tcBorders>
              <w:top w:val="nil"/>
              <w:left w:val="nil"/>
              <w:bottom w:val="nil"/>
              <w:right w:val="nil"/>
            </w:tcBorders>
            <w:shd w:val="clear" w:color="auto" w:fill="auto"/>
          </w:tcPr>
          <w:p w:rsidR="00171999" w:rsidRPr="00F13CC6" w:rsidRDefault="00171999" w:rsidP="00E669B4">
            <w:pPr>
              <w:spacing w:after="120" w:line="240" w:lineRule="auto"/>
              <w:jc w:val="both"/>
            </w:pPr>
            <w:r w:rsidRPr="00F13CC6">
              <w:t>with the 6</w:t>
            </w:r>
            <w:r w:rsidRPr="00F13CC6">
              <w:rPr>
                <w:lang w:val="en-GB"/>
              </w:rPr>
              <w:t>–</w:t>
            </w:r>
            <w:r w:rsidRPr="00F13CC6">
              <w:t>dimensional magnetization vector</w:t>
            </w:r>
          </w:p>
        </w:tc>
        <w:tc>
          <w:tcPr>
            <w:tcW w:w="5341" w:type="dxa"/>
            <w:tcBorders>
              <w:top w:val="nil"/>
              <w:left w:val="nil"/>
              <w:bottom w:val="nil"/>
              <w:right w:val="nil"/>
            </w:tcBorders>
            <w:shd w:val="clear" w:color="auto" w:fill="auto"/>
          </w:tcPr>
          <w:p w:rsidR="00171999" w:rsidRPr="00F13CC6" w:rsidRDefault="00171999" w:rsidP="00E669B4">
            <w:pPr>
              <w:spacing w:after="120" w:line="240" w:lineRule="auto"/>
              <w:jc w:val="right"/>
            </w:pPr>
          </w:p>
        </w:tc>
      </w:tr>
      <w:tr w:rsidR="00171999" w:rsidRPr="00F13CC6" w:rsidTr="00E669B4">
        <w:tc>
          <w:tcPr>
            <w:tcW w:w="5341" w:type="dxa"/>
            <w:tcBorders>
              <w:top w:val="nil"/>
              <w:left w:val="nil"/>
              <w:bottom w:val="nil"/>
              <w:right w:val="nil"/>
            </w:tcBorders>
            <w:shd w:val="clear" w:color="auto" w:fill="auto"/>
          </w:tcPr>
          <w:p w:rsidR="00171999" w:rsidRPr="00F13CC6" w:rsidRDefault="00171999" w:rsidP="00E669B4">
            <w:pPr>
              <w:spacing w:after="120" w:line="240" w:lineRule="auto"/>
              <w:jc w:val="both"/>
            </w:pPr>
            <w:r w:rsidRPr="00F13CC6">
              <w:rPr>
                <w:position w:val="-104"/>
              </w:rPr>
              <w:object w:dxaOrig="1180" w:dyaOrig="2200">
                <v:shape id="_x0000_i1026" type="#_x0000_t75" style="width:59.25pt;height:110.25pt" o:ole="">
                  <v:imagedata r:id="rId7" o:title=""/>
                </v:shape>
                <o:OLEObject Type="Embed" ProgID="Equation.3" ShapeID="_x0000_i1026" DrawAspect="Content" ObjectID="_1526808513" r:id="rId8"/>
              </w:object>
            </w:r>
            <w:r w:rsidRPr="00F13CC6">
              <w:t>.</w:t>
            </w:r>
          </w:p>
        </w:tc>
        <w:tc>
          <w:tcPr>
            <w:tcW w:w="5341" w:type="dxa"/>
            <w:tcBorders>
              <w:top w:val="nil"/>
              <w:left w:val="nil"/>
              <w:bottom w:val="nil"/>
              <w:right w:val="nil"/>
            </w:tcBorders>
            <w:shd w:val="clear" w:color="auto" w:fill="auto"/>
          </w:tcPr>
          <w:p w:rsidR="00171999" w:rsidRPr="00F13CC6" w:rsidRDefault="00171999" w:rsidP="00E669B4">
            <w:pPr>
              <w:spacing w:after="120" w:line="240" w:lineRule="auto"/>
              <w:jc w:val="right"/>
            </w:pPr>
            <w:r w:rsidRPr="00F13CC6">
              <w:t>(</w:t>
            </w:r>
            <w:r w:rsidRPr="00F13CC6">
              <w:fldChar w:fldCharType="begin"/>
            </w:r>
            <w:r w:rsidRPr="00F13CC6">
              <w:instrText xml:space="preserve"> SEQ \* Arabic "(" \* MERGEFORMAT </w:instrText>
            </w:r>
            <w:r w:rsidRPr="00F13CC6">
              <w:fldChar w:fldCharType="separate"/>
            </w:r>
            <w:r w:rsidRPr="00F13CC6">
              <w:rPr>
                <w:noProof/>
              </w:rPr>
              <w:t>2</w:t>
            </w:r>
            <w:r w:rsidRPr="00F13CC6">
              <w:fldChar w:fldCharType="end"/>
            </w:r>
            <w:r w:rsidRPr="00F13CC6">
              <w:t>)</w:t>
            </w:r>
          </w:p>
        </w:tc>
      </w:tr>
    </w:tbl>
    <w:p w:rsidR="00171999" w:rsidRPr="00F13CC6" w:rsidRDefault="00171999" w:rsidP="00171999">
      <w:pPr>
        <w:tabs>
          <w:tab w:val="left" w:pos="2201"/>
        </w:tabs>
        <w:spacing w:after="120" w:line="240" w:lineRule="auto"/>
        <w:jc w:val="both"/>
      </w:pPr>
      <w:r w:rsidRPr="00F13CC6">
        <w:t>A is a block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64"/>
        <w:gridCol w:w="4496"/>
      </w:tblGrid>
      <w:tr w:rsidR="00171999" w:rsidRPr="00F13CC6" w:rsidTr="00E669B4">
        <w:tc>
          <w:tcPr>
            <w:tcW w:w="5341" w:type="dxa"/>
            <w:tcBorders>
              <w:top w:val="nil"/>
              <w:left w:val="nil"/>
              <w:bottom w:val="nil"/>
              <w:right w:val="nil"/>
            </w:tcBorders>
            <w:shd w:val="clear" w:color="auto" w:fill="auto"/>
          </w:tcPr>
          <w:p w:rsidR="00171999" w:rsidRPr="00F13CC6" w:rsidRDefault="00171999" w:rsidP="00E669B4">
            <w:pPr>
              <w:tabs>
                <w:tab w:val="left" w:pos="2201"/>
              </w:tabs>
              <w:spacing w:after="120" w:line="240" w:lineRule="auto"/>
              <w:jc w:val="both"/>
            </w:pPr>
            <w:r w:rsidRPr="00F13CC6">
              <w:rPr>
                <w:position w:val="-32"/>
              </w:rPr>
              <w:object w:dxaOrig="2400" w:dyaOrig="760">
                <v:shape id="_x0000_i1027" type="#_x0000_t75" style="width:120pt;height:38.25pt" o:ole="">
                  <v:imagedata r:id="rId9" o:title=""/>
                </v:shape>
                <o:OLEObject Type="Embed" ProgID="Equation.3" ShapeID="_x0000_i1027" DrawAspect="Content" ObjectID="_1526808514" r:id="rId10"/>
              </w:object>
            </w:r>
          </w:p>
        </w:tc>
        <w:tc>
          <w:tcPr>
            <w:tcW w:w="5341" w:type="dxa"/>
            <w:tcBorders>
              <w:top w:val="nil"/>
              <w:left w:val="nil"/>
              <w:bottom w:val="nil"/>
              <w:right w:val="nil"/>
            </w:tcBorders>
            <w:shd w:val="clear" w:color="auto" w:fill="auto"/>
          </w:tcPr>
          <w:p w:rsidR="00171999" w:rsidRPr="00F13CC6" w:rsidRDefault="00171999" w:rsidP="00E669B4">
            <w:pPr>
              <w:tabs>
                <w:tab w:val="left" w:pos="2201"/>
              </w:tabs>
              <w:spacing w:after="120" w:line="240" w:lineRule="auto"/>
              <w:jc w:val="right"/>
            </w:pPr>
            <w:bookmarkStart w:id="1" w:name="_Ref349064218"/>
            <w:r w:rsidRPr="00F13CC6">
              <w:t>(</w:t>
            </w:r>
            <w:r w:rsidRPr="00F13CC6">
              <w:fldChar w:fldCharType="begin"/>
            </w:r>
            <w:r w:rsidRPr="00F13CC6">
              <w:instrText xml:space="preserve"> SEQ \* Arabic "(" \* MERGEFORMAT </w:instrText>
            </w:r>
            <w:r w:rsidRPr="00F13CC6">
              <w:fldChar w:fldCharType="separate"/>
            </w:r>
            <w:r w:rsidRPr="00F13CC6">
              <w:rPr>
                <w:noProof/>
              </w:rPr>
              <w:t>3</w:t>
            </w:r>
            <w:r w:rsidRPr="00F13CC6">
              <w:fldChar w:fldCharType="end"/>
            </w:r>
            <w:r w:rsidRPr="00F13CC6">
              <w:t>)</w:t>
            </w:r>
            <w:bookmarkEnd w:id="1"/>
          </w:p>
        </w:tc>
      </w:tr>
    </w:tbl>
    <w:p w:rsidR="00171999" w:rsidRPr="00F13CC6" w:rsidRDefault="00171999" w:rsidP="00171999">
      <w:pPr>
        <w:spacing w:line="240" w:lineRule="auto"/>
        <w:jc w:val="both"/>
      </w:pPr>
      <w:r w:rsidRPr="00F13CC6">
        <w:t>consisting of 3x3 submatrices K</w:t>
      </w:r>
      <w:r w:rsidRPr="00F13CC6">
        <w:rPr>
          <w:vertAlign w:val="subscript"/>
        </w:rPr>
        <w:t>i</w:t>
      </w:r>
      <w:r w:rsidRPr="00F13CC6">
        <w:t xml:space="preserve"> </w:t>
      </w:r>
      <w:r w:rsidRPr="00F13CC6">
        <w:sym w:font="Symbol" w:char="F03D"/>
      </w:r>
      <w:r w:rsidRPr="00F13CC6">
        <w:t xml:space="preserve"> </w:t>
      </w:r>
      <w:proofErr w:type="spellStart"/>
      <w:r w:rsidRPr="00F13CC6">
        <w:t>k</w:t>
      </w:r>
      <w:r w:rsidRPr="00F13CC6">
        <w:rPr>
          <w:vertAlign w:val="subscript"/>
        </w:rPr>
        <w:t>i</w:t>
      </w:r>
      <w:r w:rsidRPr="00F13CC6">
        <w:t>∙Ι</w:t>
      </w:r>
      <w:proofErr w:type="spellEnd"/>
      <w:r w:rsidRPr="00F13CC6">
        <w:t xml:space="preserve"> (see also </w:t>
      </w:r>
      <w:proofErr w:type="spellStart"/>
      <w:r w:rsidRPr="00F13CC6">
        <w:t>eqs</w:t>
      </w:r>
      <w:proofErr w:type="spellEnd"/>
      <w:r w:rsidRPr="00F13CC6">
        <w:t xml:space="preserve">. </w:t>
      </w:r>
      <w:r w:rsidRPr="00F13CC6">
        <w:fldChar w:fldCharType="begin"/>
      </w:r>
      <w:r w:rsidRPr="00F13CC6">
        <w:instrText xml:space="preserve"> REF _Ref360698289 \h </w:instrText>
      </w:r>
      <w:r>
        <w:instrText xml:space="preserve"> \* MERGEFORMAT </w:instrText>
      </w:r>
      <w:r w:rsidRPr="00F13CC6">
        <w:fldChar w:fldCharType="separate"/>
      </w:r>
      <w:r w:rsidRPr="00F13CC6">
        <w:t>(</w:t>
      </w:r>
      <w:r w:rsidRPr="00F13CC6">
        <w:rPr>
          <w:noProof/>
        </w:rPr>
        <w:t>6</w:t>
      </w:r>
      <w:r w:rsidRPr="00F13CC6">
        <w:t>)</w:t>
      </w:r>
      <w:r w:rsidRPr="00F13CC6">
        <w:fldChar w:fldCharType="end"/>
      </w:r>
      <w:r w:rsidRPr="00F13CC6">
        <w:fldChar w:fldCharType="begin"/>
      </w:r>
      <w:r w:rsidRPr="00F13CC6">
        <w:instrText xml:space="preserve"> REF _Ref360698291 \h </w:instrText>
      </w:r>
      <w:r>
        <w:instrText xml:space="preserve"> \* MERGEFORMAT </w:instrText>
      </w:r>
      <w:r w:rsidRPr="00F13CC6">
        <w:fldChar w:fldCharType="separate"/>
      </w:r>
      <w:r w:rsidRPr="00F13CC6">
        <w:t>(</w:t>
      </w:r>
      <w:r w:rsidRPr="00F13CC6">
        <w:rPr>
          <w:noProof/>
        </w:rPr>
        <w:t>8</w:t>
      </w:r>
      <w:r w:rsidRPr="00F13CC6">
        <w:t>)</w:t>
      </w:r>
      <w:r w:rsidRPr="00F13CC6">
        <w:fldChar w:fldCharType="end"/>
      </w:r>
      <w:r w:rsidRPr="00F13CC6">
        <w:fldChar w:fldCharType="begin"/>
      </w:r>
      <w:r w:rsidRPr="00F13CC6">
        <w:instrText xml:space="preserve"> REF _Ref360698292 \h </w:instrText>
      </w:r>
      <w:r>
        <w:instrText xml:space="preserve"> \* MERGEFORMAT </w:instrText>
      </w:r>
      <w:r w:rsidRPr="00F13CC6">
        <w:fldChar w:fldCharType="separate"/>
      </w:r>
      <w:r w:rsidRPr="00F13CC6">
        <w:t>(</w:t>
      </w:r>
      <w:r w:rsidRPr="00F13CC6">
        <w:rPr>
          <w:noProof/>
        </w:rPr>
        <w:t>9</w:t>
      </w:r>
      <w:r w:rsidRPr="00F13CC6">
        <w:t>)</w:t>
      </w:r>
      <w:r w:rsidRPr="00F13CC6">
        <w:fldChar w:fldCharType="end"/>
      </w:r>
      <w:r w:rsidRPr="00F13CC6">
        <w:t>), and L</w:t>
      </w:r>
      <w:r w:rsidRPr="00F13CC6">
        <w:rPr>
          <w:vertAlign w:val="subscript"/>
        </w:rPr>
        <w:t>i</w:t>
      </w:r>
      <w:r w:rsidRPr="00F13CC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2"/>
        <w:gridCol w:w="4448"/>
      </w:tblGrid>
      <w:tr w:rsidR="00171999" w:rsidRPr="00F13CC6" w:rsidTr="00E669B4">
        <w:tc>
          <w:tcPr>
            <w:tcW w:w="5341" w:type="dxa"/>
            <w:tcBorders>
              <w:top w:val="nil"/>
              <w:left w:val="nil"/>
              <w:bottom w:val="nil"/>
              <w:right w:val="nil"/>
            </w:tcBorders>
            <w:shd w:val="clear" w:color="auto" w:fill="auto"/>
          </w:tcPr>
          <w:p w:rsidR="00171999" w:rsidRPr="00F13CC6" w:rsidRDefault="00171999" w:rsidP="00E669B4">
            <w:pPr>
              <w:spacing w:line="240" w:lineRule="auto"/>
              <w:jc w:val="both"/>
            </w:pPr>
          </w:p>
        </w:tc>
        <w:tc>
          <w:tcPr>
            <w:tcW w:w="5341" w:type="dxa"/>
            <w:tcBorders>
              <w:top w:val="nil"/>
              <w:left w:val="nil"/>
              <w:bottom w:val="nil"/>
              <w:right w:val="nil"/>
            </w:tcBorders>
            <w:shd w:val="clear" w:color="auto" w:fill="auto"/>
          </w:tcPr>
          <w:p w:rsidR="00171999" w:rsidRPr="00F13CC6" w:rsidRDefault="00171999" w:rsidP="00E669B4">
            <w:pPr>
              <w:spacing w:line="240" w:lineRule="auto"/>
              <w:jc w:val="right"/>
            </w:pPr>
          </w:p>
        </w:tc>
      </w:tr>
      <w:tr w:rsidR="00171999" w:rsidRPr="00F13CC6" w:rsidTr="00E669B4">
        <w:tc>
          <w:tcPr>
            <w:tcW w:w="5341" w:type="dxa"/>
            <w:tcBorders>
              <w:top w:val="nil"/>
              <w:left w:val="nil"/>
              <w:bottom w:val="nil"/>
              <w:right w:val="nil"/>
            </w:tcBorders>
            <w:shd w:val="clear" w:color="auto" w:fill="auto"/>
          </w:tcPr>
          <w:p w:rsidR="00171999" w:rsidRPr="00F13CC6" w:rsidRDefault="00171999" w:rsidP="00E669B4">
            <w:pPr>
              <w:spacing w:line="240" w:lineRule="auto"/>
              <w:jc w:val="both"/>
            </w:pPr>
            <w:r w:rsidRPr="00F13CC6">
              <w:rPr>
                <w:position w:val="-50"/>
              </w:rPr>
              <w:object w:dxaOrig="2799" w:dyaOrig="1120">
                <v:shape id="_x0000_i1028" type="#_x0000_t75" style="width:140.25pt;height:56.25pt" o:ole="">
                  <v:imagedata r:id="rId11" o:title=""/>
                </v:shape>
                <o:OLEObject Type="Embed" ProgID="Equation.3" ShapeID="_x0000_i1028" DrawAspect="Content" ObjectID="_1526808515" r:id="rId12"/>
              </w:object>
            </w:r>
          </w:p>
        </w:tc>
        <w:tc>
          <w:tcPr>
            <w:tcW w:w="5341" w:type="dxa"/>
            <w:tcBorders>
              <w:top w:val="nil"/>
              <w:left w:val="nil"/>
              <w:bottom w:val="nil"/>
              <w:right w:val="nil"/>
            </w:tcBorders>
            <w:shd w:val="clear" w:color="auto" w:fill="auto"/>
          </w:tcPr>
          <w:p w:rsidR="00171999" w:rsidRPr="00F13CC6" w:rsidRDefault="00171999" w:rsidP="00E669B4">
            <w:pPr>
              <w:spacing w:line="240" w:lineRule="auto"/>
              <w:jc w:val="right"/>
            </w:pPr>
            <w:r w:rsidRPr="00F13CC6">
              <w:t>(</w:t>
            </w:r>
            <w:r w:rsidRPr="00F13CC6">
              <w:fldChar w:fldCharType="begin"/>
            </w:r>
            <w:r w:rsidRPr="00F13CC6">
              <w:instrText xml:space="preserve"> SEQ \* Arabic "(" \* MERGEFORMAT </w:instrText>
            </w:r>
            <w:r w:rsidRPr="00F13CC6">
              <w:fldChar w:fldCharType="separate"/>
            </w:r>
            <w:r w:rsidRPr="00F13CC6">
              <w:rPr>
                <w:noProof/>
              </w:rPr>
              <w:t>4</w:t>
            </w:r>
            <w:r w:rsidRPr="00F13CC6">
              <w:fldChar w:fldCharType="end"/>
            </w:r>
            <w:r w:rsidRPr="00F13CC6">
              <w:t>)</w:t>
            </w:r>
          </w:p>
        </w:tc>
      </w:tr>
      <w:tr w:rsidR="00171999" w:rsidRPr="00F13CC6" w:rsidTr="00E669B4">
        <w:tc>
          <w:tcPr>
            <w:tcW w:w="5341" w:type="dxa"/>
            <w:tcBorders>
              <w:top w:val="nil"/>
              <w:left w:val="nil"/>
              <w:bottom w:val="nil"/>
              <w:right w:val="nil"/>
            </w:tcBorders>
            <w:shd w:val="clear" w:color="auto" w:fill="auto"/>
          </w:tcPr>
          <w:p w:rsidR="00171999" w:rsidRPr="00F13CC6" w:rsidRDefault="00171999" w:rsidP="00E669B4">
            <w:pPr>
              <w:spacing w:line="240" w:lineRule="auto"/>
              <w:jc w:val="both"/>
            </w:pPr>
            <w:r w:rsidRPr="00F13CC6">
              <w:t xml:space="preserve">where </w:t>
            </w:r>
            <w:proofErr w:type="spellStart"/>
            <w:r w:rsidRPr="00F13CC6">
              <w:t>i</w:t>
            </w:r>
            <w:proofErr w:type="spellEnd"/>
            <w:r w:rsidRPr="00F13CC6">
              <w:t xml:space="preserve"> </w:t>
            </w:r>
            <w:r w:rsidRPr="00F13CC6">
              <w:sym w:font="Symbol" w:char="F03D"/>
            </w:r>
            <w:r w:rsidRPr="00F13CC6">
              <w:t xml:space="preserve"> a, b. Finally, the constant vector C is</w:t>
            </w:r>
          </w:p>
        </w:tc>
        <w:tc>
          <w:tcPr>
            <w:tcW w:w="5341" w:type="dxa"/>
            <w:tcBorders>
              <w:top w:val="nil"/>
              <w:left w:val="nil"/>
              <w:bottom w:val="nil"/>
              <w:right w:val="nil"/>
            </w:tcBorders>
            <w:shd w:val="clear" w:color="auto" w:fill="auto"/>
          </w:tcPr>
          <w:p w:rsidR="00171999" w:rsidRPr="00F13CC6" w:rsidRDefault="00171999" w:rsidP="00E669B4">
            <w:pPr>
              <w:spacing w:line="240" w:lineRule="auto"/>
              <w:jc w:val="right"/>
            </w:pPr>
          </w:p>
        </w:tc>
      </w:tr>
      <w:tr w:rsidR="00171999" w:rsidRPr="00F13CC6" w:rsidTr="00E669B4">
        <w:tc>
          <w:tcPr>
            <w:tcW w:w="5341" w:type="dxa"/>
            <w:tcBorders>
              <w:top w:val="nil"/>
              <w:left w:val="nil"/>
              <w:bottom w:val="nil"/>
              <w:right w:val="nil"/>
            </w:tcBorders>
            <w:shd w:val="clear" w:color="auto" w:fill="auto"/>
          </w:tcPr>
          <w:p w:rsidR="00171999" w:rsidRPr="00F13CC6" w:rsidRDefault="00171999" w:rsidP="00E669B4">
            <w:pPr>
              <w:spacing w:line="240" w:lineRule="auto"/>
              <w:jc w:val="both"/>
            </w:pPr>
            <w:r w:rsidRPr="00F13CC6">
              <w:rPr>
                <w:position w:val="-104"/>
              </w:rPr>
              <w:object w:dxaOrig="1440" w:dyaOrig="2200">
                <v:shape id="_x0000_i1029" type="#_x0000_t75" style="width:1in;height:110.25pt" o:ole="">
                  <v:imagedata r:id="rId13" o:title=""/>
                </v:shape>
                <o:OLEObject Type="Embed" ProgID="Equation.3" ShapeID="_x0000_i1029" DrawAspect="Content" ObjectID="_1526808516" r:id="rId14"/>
              </w:object>
            </w:r>
          </w:p>
        </w:tc>
        <w:tc>
          <w:tcPr>
            <w:tcW w:w="5341" w:type="dxa"/>
            <w:tcBorders>
              <w:top w:val="nil"/>
              <w:left w:val="nil"/>
              <w:bottom w:val="nil"/>
              <w:right w:val="nil"/>
            </w:tcBorders>
            <w:shd w:val="clear" w:color="auto" w:fill="auto"/>
          </w:tcPr>
          <w:p w:rsidR="00171999" w:rsidRPr="00F13CC6" w:rsidRDefault="00171999" w:rsidP="00E669B4">
            <w:pPr>
              <w:spacing w:line="240" w:lineRule="auto"/>
              <w:jc w:val="right"/>
            </w:pPr>
            <w:bookmarkStart w:id="2" w:name="_Ref360647399"/>
            <w:r w:rsidRPr="00F13CC6">
              <w:t>(</w:t>
            </w:r>
            <w:r w:rsidRPr="00F13CC6">
              <w:fldChar w:fldCharType="begin"/>
            </w:r>
            <w:r w:rsidRPr="00F13CC6">
              <w:instrText xml:space="preserve"> SEQ \* Arabic "(" \* MERGEFORMAT </w:instrText>
            </w:r>
            <w:r w:rsidRPr="00F13CC6">
              <w:fldChar w:fldCharType="separate"/>
            </w:r>
            <w:r w:rsidRPr="00F13CC6">
              <w:rPr>
                <w:noProof/>
              </w:rPr>
              <w:t>5</w:t>
            </w:r>
            <w:r w:rsidRPr="00F13CC6">
              <w:fldChar w:fldCharType="end"/>
            </w:r>
            <w:r w:rsidRPr="00F13CC6">
              <w:t>)</w:t>
            </w:r>
            <w:bookmarkEnd w:id="2"/>
          </w:p>
        </w:tc>
      </w:tr>
    </w:tbl>
    <w:p w:rsidR="00171999" w:rsidRPr="00F13CC6" w:rsidRDefault="00171999" w:rsidP="00171999">
      <w:pPr>
        <w:spacing w:line="240" w:lineRule="auto"/>
        <w:jc w:val="both"/>
      </w:pPr>
      <w:r w:rsidRPr="00F13CC6">
        <w:t xml:space="preserve">The quantity </w:t>
      </w:r>
      <w:proofErr w:type="spellStart"/>
      <w:r w:rsidRPr="00F13CC6">
        <w:rPr>
          <w:rFonts w:eastAsia="rtxr" w:hint="eastAsia"/>
        </w:rPr>
        <w:t>Δ</w:t>
      </w:r>
      <w:r w:rsidRPr="00F13CC6">
        <w:t>ω</w:t>
      </w:r>
      <w:proofErr w:type="spellEnd"/>
      <w:r w:rsidRPr="00F13CC6">
        <w:t xml:space="preserve"> </w:t>
      </w:r>
      <w:r w:rsidRPr="00F13CC6">
        <w:rPr>
          <w:rFonts w:eastAsia="rtxr"/>
        </w:rPr>
        <w:sym w:font="Symbol" w:char="F03D"/>
      </w:r>
      <w:r w:rsidRPr="00F13CC6">
        <w:rPr>
          <w:rFonts w:eastAsia="rtxr"/>
        </w:rPr>
        <w:t xml:space="preserve"> </w:t>
      </w:r>
      <w:proofErr w:type="spellStart"/>
      <w:r w:rsidRPr="00F13CC6">
        <w:rPr>
          <w:rFonts w:eastAsia="rtxr" w:hint="eastAsia"/>
        </w:rPr>
        <w:t>Δ</w:t>
      </w:r>
      <w:r w:rsidRPr="00F13CC6">
        <w:t>ω</w:t>
      </w:r>
      <w:r w:rsidRPr="00F13CC6">
        <w:rPr>
          <w:vertAlign w:val="subscript"/>
        </w:rPr>
        <w:t>a</w:t>
      </w:r>
      <w:proofErr w:type="spellEnd"/>
      <w:r w:rsidRPr="00F13CC6">
        <w:t xml:space="preserve"> </w:t>
      </w:r>
      <w:r w:rsidRPr="00F13CC6">
        <w:rPr>
          <w:rFonts w:eastAsia="rtxr"/>
        </w:rPr>
        <w:sym w:font="Symbol" w:char="F03D"/>
      </w:r>
      <w:r w:rsidRPr="00F13CC6">
        <w:rPr>
          <w:rFonts w:eastAsia="rtxr"/>
        </w:rPr>
        <w:t xml:space="preserve"> </w:t>
      </w:r>
      <w:proofErr w:type="spellStart"/>
      <w:r w:rsidRPr="00F13CC6">
        <w:t>ω</w:t>
      </w:r>
      <w:r w:rsidRPr="00F13CC6">
        <w:rPr>
          <w:vertAlign w:val="subscript"/>
        </w:rPr>
        <w:t>rf</w:t>
      </w:r>
      <w:proofErr w:type="spellEnd"/>
      <w:r w:rsidRPr="00F13CC6">
        <w:t xml:space="preserve"> </w:t>
      </w:r>
      <w:r w:rsidRPr="00F13CC6">
        <w:rPr>
          <w:rFonts w:eastAsia="txsy" w:hint="eastAsia"/>
        </w:rPr>
        <w:t>−</w:t>
      </w:r>
      <w:r w:rsidRPr="00F13CC6">
        <w:rPr>
          <w:rFonts w:eastAsia="txsy"/>
        </w:rPr>
        <w:t xml:space="preserve"> </w:t>
      </w:r>
      <w:proofErr w:type="spellStart"/>
      <w:r w:rsidRPr="00F13CC6">
        <w:t>ω</w:t>
      </w:r>
      <w:r w:rsidRPr="00F13CC6">
        <w:rPr>
          <w:vertAlign w:val="subscript"/>
        </w:rPr>
        <w:t>a</w:t>
      </w:r>
      <w:proofErr w:type="spellEnd"/>
      <w:r w:rsidRPr="00F13CC6">
        <w:t xml:space="preserve"> is the frequency o</w:t>
      </w:r>
      <w:r w:rsidRPr="00F13CC6">
        <w:rPr>
          <w:rFonts w:eastAsia="rtxr"/>
        </w:rPr>
        <w:t>ff</w:t>
      </w:r>
      <w:r w:rsidRPr="00F13CC6">
        <w:t xml:space="preserve">set relative to the </w:t>
      </w:r>
      <w:proofErr w:type="spellStart"/>
      <w:r w:rsidRPr="00F13CC6">
        <w:t>Larmor</w:t>
      </w:r>
      <w:proofErr w:type="spellEnd"/>
      <w:r w:rsidRPr="00F13CC6">
        <w:t xml:space="preserve"> frequency </w:t>
      </w:r>
      <w:proofErr w:type="spellStart"/>
      <w:r w:rsidRPr="00F13CC6">
        <w:t>ω</w:t>
      </w:r>
      <w:r w:rsidRPr="00F13CC6">
        <w:rPr>
          <w:vertAlign w:val="subscript"/>
        </w:rPr>
        <w:t>a</w:t>
      </w:r>
      <w:proofErr w:type="spellEnd"/>
      <w:r w:rsidRPr="00F13CC6">
        <w:t xml:space="preserve"> of pool a (for </w:t>
      </w:r>
      <w:r w:rsidRPr="00F13CC6">
        <w:rPr>
          <w:vertAlign w:val="superscript"/>
        </w:rPr>
        <w:t>1</w:t>
      </w:r>
      <w:r w:rsidRPr="00F13CC6">
        <w:t xml:space="preserve">H: </w:t>
      </w:r>
      <w:proofErr w:type="spellStart"/>
      <w:r w:rsidRPr="00F13CC6">
        <w:t>ω</w:t>
      </w:r>
      <w:r w:rsidRPr="00F13CC6">
        <w:rPr>
          <w:vertAlign w:val="subscript"/>
        </w:rPr>
        <w:t>a</w:t>
      </w:r>
      <w:proofErr w:type="spellEnd"/>
      <w:r w:rsidRPr="00F13CC6">
        <w:t>/B</w:t>
      </w:r>
      <w:r w:rsidRPr="00F13CC6">
        <w:rPr>
          <w:vertAlign w:val="subscript"/>
        </w:rPr>
        <w:t>0</w:t>
      </w:r>
      <w:r w:rsidRPr="00F13CC6">
        <w:t xml:space="preserve"> </w:t>
      </w:r>
      <w:r w:rsidRPr="00F13CC6">
        <w:rPr>
          <w:rFonts w:eastAsia="rtxr"/>
        </w:rPr>
        <w:sym w:font="Symbol" w:char="F03D"/>
      </w:r>
      <w:r w:rsidRPr="00F13CC6">
        <w:rPr>
          <w:rFonts w:eastAsia="rtxr"/>
        </w:rPr>
        <w:t xml:space="preserve"> </w:t>
      </w:r>
      <w:r w:rsidRPr="00F13CC6">
        <w:t xml:space="preserve">γ </w:t>
      </w:r>
      <w:r w:rsidRPr="00F13CC6">
        <w:rPr>
          <w:rFonts w:eastAsia="rtxr"/>
        </w:rPr>
        <w:sym w:font="Symbol" w:char="F03D"/>
      </w:r>
      <w:r w:rsidRPr="00F13CC6">
        <w:rPr>
          <w:rFonts w:eastAsia="rtxr"/>
        </w:rPr>
        <w:t xml:space="preserve"> </w:t>
      </w:r>
      <w:r w:rsidRPr="00F13CC6">
        <w:t>267.5 rad/</w:t>
      </w:r>
      <w:proofErr w:type="spellStart"/>
      <w:r w:rsidRPr="00F13CC6">
        <w:t>μTs</w:t>
      </w:r>
      <w:proofErr w:type="spellEnd"/>
      <w:r w:rsidRPr="00F13CC6">
        <w:t>). The o</w:t>
      </w:r>
      <w:r w:rsidRPr="00F13CC6">
        <w:rPr>
          <w:rFonts w:eastAsia="rtxr"/>
        </w:rPr>
        <w:t>ff</w:t>
      </w:r>
      <w:r w:rsidRPr="00F13CC6">
        <w:t xml:space="preserve">set of pool b: </w:t>
      </w:r>
      <w:proofErr w:type="spellStart"/>
      <w:r w:rsidRPr="00F13CC6">
        <w:rPr>
          <w:rFonts w:eastAsia="rtxr" w:hint="eastAsia"/>
        </w:rPr>
        <w:t>Δ</w:t>
      </w:r>
      <w:r w:rsidRPr="00F13CC6">
        <w:t>ω</w:t>
      </w:r>
      <w:r w:rsidRPr="00F13CC6">
        <w:rPr>
          <w:vertAlign w:val="subscript"/>
        </w:rPr>
        <w:t>b</w:t>
      </w:r>
      <w:proofErr w:type="spellEnd"/>
      <w:r w:rsidRPr="00F13CC6">
        <w:t xml:space="preserve"> </w:t>
      </w:r>
      <w:r w:rsidRPr="00F13CC6">
        <w:rPr>
          <w:rFonts w:eastAsia="rtxr"/>
        </w:rPr>
        <w:sym w:font="Symbol" w:char="F03D"/>
      </w:r>
      <w:r w:rsidRPr="00F13CC6">
        <w:rPr>
          <w:rFonts w:eastAsia="rtxr"/>
        </w:rPr>
        <w:t xml:space="preserve"> </w:t>
      </w:r>
      <w:proofErr w:type="spellStart"/>
      <w:r w:rsidRPr="00F13CC6">
        <w:t>ω</w:t>
      </w:r>
      <w:r w:rsidRPr="00F13CC6">
        <w:rPr>
          <w:vertAlign w:val="subscript"/>
        </w:rPr>
        <w:t>rf</w:t>
      </w:r>
      <w:proofErr w:type="spellEnd"/>
      <w:r w:rsidRPr="00F13CC6">
        <w:t xml:space="preserve"> </w:t>
      </w:r>
      <w:r w:rsidRPr="00F13CC6">
        <w:rPr>
          <w:rFonts w:eastAsia="txsy" w:hint="eastAsia"/>
        </w:rPr>
        <w:t>−</w:t>
      </w:r>
      <w:r w:rsidRPr="00F13CC6">
        <w:rPr>
          <w:rFonts w:eastAsia="txsy"/>
        </w:rPr>
        <w:t xml:space="preserve"> </w:t>
      </w:r>
      <w:proofErr w:type="spellStart"/>
      <w:r w:rsidRPr="00F13CC6">
        <w:t>ω</w:t>
      </w:r>
      <w:r w:rsidRPr="00F13CC6">
        <w:rPr>
          <w:vertAlign w:val="subscript"/>
        </w:rPr>
        <w:t>b</w:t>
      </w:r>
      <w:proofErr w:type="spellEnd"/>
      <w:r w:rsidRPr="00F13CC6">
        <w:rPr>
          <w:rFonts w:eastAsia="rtxr"/>
        </w:rPr>
        <w:t xml:space="preserve"> </w:t>
      </w:r>
      <w:r w:rsidRPr="00F13CC6">
        <w:rPr>
          <w:rFonts w:eastAsia="rtxr"/>
        </w:rPr>
        <w:sym w:font="Symbol" w:char="F03D"/>
      </w:r>
      <w:r w:rsidRPr="00F13CC6">
        <w:rPr>
          <w:rFonts w:eastAsia="rtxr"/>
        </w:rPr>
        <w:t xml:space="preserve"> </w:t>
      </w:r>
      <w:proofErr w:type="spellStart"/>
      <w:r w:rsidRPr="00F13CC6">
        <w:rPr>
          <w:rFonts w:eastAsia="rtxr" w:hint="eastAsia"/>
        </w:rPr>
        <w:t>Δ</w:t>
      </w:r>
      <w:r w:rsidRPr="00F13CC6">
        <w:t>ω</w:t>
      </w:r>
      <w:proofErr w:type="spellEnd"/>
      <w:r w:rsidRPr="00F13CC6">
        <w:t xml:space="preserve"> </w:t>
      </w:r>
      <w:r w:rsidRPr="00F13CC6">
        <w:rPr>
          <w:rFonts w:eastAsia="txsy" w:hint="eastAsia"/>
        </w:rPr>
        <w:t>−</w:t>
      </w:r>
      <w:r w:rsidRPr="00F13CC6">
        <w:rPr>
          <w:rFonts w:eastAsia="txsy"/>
        </w:rPr>
        <w:t xml:space="preserve"> </w:t>
      </w:r>
      <w:proofErr w:type="spellStart"/>
      <w:r w:rsidRPr="00F13CC6">
        <w:t>δ</w:t>
      </w:r>
      <w:r w:rsidRPr="00F13CC6">
        <w:rPr>
          <w:vertAlign w:val="subscript"/>
        </w:rPr>
        <w:t>b</w:t>
      </w:r>
      <w:r w:rsidRPr="00F13CC6">
        <w:t>ω</w:t>
      </w:r>
      <w:r w:rsidRPr="00F13CC6">
        <w:rPr>
          <w:vertAlign w:val="subscript"/>
        </w:rPr>
        <w:t>a</w:t>
      </w:r>
      <w:proofErr w:type="spellEnd"/>
      <w:r w:rsidRPr="00F13CC6">
        <w:t xml:space="preserve">, is shifted by </w:t>
      </w:r>
      <w:proofErr w:type="spellStart"/>
      <w:r w:rsidRPr="00F13CC6">
        <w:t>δ</w:t>
      </w:r>
      <w:r w:rsidRPr="00F13CC6">
        <w:rPr>
          <w:vertAlign w:val="subscript"/>
        </w:rPr>
        <w:t>b</w:t>
      </w:r>
      <w:proofErr w:type="spellEnd"/>
      <w:r w:rsidRPr="00F13CC6">
        <w:t xml:space="preserve"> relative to the water proton resonance.</w:t>
      </w:r>
    </w:p>
    <w:p w:rsidR="00171999" w:rsidRPr="00F13CC6" w:rsidRDefault="00171999" w:rsidP="00171999">
      <w:pPr>
        <w:spacing w:line="240" w:lineRule="auto"/>
        <w:jc w:val="both"/>
      </w:pPr>
      <w:r w:rsidRPr="00F13CC6">
        <w:t>At field strengths of clinical MR imaging systems, longitudinal relaxation rates R</w:t>
      </w:r>
      <w:r w:rsidRPr="00F13CC6">
        <w:rPr>
          <w:vertAlign w:val="subscript"/>
        </w:rPr>
        <w:t>1,a/b</w:t>
      </w:r>
      <w:r w:rsidRPr="00F13CC6">
        <w:rPr>
          <w:rFonts w:eastAsia="rtxr"/>
        </w:rPr>
        <w:t xml:space="preserve"> </w:t>
      </w:r>
      <w:r w:rsidRPr="00F13CC6">
        <w:rPr>
          <w:rFonts w:eastAsia="rtxr"/>
        </w:rPr>
        <w:sym w:font="Symbol" w:char="F03D"/>
      </w:r>
      <w:r w:rsidRPr="00F13CC6">
        <w:rPr>
          <w:rFonts w:eastAsia="rtxr"/>
        </w:rPr>
        <w:t xml:space="preserve"> </w:t>
      </w:r>
      <w:r w:rsidRPr="00F13CC6">
        <w:t>1/T</w:t>
      </w:r>
      <w:r w:rsidRPr="00F13CC6">
        <w:rPr>
          <w:vertAlign w:val="subscript"/>
        </w:rPr>
        <w:t>1,a/b</w:t>
      </w:r>
      <w:r w:rsidRPr="00F13CC6">
        <w:t xml:space="preserve"> are in the order of </w:t>
      </w:r>
      <w:r w:rsidRPr="00F13CC6">
        <w:rPr>
          <w:rFonts w:cs="Arial"/>
          <w:lang w:val="en-GB"/>
        </w:rPr>
        <w:t>s</w:t>
      </w:r>
      <w:r w:rsidRPr="00F13CC6">
        <w:rPr>
          <w:vertAlign w:val="superscript"/>
        </w:rPr>
        <w:t>–1</w:t>
      </w:r>
      <w:r w:rsidRPr="00F13CC6">
        <w:t>, while transverse relaxation rates R</w:t>
      </w:r>
      <w:r w:rsidRPr="00F13CC6">
        <w:rPr>
          <w:vertAlign w:val="subscript"/>
        </w:rPr>
        <w:t>2,a/b</w:t>
      </w:r>
      <w:r w:rsidRPr="00F13CC6">
        <w:t xml:space="preserve"> </w:t>
      </w:r>
      <w:r w:rsidRPr="00F13CC6">
        <w:rPr>
          <w:rFonts w:eastAsia="rtxr"/>
        </w:rPr>
        <w:sym w:font="Symbol" w:char="F03D"/>
      </w:r>
      <w:r w:rsidRPr="00F13CC6">
        <w:rPr>
          <w:rFonts w:eastAsia="rtxr"/>
        </w:rPr>
        <w:t xml:space="preserve"> </w:t>
      </w:r>
      <w:r w:rsidRPr="00F13CC6">
        <w:t>1/T</w:t>
      </w:r>
      <w:r w:rsidRPr="00F13CC6">
        <w:rPr>
          <w:vertAlign w:val="subscript"/>
        </w:rPr>
        <w:t>2,a/b</w:t>
      </w:r>
      <w:r w:rsidRPr="00F13CC6">
        <w:t xml:space="preserve"> are in the order of 10</w:t>
      </w:r>
      <w:r w:rsidRPr="00F13CC6">
        <w:rPr>
          <w:lang w:val="en-GB"/>
        </w:rPr>
        <w:t>–</w:t>
      </w:r>
      <w:r w:rsidRPr="00F13CC6">
        <w:t xml:space="preserve">100 </w:t>
      </w:r>
      <w:r w:rsidRPr="00F13CC6">
        <w:rPr>
          <w:rFonts w:cs="Arial"/>
          <w:lang w:val="en-GB"/>
        </w:rPr>
        <w:t>s</w:t>
      </w:r>
      <w:r w:rsidRPr="00F13CC6">
        <w:rPr>
          <w:vertAlign w:val="superscript"/>
        </w:rPr>
        <w:t>–1</w:t>
      </w:r>
      <w:r w:rsidRPr="00F13CC6">
        <w:t xml:space="preserve"> for </w:t>
      </w:r>
      <w:r w:rsidRPr="00F13CC6">
        <w:rPr>
          <w:i/>
        </w:rPr>
        <w:t>in vivo</w:t>
      </w:r>
      <w:r w:rsidRPr="00F13CC6">
        <w:t xml:space="preserve"> </w:t>
      </w:r>
      <w:r w:rsidRPr="00F13CC6">
        <w:rPr>
          <w:vertAlign w:val="superscript"/>
        </w:rPr>
        <w:t>1</w:t>
      </w:r>
      <w:r w:rsidRPr="00F13CC6">
        <w:t>H systems. For macromolecules and bound water R</w:t>
      </w:r>
      <w:r w:rsidRPr="00F13CC6">
        <w:rPr>
          <w:vertAlign w:val="subscript"/>
        </w:rPr>
        <w:t>2b</w:t>
      </w:r>
      <w:r w:rsidRPr="00F13CC6">
        <w:t xml:space="preserve"> can take values up to 10</w:t>
      </w:r>
      <w:r w:rsidRPr="00F13CC6">
        <w:rPr>
          <w:vertAlign w:val="superscript"/>
        </w:rPr>
        <w:t>6</w:t>
      </w:r>
      <w:r w:rsidRPr="00F13CC6">
        <w:t xml:space="preserve"> </w:t>
      </w:r>
      <w:r w:rsidRPr="00F13CC6">
        <w:rPr>
          <w:rFonts w:cs="Arial"/>
          <w:lang w:val="en-GB"/>
        </w:rPr>
        <w:t>s</w:t>
      </w:r>
      <w:r w:rsidRPr="00F13CC6">
        <w:rPr>
          <w:vertAlign w:val="superscript"/>
        </w:rPr>
        <w:t>–1</w:t>
      </w:r>
      <w:r w:rsidRPr="00F13CC6">
        <w:t xml:space="preserve"> </w:t>
      </w:r>
      <w:r w:rsidRPr="00F13CC6">
        <w:fldChar w:fldCharType="begin"/>
      </w:r>
      <w:r w:rsidRPr="00F13CC6">
        <w:instrText xml:space="preserve"> ADDIN ZOTERO_ITEM CSL_CITATION {"citationID":"1ubj3iptk","properties":{"formattedCitation":"(Stanisz et al., 2005)","plainCitation":"(Stanisz et al., 2005)"},"citationItems":[{"id":102,"uris":["http://zotero.org/users/local/C6DL19O5/items/ESWBEF3Z"],"uri":["http://zotero.org/users/local/C6DL19O5/items/ESWBEF3Z"],"itemData":{"id":102,"type":"article-journal","title":"T1, T2 relaxation and magnetization transfer in tissue at 3T","container-title":"Magnetic Resonance in Medicine","page":"507-512","volume":"54","issue":"3","source":"Wiley InterScience","abstract":"T1, T2, and magnetization transfer (MT) measurements were performed in vitro at 3 T and 37°C on a variety of tissues: mouse liver, muscle, and heart; rat spinal cord and kidney; bovine optic nerve, cartilage, and white and gray matter; and human blood. The MR parameters were compared to those at 1.5 T. As expected, the T2 relaxation time constants and quantitative MT parameters (MT exchange rate, R, macromolecular pool fraction, M0B, and macromolecular T2 relaxation time, T2B) at 3 T were similar to those at 1.5 T. The T1 relaxation time values, however, for all measured tissues increased significantly with field strength. Consequently, the phenomenological MT parameter, magnetization transfer ratio, MTR, was lower by approximately 2 to 10%. Collectively, these results provide a useful reference for optimization of pulse sequence parameters for MRI at 3 T. Magn Reson Med, 2005. © 2005 Wiley-Liss, Inc.","DOI":"10.1002/mrm.20605","author":[{"family":"Stanisz","given":"Greg J."},{"family":"Odrobina","given":"Ewa E."},{"family":"Pun","given":"Joseph"},{"family":"Escaravage","given":"Michael"},{"family":"Graham","given":"Simon J."},{"family":"Bronskill","given":"Michael J."},{"family":"Henkelman","given":"R. Mark"}],"issued":{"date-parts":[["2005"]]},"accessed":{"date-parts":[["2010",2,8]]}}}],"schema":"https://github.com/citation-style-language/schema/raw/master/csl-citation.json"} </w:instrText>
      </w:r>
      <w:r w:rsidRPr="00F13CC6">
        <w:fldChar w:fldCharType="separate"/>
      </w:r>
      <w:r w:rsidRPr="00F13CC6">
        <w:t>(</w:t>
      </w:r>
      <w:proofErr w:type="spellStart"/>
      <w:r w:rsidRPr="00F13CC6">
        <w:t>Stanisz</w:t>
      </w:r>
      <w:proofErr w:type="spellEnd"/>
      <w:r w:rsidRPr="00F13CC6">
        <w:t xml:space="preserve"> et al., 2005)</w:t>
      </w:r>
      <w:r w:rsidRPr="00F13CC6">
        <w:fldChar w:fldCharType="end"/>
      </w:r>
      <w:r w:rsidRPr="00F13CC6">
        <w:t xml:space="preserve">. On resonance, the </w:t>
      </w:r>
      <w:proofErr w:type="spellStart"/>
      <w:r w:rsidRPr="00F13CC6">
        <w:t>rf</w:t>
      </w:r>
      <w:proofErr w:type="spellEnd"/>
      <w:r w:rsidRPr="00F13CC6">
        <w:t xml:space="preserve"> irradiation field B</w:t>
      </w:r>
      <w:r w:rsidRPr="00F13CC6">
        <w:rPr>
          <w:vertAlign w:val="subscript"/>
        </w:rPr>
        <w:t>1</w:t>
      </w:r>
      <w:r w:rsidRPr="00F13CC6">
        <w:t xml:space="preserve"> </w:t>
      </w:r>
      <w:r w:rsidRPr="00F13CC6">
        <w:rPr>
          <w:rFonts w:eastAsia="rtxr"/>
        </w:rPr>
        <w:sym w:font="Symbol" w:char="F03D"/>
      </w:r>
      <w:r w:rsidRPr="00F13CC6">
        <w:rPr>
          <w:rFonts w:eastAsia="rtxr"/>
        </w:rPr>
        <w:t xml:space="preserve"> </w:t>
      </w:r>
      <w:r w:rsidRPr="00F13CC6">
        <w:t>(B</w:t>
      </w:r>
      <w:r w:rsidRPr="00F13CC6">
        <w:rPr>
          <w:vertAlign w:val="subscript"/>
        </w:rPr>
        <w:t>1</w:t>
      </w:r>
      <w:r w:rsidRPr="00F13CC6">
        <w:t>, 0, 0) with B</w:t>
      </w:r>
      <w:r w:rsidRPr="00F13CC6">
        <w:rPr>
          <w:vertAlign w:val="subscript"/>
        </w:rPr>
        <w:t>1</w:t>
      </w:r>
      <w:r w:rsidRPr="00F13CC6">
        <w:rPr>
          <w:rFonts w:eastAsia="txsy"/>
        </w:rPr>
        <w:t xml:space="preserve"> </w:t>
      </w:r>
      <w:r w:rsidRPr="00F13CC6">
        <w:rPr>
          <w:rFonts w:eastAsia="txsy" w:hint="eastAsia"/>
        </w:rPr>
        <w:t>≈</w:t>
      </w:r>
      <w:r w:rsidRPr="00F13CC6">
        <w:rPr>
          <w:rFonts w:eastAsia="txsy"/>
        </w:rPr>
        <w:t xml:space="preserve"> </w:t>
      </w:r>
      <w:proofErr w:type="spellStart"/>
      <w:r w:rsidRPr="00F13CC6">
        <w:t>μT</w:t>
      </w:r>
      <w:proofErr w:type="spellEnd"/>
      <w:r w:rsidRPr="00F13CC6">
        <w:t>, induces a precession of the magnetization with frequency ω</w:t>
      </w:r>
      <w:r w:rsidRPr="00F13CC6">
        <w:rPr>
          <w:vertAlign w:val="subscript"/>
        </w:rPr>
        <w:t>1</w:t>
      </w:r>
      <w:r w:rsidRPr="00F13CC6">
        <w:t xml:space="preserve"> </w:t>
      </w:r>
      <w:r w:rsidRPr="00F13CC6">
        <w:rPr>
          <w:rFonts w:eastAsia="rtxr"/>
        </w:rPr>
        <w:sym w:font="Symbol" w:char="F03D"/>
      </w:r>
      <w:r w:rsidRPr="00F13CC6">
        <w:rPr>
          <w:rFonts w:eastAsia="rtxr"/>
        </w:rPr>
        <w:t xml:space="preserve"> </w:t>
      </w:r>
      <w:r w:rsidRPr="00F13CC6">
        <w:t>γ B</w:t>
      </w:r>
      <w:r w:rsidRPr="00F13CC6">
        <w:rPr>
          <w:vertAlign w:val="subscript"/>
        </w:rPr>
        <w:t>1</w:t>
      </w:r>
      <w:r w:rsidRPr="00F13CC6">
        <w:t xml:space="preserve"> around the x</w:t>
      </w:r>
      <w:r w:rsidRPr="00F13CC6">
        <w:rPr>
          <w:lang w:val="en-GB"/>
        </w:rPr>
        <w:t>–</w:t>
      </w:r>
      <w:r w:rsidRPr="00F13CC6">
        <w:t>axis in the rotating frame in the order of several 100 rad/s. In the case of off</w:t>
      </w:r>
      <w:r w:rsidRPr="00F13CC6">
        <w:rPr>
          <w:lang w:val="en-GB"/>
        </w:rPr>
        <w:t>–</w:t>
      </w:r>
      <w:r w:rsidRPr="00F13CC6">
        <w:t xml:space="preserve">resonant irradiation the magnetization rotates around the effective field </w:t>
      </w:r>
      <w:r w:rsidRPr="00F13CC6">
        <w:rPr>
          <w:position w:val="-10"/>
        </w:rPr>
        <w:object w:dxaOrig="420" w:dyaOrig="400">
          <v:shape id="_x0000_i1030" type="#_x0000_t75" style="width:21pt;height:20.25pt" o:ole="">
            <v:imagedata r:id="rId15" o:title=""/>
          </v:shape>
          <o:OLEObject Type="Embed" ProgID="Equation.3" ShapeID="_x0000_i1030" DrawAspect="Content" ObjectID="_1526808517" r:id="rId16"/>
        </w:object>
      </w:r>
      <w:r w:rsidRPr="00F13CC6">
        <w:sym w:font="Symbol" w:char="F03D"/>
      </w:r>
      <w:r w:rsidRPr="00F13CC6">
        <w:t xml:space="preserve"> (ω</w:t>
      </w:r>
      <w:r w:rsidRPr="00F13CC6">
        <w:rPr>
          <w:vertAlign w:val="subscript"/>
        </w:rPr>
        <w:t>1</w:t>
      </w:r>
      <w:r w:rsidRPr="00F13CC6">
        <w:t>, 0,</w:t>
      </w:r>
      <w:r w:rsidRPr="00F13CC6">
        <w:rPr>
          <w:rFonts w:eastAsia="rtxr" w:hint="eastAsia"/>
        </w:rPr>
        <w:t xml:space="preserve"> </w:t>
      </w:r>
      <w:proofErr w:type="spellStart"/>
      <w:r w:rsidRPr="00F13CC6">
        <w:rPr>
          <w:rFonts w:eastAsia="rtxr" w:hint="eastAsia"/>
        </w:rPr>
        <w:t>Δ</w:t>
      </w:r>
      <w:r w:rsidRPr="00F13CC6">
        <w:t>ω</w:t>
      </w:r>
      <w:proofErr w:type="spellEnd"/>
      <w:r w:rsidRPr="00F13CC6">
        <w:t xml:space="preserve">)/γ </w:t>
      </w:r>
      <w:r w:rsidRPr="00F13CC6">
        <w:sym w:font="Symbol" w:char="F03D"/>
      </w:r>
      <w:r w:rsidRPr="00F13CC6">
        <w:t xml:space="preserve"> </w:t>
      </w:r>
      <w:r w:rsidRPr="00F13CC6">
        <w:rPr>
          <w:position w:val="-10"/>
        </w:rPr>
        <w:object w:dxaOrig="420" w:dyaOrig="400">
          <v:shape id="_x0000_i1031" type="#_x0000_t75" style="width:21pt;height:20.25pt" o:ole="">
            <v:imagedata r:id="rId17" o:title=""/>
          </v:shape>
          <o:OLEObject Type="Embed" ProgID="Equation.3" ShapeID="_x0000_i1031" DrawAspect="Content" ObjectID="_1526808518" r:id="rId18"/>
        </w:object>
      </w:r>
      <w:r w:rsidRPr="00F13CC6">
        <w:t xml:space="preserve">/γ which is tilted by the angle θ </w:t>
      </w:r>
      <w:r w:rsidRPr="00F13CC6">
        <w:sym w:font="Symbol" w:char="F03D"/>
      </w:r>
      <w:r w:rsidRPr="00F13CC6">
        <w:t xml:space="preserve"> tan</w:t>
      </w:r>
      <w:r w:rsidRPr="00F13CC6">
        <w:rPr>
          <w:vertAlign w:val="superscript"/>
        </w:rPr>
        <w:t>-1</w:t>
      </w:r>
      <w:r w:rsidRPr="00F13CC6">
        <w:t>(ω</w:t>
      </w:r>
      <w:r w:rsidRPr="00F13CC6">
        <w:rPr>
          <w:vertAlign w:val="subscript"/>
        </w:rPr>
        <w:t>1</w:t>
      </w:r>
      <w:r w:rsidRPr="00F13CC6">
        <w:t>/</w:t>
      </w:r>
      <w:proofErr w:type="spellStart"/>
      <w:r w:rsidRPr="00F13CC6">
        <w:rPr>
          <w:rFonts w:eastAsia="rtxr" w:hint="eastAsia"/>
        </w:rPr>
        <w:t>Δ</w:t>
      </w:r>
      <w:r w:rsidRPr="00F13CC6">
        <w:t>ω</w:t>
      </w:r>
      <w:proofErr w:type="spellEnd"/>
      <w:r w:rsidRPr="00F13CC6">
        <w:t>) off the z-axis (</w:t>
      </w:r>
      <w:r w:rsidRPr="00F13CC6">
        <w:fldChar w:fldCharType="begin"/>
      </w:r>
      <w:r w:rsidRPr="00F13CC6">
        <w:instrText xml:space="preserve"> REF _Ref349781213 \h </w:instrText>
      </w:r>
      <w:r>
        <w:instrText xml:space="preserve"> \* MERGEFORMAT </w:instrText>
      </w:r>
      <w:r w:rsidRPr="00F13CC6">
        <w:fldChar w:fldCharType="separate"/>
      </w:r>
      <w:r w:rsidRPr="00F13CC6">
        <w:t xml:space="preserve">Figure </w:t>
      </w:r>
      <w:r w:rsidRPr="00F13CC6">
        <w:rPr>
          <w:noProof/>
        </w:rPr>
        <w:t>5</w:t>
      </w:r>
      <w:r w:rsidRPr="00F13CC6">
        <w:fldChar w:fldCharType="end"/>
      </w:r>
      <w:r w:rsidRPr="00F13CC6">
        <w:t>). The population fraction f</w:t>
      </w:r>
      <w:r w:rsidRPr="00F13CC6">
        <w:rPr>
          <w:vertAlign w:val="subscript"/>
        </w:rPr>
        <w:t>b</w:t>
      </w:r>
      <w:r w:rsidRPr="00F13CC6">
        <w:t xml:space="preserve"> is assumed to be &lt; 1 % for most MRZS experiments, hence </w:t>
      </w:r>
      <w:proofErr w:type="spellStart"/>
      <w:r w:rsidRPr="00F13CC6">
        <w:t>k</w:t>
      </w:r>
      <w:r w:rsidRPr="00F13CC6">
        <w:rPr>
          <w:vertAlign w:val="subscript"/>
        </w:rPr>
        <w:t>a</w:t>
      </w:r>
      <w:proofErr w:type="spellEnd"/>
      <w:r w:rsidRPr="00F13CC6">
        <w:t xml:space="preserve"> is small compared to k</w:t>
      </w:r>
      <w:r w:rsidRPr="00F13CC6">
        <w:rPr>
          <w:vertAlign w:val="subscript"/>
        </w:rPr>
        <w:t>b</w:t>
      </w:r>
      <w:r w:rsidRPr="00F13CC6">
        <w:t>. In contrast, for MT f</w:t>
      </w:r>
      <w:r w:rsidRPr="00F13CC6">
        <w:rPr>
          <w:vertAlign w:val="subscript"/>
        </w:rPr>
        <w:t>b</w:t>
      </w:r>
      <w:r w:rsidRPr="00F13CC6">
        <w:t xml:space="preserve"> can be as large as 19 % for cartilage, but is in the range of several percent for most tissues </w:t>
      </w:r>
      <w:r w:rsidRPr="00F13CC6">
        <w:fldChar w:fldCharType="begin"/>
      </w:r>
      <w:r w:rsidRPr="00F13CC6">
        <w:instrText xml:space="preserve"> ADDIN ZOTERO_ITEM CSL_CITATION {"citationID":"hAygyOxp","properties":{"formattedCitation":"(Stanisz et al., 2005)","plainCitation":"(Stanisz et al., 2005)"},"citationItems":[{"id":102,"uris":["http://zotero.org/users/local/C6DL19O5/items/ESWBEF3Z"],"uri":["http://zotero.org/users/local/C6DL19O5/items/ESWBEF3Z"],"itemData":{"id":102,"type":"article-journal","title":"T1, T2 relaxation and magnetization transfer in tissue at 3T","container-title":"Magnetic Resonance in Medicine","page":"507-512","volume":"54","issue":"3","source":"Wiley InterScience","abstract":"T1, T2, and magnetization transfer (MT) measurements were performed in vitro at 3 T and 37°C on a variety of tissues: mouse liver, muscle, and heart; rat spinal cord and kidney; bovine optic nerve, cartilage, and white and gray matter; and human blood. The MR parameters were compared to those at 1.5 T. As expected, the T2 relaxation time constants and quantitative MT parameters (MT exchange rate, R, macromolecular pool fraction, M0B, and macromolecular T2 relaxation time, T2B) at 3 T were similar to those at 1.5 T. The T1 relaxation time values, however, for all measured tissues increased significantly with field strength. Consequently, the phenomenological MT parameter, magnetization transfer ratio, MTR, was lower by approximately 2 to 10%. Collectively, these results provide a useful reference for optimization of pulse sequence parameters for MRI at 3 T. Magn Reson Med, 2005. © 2005 Wiley-Liss, Inc.","DOI":"10.1002/mrm.20605","author":[{"family":"Stanisz","given":"Greg J."},{"family":"Odrobina","given":"Ewa E."},{"family":"Pun","given":"Joseph"},{"family":"Escaravage","given":"Michael"},{"family":"Graham","given":"Simon J."},{"family":"Bronskill","given":"Michael J."},{"family":"Henkelman","given":"R. Mark"}],"issued":{"date-parts":[["2005"]]},"accessed":{"date-parts":[["2010",2,8]]}}}],"schema":"https://github.com/citation-style-language/schema/raw/master/csl-citation.json"} </w:instrText>
      </w:r>
      <w:r w:rsidRPr="00F13CC6">
        <w:fldChar w:fldCharType="separate"/>
      </w:r>
      <w:r w:rsidRPr="00F13CC6">
        <w:t>(</w:t>
      </w:r>
      <w:proofErr w:type="spellStart"/>
      <w:r w:rsidRPr="00F13CC6">
        <w:t>Stanisz</w:t>
      </w:r>
      <w:proofErr w:type="spellEnd"/>
      <w:r w:rsidRPr="00F13CC6">
        <w:t xml:space="preserve"> et al., 2005)</w:t>
      </w:r>
      <w:r w:rsidRPr="00F13CC6">
        <w:fldChar w:fldCharType="end"/>
      </w:r>
      <w:r w:rsidRPr="00F13CC6">
        <w:t>.</w:t>
      </w:r>
    </w:p>
    <w:p w:rsidR="00171999" w:rsidRPr="00F13CC6" w:rsidRDefault="00171999" w:rsidP="00171999">
      <w:pPr>
        <w:spacing w:line="240" w:lineRule="auto"/>
        <w:jc w:val="both"/>
      </w:pPr>
      <w:r w:rsidRPr="00F13CC6">
        <w:t>The Bloch</w:t>
      </w:r>
      <w:r w:rsidRPr="00F13CC6">
        <w:rPr>
          <w:lang w:val="en-GB"/>
        </w:rPr>
        <w:t>–</w:t>
      </w:r>
      <w:r w:rsidRPr="00F13CC6">
        <w:t>McConnell/</w:t>
      </w:r>
      <w:r w:rsidRPr="00F13CC6">
        <w:rPr>
          <w:lang w:val="en-GB"/>
        </w:rPr>
        <w:t>–</w:t>
      </w:r>
      <w:r w:rsidRPr="00F13CC6">
        <w:t>Solomon equations pick out one relaxation pathway explicitly. We therefore separate this process and define the relaxation rates excluding this specific pathway by R</w:t>
      </w:r>
      <w:r w:rsidRPr="00F13CC6">
        <w:rPr>
          <w:vertAlign w:val="subscript"/>
        </w:rPr>
        <w:t>1</w:t>
      </w:r>
      <w:r w:rsidRPr="00F13CC6">
        <w:t>’</w:t>
      </w:r>
      <w:r w:rsidRPr="00F13CC6">
        <w:rPr>
          <w:rFonts w:eastAsia="rtxr"/>
        </w:rPr>
        <w:t xml:space="preserve"> </w:t>
      </w:r>
      <w:r w:rsidRPr="00F13CC6">
        <w:rPr>
          <w:rFonts w:eastAsia="rtxr"/>
        </w:rPr>
        <w:sym w:font="Symbol" w:char="F03D"/>
      </w:r>
      <w:r w:rsidRPr="00F13CC6">
        <w:rPr>
          <w:rFonts w:eastAsia="rtxr"/>
        </w:rPr>
        <w:t xml:space="preserve"> </w:t>
      </w:r>
      <w:r w:rsidRPr="00F13CC6">
        <w:t>1/T</w:t>
      </w:r>
      <w:r w:rsidRPr="00F13CC6">
        <w:rPr>
          <w:vertAlign w:val="subscript"/>
        </w:rPr>
        <w:t>1</w:t>
      </w:r>
      <w:r w:rsidRPr="00F13CC6">
        <w:t>’ and R</w:t>
      </w:r>
      <w:r w:rsidRPr="00F13CC6">
        <w:rPr>
          <w:vertAlign w:val="subscript"/>
        </w:rPr>
        <w:t>2</w:t>
      </w:r>
      <w:r w:rsidRPr="00F13CC6">
        <w:t>’</w:t>
      </w:r>
      <w:r w:rsidRPr="00F13CC6">
        <w:rPr>
          <w:rFonts w:eastAsia="rtxr"/>
        </w:rPr>
        <w:t xml:space="preserve"> </w:t>
      </w:r>
      <w:r w:rsidRPr="00F13CC6">
        <w:rPr>
          <w:rFonts w:eastAsia="rtxr"/>
        </w:rPr>
        <w:sym w:font="Symbol" w:char="F03D"/>
      </w:r>
      <w:r w:rsidRPr="00F13CC6">
        <w:rPr>
          <w:rFonts w:eastAsia="rtxr"/>
        </w:rPr>
        <w:t xml:space="preserve"> </w:t>
      </w:r>
      <w:r w:rsidRPr="00F13CC6">
        <w:t>1/T</w:t>
      </w:r>
      <w:r w:rsidRPr="00F13CC6">
        <w:rPr>
          <w:vertAlign w:val="subscript"/>
        </w:rPr>
        <w:t>2</w:t>
      </w:r>
      <w:r w:rsidRPr="00F13CC6">
        <w:t xml:space="preserve">’ </w:t>
      </w:r>
      <w:r w:rsidRPr="00F13CC6">
        <w:fldChar w:fldCharType="begin"/>
      </w:r>
      <w:r w:rsidRPr="00F13CC6">
        <w:instrText xml:space="preserve"> ADDIN ZOTERO_ITEM CSL_CITATION {"citationID":"I0FXHzT2","properties":{"formattedCitation":"(Neuhaus and Williamson, 1989)","plainCitation":"(Neuhaus and Williamson, 1989)"},"citationItems":[{"id":698,"uris":["http://zotero.org/users/local/n8sSIA6p/items/58HRKFMW"],"uri":["http://zotero.org/users/local/n8sSIA6p/items/58HRKFMW"],"itemData":{"id":698,"type":"article-journal","title":"The NOE effect in Structural and Conformational AnalysisVCH Publishers","container-title":"New York","page":"164","source":"Google Scholar","author":[{"family":"Neuhaus","given":"D."},{"family":"Williamson","given":"M."}],"issued":{"date-parts":[[1989]]}}}],"schema":"https://github.com/citation-style-language/schema/raw/master/csl-citation.json"} </w:instrText>
      </w:r>
      <w:r w:rsidRPr="00F13CC6">
        <w:fldChar w:fldCharType="separate"/>
      </w:r>
      <w:r w:rsidRPr="00F13CC6">
        <w:t>(</w:t>
      </w:r>
      <w:proofErr w:type="spellStart"/>
      <w:r w:rsidRPr="00F13CC6">
        <w:t>Neuhaus</w:t>
      </w:r>
      <w:proofErr w:type="spellEnd"/>
      <w:r w:rsidRPr="00F13CC6">
        <w:t xml:space="preserve"> and Williamson, 1989)</w:t>
      </w:r>
      <w:r w:rsidRPr="00F13CC6">
        <w:fldChar w:fldCharType="end"/>
      </w:r>
      <w:r w:rsidRPr="00F13CC6">
        <w:t>.</w:t>
      </w:r>
    </w:p>
    <w:p w:rsidR="00171999" w:rsidRPr="00F13CC6" w:rsidRDefault="00171999" w:rsidP="00171999">
      <w:pPr>
        <w:spacing w:line="240" w:lineRule="auto"/>
        <w:jc w:val="both"/>
      </w:pPr>
      <w:r w:rsidRPr="00F13CC6">
        <w:t>In the context of the BM equations the used relaxation rates already exclude exchange. Therefore, R</w:t>
      </w:r>
      <w:r w:rsidRPr="00F13CC6">
        <w:rPr>
          <w:vertAlign w:val="subscript"/>
        </w:rPr>
        <w:t>1a</w:t>
      </w:r>
      <w:r w:rsidRPr="00F13CC6">
        <w:rPr>
          <w:rFonts w:eastAsia="rtxr"/>
        </w:rPr>
        <w:t xml:space="preserve"> </w:t>
      </w:r>
      <w:r w:rsidRPr="00F13CC6">
        <w:rPr>
          <w:rFonts w:eastAsia="rtxr"/>
        </w:rPr>
        <w:sym w:font="Symbol" w:char="F03D"/>
      </w:r>
      <w:r w:rsidRPr="00F13CC6">
        <w:rPr>
          <w:rFonts w:eastAsia="rtxr"/>
        </w:rPr>
        <w:t xml:space="preserve"> </w:t>
      </w:r>
      <w:proofErr w:type="spellStart"/>
      <w:r w:rsidRPr="00F13CC6">
        <w:t>R</w:t>
      </w:r>
      <w:r w:rsidRPr="00F13CC6">
        <w:rPr>
          <w:vertAlign w:val="subscript"/>
        </w:rPr>
        <w:t>1a</w:t>
      </w:r>
      <w:proofErr w:type="spellEnd"/>
      <w:r w:rsidRPr="00F13CC6">
        <w:t>’ and R</w:t>
      </w:r>
      <w:r w:rsidRPr="00F13CC6">
        <w:rPr>
          <w:vertAlign w:val="subscript"/>
        </w:rPr>
        <w:t>2a</w:t>
      </w:r>
      <w:r w:rsidRPr="00F13CC6">
        <w:rPr>
          <w:rFonts w:eastAsia="rtxr"/>
        </w:rPr>
        <w:t xml:space="preserve"> </w:t>
      </w:r>
      <w:r w:rsidRPr="00F13CC6">
        <w:rPr>
          <w:rFonts w:eastAsia="rtxr"/>
        </w:rPr>
        <w:sym w:font="Symbol" w:char="F03D"/>
      </w:r>
      <w:r w:rsidRPr="00F13CC6">
        <w:rPr>
          <w:rFonts w:eastAsia="rtxr"/>
        </w:rPr>
        <w:t xml:space="preserve"> </w:t>
      </w:r>
      <w:proofErr w:type="spellStart"/>
      <w:r w:rsidRPr="00F13CC6">
        <w:t>R</w:t>
      </w:r>
      <w:r w:rsidRPr="00F13CC6">
        <w:rPr>
          <w:vertAlign w:val="subscript"/>
        </w:rPr>
        <w:t>2a</w:t>
      </w:r>
      <w:proofErr w:type="spellEnd"/>
      <w:r w:rsidRPr="00F13CC6">
        <w:t xml:space="preserve">’ and the same for pool b. The matrix </w:t>
      </w:r>
      <w:proofErr w:type="spellStart"/>
      <w:r w:rsidRPr="00F13CC6">
        <w:t>K</w:t>
      </w:r>
      <w:r w:rsidRPr="00F13CC6">
        <w:rPr>
          <w:vertAlign w:val="subscript"/>
        </w:rPr>
        <w:t>a</w:t>
      </w:r>
      <w:proofErr w:type="spellEnd"/>
      <w:r w:rsidRPr="00F13CC6">
        <w:rPr>
          <w:rFonts w:eastAsia="rtxr"/>
        </w:rPr>
        <w:t xml:space="preserve"> </w:t>
      </w:r>
      <w:r w:rsidRPr="00F13CC6">
        <w:rPr>
          <w:rFonts w:eastAsia="rtxr"/>
        </w:rPr>
        <w:sym w:font="Symbol" w:char="F03D"/>
      </w:r>
      <w:r w:rsidRPr="00F13CC6">
        <w:rPr>
          <w:rFonts w:eastAsia="rtxr"/>
        </w:rPr>
        <w:t xml:space="preserve"> </w:t>
      </w:r>
      <w:proofErr w:type="spellStart"/>
      <w:r w:rsidRPr="00F13CC6">
        <w:t>f</w:t>
      </w:r>
      <w:r w:rsidRPr="00F13CC6">
        <w:rPr>
          <w:vertAlign w:val="subscript"/>
        </w:rPr>
        <w:t>b</w:t>
      </w:r>
      <w:r w:rsidRPr="00F13CC6">
        <w:t>K</w:t>
      </w:r>
      <w:r w:rsidRPr="00F13CC6">
        <w:rPr>
          <w:vertAlign w:val="subscript"/>
        </w:rPr>
        <w:t>b</w:t>
      </w:r>
      <w:proofErr w:type="spellEnd"/>
      <w:r w:rsidRPr="00F13CC6">
        <w:t xml:space="preserve"> reads</w:t>
      </w:r>
    </w:p>
    <w:p w:rsidR="00171999" w:rsidRPr="00F13CC6" w:rsidRDefault="00171999" w:rsidP="00171999">
      <w:pPr>
        <w:spacing w:line="240" w:lineRule="auto"/>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0"/>
        <w:gridCol w:w="4430"/>
      </w:tblGrid>
      <w:tr w:rsidR="00171999" w:rsidRPr="00F13CC6" w:rsidTr="00E669B4">
        <w:tc>
          <w:tcPr>
            <w:tcW w:w="5341" w:type="dxa"/>
            <w:tcBorders>
              <w:top w:val="nil"/>
              <w:left w:val="nil"/>
              <w:bottom w:val="nil"/>
              <w:right w:val="nil"/>
            </w:tcBorders>
            <w:shd w:val="clear" w:color="auto" w:fill="auto"/>
          </w:tcPr>
          <w:p w:rsidR="00171999" w:rsidRPr="00F13CC6" w:rsidRDefault="00171999" w:rsidP="00E669B4">
            <w:pPr>
              <w:spacing w:line="240" w:lineRule="auto"/>
              <w:jc w:val="right"/>
            </w:pPr>
            <w:r w:rsidRPr="00F13CC6">
              <w:rPr>
                <w:position w:val="-50"/>
              </w:rPr>
              <w:object w:dxaOrig="2940" w:dyaOrig="1120">
                <v:shape id="_x0000_i1032" type="#_x0000_t75" style="width:147pt;height:56.25pt" o:ole="">
                  <v:imagedata r:id="rId19" o:title=""/>
                </v:shape>
                <o:OLEObject Type="Embed" ProgID="Equation.3" ShapeID="_x0000_i1032" DrawAspect="Content" ObjectID="_1526808519" r:id="rId20"/>
              </w:object>
            </w:r>
          </w:p>
        </w:tc>
        <w:tc>
          <w:tcPr>
            <w:tcW w:w="5341" w:type="dxa"/>
            <w:tcBorders>
              <w:top w:val="nil"/>
              <w:left w:val="nil"/>
              <w:bottom w:val="nil"/>
              <w:right w:val="nil"/>
            </w:tcBorders>
            <w:shd w:val="clear" w:color="auto" w:fill="auto"/>
          </w:tcPr>
          <w:p w:rsidR="00171999" w:rsidRPr="00F13CC6" w:rsidRDefault="00171999" w:rsidP="00E669B4">
            <w:pPr>
              <w:spacing w:line="240" w:lineRule="auto"/>
              <w:jc w:val="right"/>
            </w:pPr>
            <w:bookmarkStart w:id="3" w:name="_Ref360698289"/>
            <w:r w:rsidRPr="00F13CC6">
              <w:t>(</w:t>
            </w:r>
            <w:r w:rsidRPr="00F13CC6">
              <w:fldChar w:fldCharType="begin"/>
            </w:r>
            <w:r w:rsidRPr="00F13CC6">
              <w:instrText xml:space="preserve"> SEQ \* Arabic "(" \* MERGEFORMAT </w:instrText>
            </w:r>
            <w:r w:rsidRPr="00F13CC6">
              <w:fldChar w:fldCharType="separate"/>
            </w:r>
            <w:r w:rsidRPr="00F13CC6">
              <w:rPr>
                <w:noProof/>
              </w:rPr>
              <w:t>6</w:t>
            </w:r>
            <w:r w:rsidRPr="00F13CC6">
              <w:fldChar w:fldCharType="end"/>
            </w:r>
            <w:r w:rsidRPr="00F13CC6">
              <w:t>)</w:t>
            </w:r>
            <w:bookmarkEnd w:id="3"/>
          </w:p>
        </w:tc>
      </w:tr>
    </w:tbl>
    <w:p w:rsidR="00171999" w:rsidRPr="00F13CC6" w:rsidRDefault="00171999" w:rsidP="00171999">
      <w:pPr>
        <w:spacing w:line="240" w:lineRule="auto"/>
        <w:jc w:val="both"/>
      </w:pPr>
    </w:p>
    <w:p w:rsidR="00171999" w:rsidRPr="00F13CC6" w:rsidRDefault="00171999" w:rsidP="00171999">
      <w:pPr>
        <w:spacing w:line="240" w:lineRule="auto"/>
        <w:jc w:val="both"/>
      </w:pPr>
      <w:r w:rsidRPr="00F13CC6">
        <w:t>The proton fraction f</w:t>
      </w:r>
      <w:r w:rsidRPr="00F13CC6">
        <w:rPr>
          <w:vertAlign w:val="subscript"/>
        </w:rPr>
        <w:t>b</w:t>
      </w:r>
      <w:r w:rsidRPr="00F13CC6">
        <w:t xml:space="preserve"> is</w:t>
      </w:r>
    </w:p>
    <w:p w:rsidR="00171999" w:rsidRPr="00F13CC6" w:rsidRDefault="00171999" w:rsidP="00171999">
      <w:pPr>
        <w:spacing w:line="240" w:lineRule="auto"/>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2"/>
        <w:gridCol w:w="4548"/>
      </w:tblGrid>
      <w:tr w:rsidR="00171999" w:rsidRPr="00F13CC6" w:rsidTr="00E669B4">
        <w:tc>
          <w:tcPr>
            <w:tcW w:w="5341" w:type="dxa"/>
            <w:tcBorders>
              <w:top w:val="nil"/>
              <w:left w:val="nil"/>
              <w:bottom w:val="nil"/>
              <w:right w:val="nil"/>
            </w:tcBorders>
            <w:shd w:val="clear" w:color="auto" w:fill="auto"/>
          </w:tcPr>
          <w:p w:rsidR="00171999" w:rsidRPr="00F13CC6" w:rsidRDefault="00171999" w:rsidP="00E669B4">
            <w:pPr>
              <w:spacing w:line="240" w:lineRule="auto"/>
              <w:jc w:val="both"/>
            </w:pPr>
            <w:r w:rsidRPr="00F13CC6">
              <w:rPr>
                <w:position w:val="-30"/>
              </w:rPr>
              <w:object w:dxaOrig="1900" w:dyaOrig="680">
                <v:shape id="_x0000_i1033" type="#_x0000_t75" style="width:95.25pt;height:33.75pt" o:ole="">
                  <v:imagedata r:id="rId21" o:title=""/>
                </v:shape>
                <o:OLEObject Type="Embed" ProgID="Equation.3" ShapeID="_x0000_i1033" DrawAspect="Content" ObjectID="_1526808520" r:id="rId22"/>
              </w:object>
            </w:r>
          </w:p>
        </w:tc>
        <w:tc>
          <w:tcPr>
            <w:tcW w:w="5341" w:type="dxa"/>
            <w:tcBorders>
              <w:top w:val="nil"/>
              <w:left w:val="nil"/>
              <w:bottom w:val="nil"/>
              <w:right w:val="nil"/>
            </w:tcBorders>
            <w:shd w:val="clear" w:color="auto" w:fill="auto"/>
          </w:tcPr>
          <w:p w:rsidR="00171999" w:rsidRPr="00F13CC6" w:rsidRDefault="00171999" w:rsidP="00E669B4">
            <w:pPr>
              <w:spacing w:line="240" w:lineRule="auto"/>
              <w:jc w:val="right"/>
            </w:pPr>
            <w:r w:rsidRPr="00F13CC6">
              <w:t>(</w:t>
            </w:r>
            <w:r w:rsidRPr="00F13CC6">
              <w:fldChar w:fldCharType="begin"/>
            </w:r>
            <w:r w:rsidRPr="00F13CC6">
              <w:instrText xml:space="preserve"> SEQ \* Arabic "(" \* MERGEFORMAT </w:instrText>
            </w:r>
            <w:r w:rsidRPr="00F13CC6">
              <w:fldChar w:fldCharType="separate"/>
            </w:r>
            <w:r w:rsidRPr="00F13CC6">
              <w:rPr>
                <w:noProof/>
              </w:rPr>
              <w:t>7</w:t>
            </w:r>
            <w:r w:rsidRPr="00F13CC6">
              <w:fldChar w:fldCharType="end"/>
            </w:r>
            <w:r w:rsidRPr="00F13CC6">
              <w:t>)</w:t>
            </w:r>
          </w:p>
        </w:tc>
      </w:tr>
    </w:tbl>
    <w:p w:rsidR="00171999" w:rsidRPr="00F13CC6" w:rsidRDefault="00171999" w:rsidP="00171999">
      <w:pPr>
        <w:spacing w:line="240" w:lineRule="auto"/>
        <w:jc w:val="both"/>
      </w:pPr>
    </w:p>
    <w:p w:rsidR="00171999" w:rsidRPr="00F13CC6" w:rsidRDefault="00171999" w:rsidP="00171999">
      <w:pPr>
        <w:spacing w:line="240" w:lineRule="auto"/>
        <w:jc w:val="both"/>
      </w:pPr>
      <w:r w:rsidRPr="00F13CC6">
        <w:lastRenderedPageBreak/>
        <w:t xml:space="preserve">where [a] and [b] are the concentrations of pool </w:t>
      </w:r>
      <w:proofErr w:type="gramStart"/>
      <w:r w:rsidRPr="00F13CC6">
        <w:t>a</w:t>
      </w:r>
      <w:proofErr w:type="gramEnd"/>
      <w:r w:rsidRPr="00F13CC6">
        <w:t xml:space="preserve"> and b, respectively, and </w:t>
      </w:r>
      <w:proofErr w:type="spellStart"/>
      <w:r w:rsidRPr="00F13CC6">
        <w:rPr>
          <w:i/>
        </w:rPr>
        <w:t>n</w:t>
      </w:r>
      <w:r w:rsidRPr="00F13CC6">
        <w:rPr>
          <w:i/>
          <w:vertAlign w:val="subscript"/>
        </w:rPr>
        <w:t>a</w:t>
      </w:r>
      <w:proofErr w:type="spellEnd"/>
      <w:r w:rsidRPr="00F13CC6">
        <w:t xml:space="preserve"> and </w:t>
      </w:r>
      <w:proofErr w:type="spellStart"/>
      <w:r w:rsidRPr="00F13CC6">
        <w:t>n</w:t>
      </w:r>
      <w:r w:rsidRPr="00F13CC6">
        <w:rPr>
          <w:vertAlign w:val="subscript"/>
        </w:rPr>
        <w:t>b</w:t>
      </w:r>
      <w:proofErr w:type="spellEnd"/>
      <w:r w:rsidRPr="00F13CC6">
        <w:t xml:space="preserve"> are the number of protons per molecule for the respective proton pools.</w:t>
      </w:r>
    </w:p>
    <w:p w:rsidR="00171999" w:rsidRPr="00F13CC6" w:rsidRDefault="00171999" w:rsidP="00171999">
      <w:pPr>
        <w:pStyle w:val="berschrift3"/>
        <w:spacing w:line="240" w:lineRule="auto"/>
      </w:pPr>
      <w:r>
        <w:t>Macromolecular semi-solid MT</w:t>
      </w:r>
    </w:p>
    <w:p w:rsidR="00171999" w:rsidRPr="00F13CC6" w:rsidRDefault="00171999" w:rsidP="00171999">
      <w:pPr>
        <w:spacing w:line="240" w:lineRule="auto"/>
        <w:jc w:val="both"/>
      </w:pPr>
      <w:r w:rsidRPr="00F13CC6">
        <w:t>For macromolecular MT one assumes that the transverse components are zero, which is justified since the T</w:t>
      </w:r>
      <w:r w:rsidRPr="00F13CC6">
        <w:rPr>
          <w:vertAlign w:val="subscript"/>
        </w:rPr>
        <w:t>2</w:t>
      </w:r>
      <w:r w:rsidRPr="00F13CC6">
        <w:t xml:space="preserve"> times are in the order of </w:t>
      </w:r>
      <w:proofErr w:type="spellStart"/>
      <w:r w:rsidRPr="00F13CC6">
        <w:t>μs</w:t>
      </w:r>
      <w:proofErr w:type="spellEnd"/>
      <w:r w:rsidRPr="00F13CC6">
        <w:t xml:space="preserve">. Thus four magnetization components remain: those along the axes x, y, z for pool a and along z for the macromolecular pool </w:t>
      </w:r>
      <w:r w:rsidRPr="00F13CC6">
        <w:fldChar w:fldCharType="begin"/>
      </w:r>
      <w:r w:rsidRPr="00F13CC6">
        <w:instrText xml:space="preserve"> ADDIN ZOTERO_TEMP </w:instrText>
      </w:r>
      <w:r w:rsidRPr="00F13CC6">
        <w:fldChar w:fldCharType="separate"/>
      </w:r>
      <w:r w:rsidRPr="00F13CC6">
        <w:t>(</w:t>
      </w:r>
      <w:proofErr w:type="spellStart"/>
      <w:r w:rsidRPr="00F13CC6">
        <w:t>Henkelman</w:t>
      </w:r>
      <w:proofErr w:type="spellEnd"/>
      <w:r w:rsidRPr="00F13CC6">
        <w:t xml:space="preserve"> et al 1993)</w:t>
      </w:r>
      <w:r w:rsidRPr="00F13CC6">
        <w:fldChar w:fldCharType="end"/>
      </w:r>
      <w:r w:rsidRPr="00F13CC6">
        <w:t xml:space="preserve">. The matrix A (eq. </w:t>
      </w:r>
      <w:r w:rsidRPr="00F13CC6">
        <w:fldChar w:fldCharType="begin"/>
      </w:r>
      <w:r w:rsidRPr="00F13CC6">
        <w:instrText xml:space="preserve"> REF _Ref349064218 \h </w:instrText>
      </w:r>
      <w:r w:rsidRPr="00F13CC6">
        <w:instrText xml:space="preserve"> \* MERGEFORMAT </w:instrText>
      </w:r>
      <w:r w:rsidRPr="00F13CC6">
        <w:fldChar w:fldCharType="separate"/>
      </w:r>
      <w:r w:rsidRPr="00F13CC6">
        <w:t>(3)</w:t>
      </w:r>
      <w:r w:rsidRPr="00F13CC6">
        <w:fldChar w:fldCharType="end"/>
      </w:r>
      <w:r w:rsidRPr="00F13CC6">
        <w:t>) and the vector C now read</w:t>
      </w:r>
    </w:p>
    <w:p w:rsidR="00171999" w:rsidRPr="00F13CC6" w:rsidRDefault="00171999" w:rsidP="00171999">
      <w:pPr>
        <w:spacing w:line="240" w:lineRule="auto"/>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86"/>
        <w:gridCol w:w="4174"/>
      </w:tblGrid>
      <w:tr w:rsidR="00171999" w:rsidRPr="00F13CC6" w:rsidTr="00E669B4">
        <w:tc>
          <w:tcPr>
            <w:tcW w:w="5341" w:type="dxa"/>
            <w:tcBorders>
              <w:top w:val="nil"/>
              <w:left w:val="nil"/>
              <w:bottom w:val="nil"/>
              <w:right w:val="nil"/>
            </w:tcBorders>
            <w:shd w:val="clear" w:color="auto" w:fill="auto"/>
          </w:tcPr>
          <w:p w:rsidR="00171999" w:rsidRPr="00F13CC6" w:rsidRDefault="00171999" w:rsidP="00E669B4">
            <w:pPr>
              <w:spacing w:line="240" w:lineRule="auto"/>
              <w:jc w:val="both"/>
            </w:pPr>
            <w:r w:rsidRPr="00F13CC6">
              <w:rPr>
                <w:position w:val="-68"/>
              </w:rPr>
              <w:object w:dxaOrig="4500" w:dyaOrig="1480">
                <v:shape id="_x0000_i1038" type="#_x0000_t75" style="width:225pt;height:74.25pt" o:ole="">
                  <v:imagedata r:id="rId23" o:title=""/>
                </v:shape>
                <o:OLEObject Type="Embed" ProgID="Equation.3" ShapeID="_x0000_i1038" DrawAspect="Content" ObjectID="_1526808521" r:id="rId24"/>
              </w:object>
            </w:r>
          </w:p>
        </w:tc>
        <w:tc>
          <w:tcPr>
            <w:tcW w:w="5341" w:type="dxa"/>
            <w:tcBorders>
              <w:top w:val="nil"/>
              <w:left w:val="nil"/>
              <w:bottom w:val="nil"/>
              <w:right w:val="nil"/>
            </w:tcBorders>
            <w:shd w:val="clear" w:color="auto" w:fill="auto"/>
          </w:tcPr>
          <w:p w:rsidR="00171999" w:rsidRPr="00F13CC6" w:rsidRDefault="00171999" w:rsidP="00E669B4">
            <w:pPr>
              <w:spacing w:line="240" w:lineRule="auto"/>
              <w:jc w:val="right"/>
            </w:pPr>
            <w:bookmarkStart w:id="4" w:name="_Ref349060775"/>
            <w:r w:rsidRPr="00F13CC6">
              <w:t>(</w:t>
            </w:r>
            <w:r w:rsidRPr="00F13CC6">
              <w:fldChar w:fldCharType="begin"/>
            </w:r>
            <w:r w:rsidRPr="00F13CC6">
              <w:instrText xml:space="preserve"> SEQ \* Arabic "(" \* MERGEFORMAT </w:instrText>
            </w:r>
            <w:r w:rsidRPr="00F13CC6">
              <w:fldChar w:fldCharType="separate"/>
            </w:r>
            <w:r w:rsidRPr="00F13CC6">
              <w:rPr>
                <w:noProof/>
              </w:rPr>
              <w:t>11</w:t>
            </w:r>
            <w:r w:rsidRPr="00F13CC6">
              <w:fldChar w:fldCharType="end"/>
            </w:r>
            <w:r w:rsidRPr="00F13CC6">
              <w:t>)</w:t>
            </w:r>
            <w:bookmarkEnd w:id="4"/>
          </w:p>
        </w:tc>
      </w:tr>
      <w:tr w:rsidR="00171999" w:rsidRPr="00F13CC6" w:rsidTr="00E669B4">
        <w:tc>
          <w:tcPr>
            <w:tcW w:w="5341" w:type="dxa"/>
            <w:tcBorders>
              <w:top w:val="nil"/>
              <w:left w:val="nil"/>
              <w:bottom w:val="nil"/>
              <w:right w:val="nil"/>
            </w:tcBorders>
            <w:shd w:val="clear" w:color="auto" w:fill="auto"/>
          </w:tcPr>
          <w:p w:rsidR="00171999" w:rsidRPr="00F13CC6" w:rsidRDefault="00171999" w:rsidP="00E669B4">
            <w:pPr>
              <w:spacing w:line="240" w:lineRule="auto"/>
              <w:jc w:val="both"/>
            </w:pPr>
            <w:r w:rsidRPr="00F13CC6">
              <w:rPr>
                <w:position w:val="-12"/>
              </w:rPr>
              <w:object w:dxaOrig="2540" w:dyaOrig="420">
                <v:shape id="_x0000_i1039" type="#_x0000_t75" style="width:126.75pt;height:21pt" o:ole="">
                  <v:imagedata r:id="rId25" o:title=""/>
                </v:shape>
                <o:OLEObject Type="Embed" ProgID="Equation.3" ShapeID="_x0000_i1039" DrawAspect="Content" ObjectID="_1526808522" r:id="rId26"/>
              </w:object>
            </w:r>
          </w:p>
        </w:tc>
        <w:tc>
          <w:tcPr>
            <w:tcW w:w="5341" w:type="dxa"/>
            <w:tcBorders>
              <w:top w:val="nil"/>
              <w:left w:val="nil"/>
              <w:bottom w:val="nil"/>
              <w:right w:val="nil"/>
            </w:tcBorders>
            <w:shd w:val="clear" w:color="auto" w:fill="auto"/>
          </w:tcPr>
          <w:p w:rsidR="00171999" w:rsidRPr="00F13CC6" w:rsidRDefault="00171999" w:rsidP="00E669B4">
            <w:pPr>
              <w:spacing w:line="240" w:lineRule="auto"/>
              <w:jc w:val="right"/>
            </w:pPr>
            <w:r w:rsidRPr="00F13CC6">
              <w:t>(</w:t>
            </w:r>
            <w:r w:rsidRPr="00F13CC6">
              <w:fldChar w:fldCharType="begin"/>
            </w:r>
            <w:r w:rsidRPr="00F13CC6">
              <w:instrText xml:space="preserve"> SEQ \* Arabic "(" \* MERGEFORMAT </w:instrText>
            </w:r>
            <w:r w:rsidRPr="00F13CC6">
              <w:fldChar w:fldCharType="separate"/>
            </w:r>
            <w:r w:rsidRPr="00F13CC6">
              <w:rPr>
                <w:noProof/>
              </w:rPr>
              <w:t>12</w:t>
            </w:r>
            <w:r w:rsidRPr="00F13CC6">
              <w:fldChar w:fldCharType="end"/>
            </w:r>
            <w:r w:rsidRPr="00F13CC6">
              <w:t>)</w:t>
            </w:r>
          </w:p>
        </w:tc>
      </w:tr>
    </w:tbl>
    <w:p w:rsidR="00171999" w:rsidRPr="00F13CC6" w:rsidRDefault="00171999" w:rsidP="00171999">
      <w:pPr>
        <w:spacing w:line="240" w:lineRule="auto"/>
        <w:jc w:val="both"/>
      </w:pPr>
    </w:p>
    <w:p w:rsidR="00171999" w:rsidRPr="00F13CC6" w:rsidRDefault="00171999" w:rsidP="00171999">
      <w:pPr>
        <w:spacing w:line="240" w:lineRule="auto"/>
        <w:jc w:val="both"/>
      </w:pPr>
      <w:r w:rsidRPr="00F13CC6">
        <w:t xml:space="preserve">The matrix contains a new term </w:t>
      </w:r>
      <w:proofErr w:type="spellStart"/>
      <w:r w:rsidRPr="00F13CC6">
        <w:t>R</w:t>
      </w:r>
      <w:r w:rsidRPr="00F13CC6">
        <w:rPr>
          <w:vertAlign w:val="subscript"/>
        </w:rPr>
        <w:t>rfb</w:t>
      </w:r>
      <w:proofErr w:type="spellEnd"/>
      <w:r w:rsidRPr="00F13CC6">
        <w:t xml:space="preserve"> which considers the </w:t>
      </w:r>
      <w:proofErr w:type="spellStart"/>
      <w:r w:rsidRPr="00F13CC6">
        <w:t>lineshape</w:t>
      </w:r>
      <w:proofErr w:type="spellEnd"/>
      <w:r w:rsidRPr="00F13CC6">
        <w:t xml:space="preserve"> of the macromolecular pool</w:t>
      </w:r>
    </w:p>
    <w:p w:rsidR="00171999" w:rsidRPr="00F13CC6" w:rsidRDefault="00171999" w:rsidP="00171999">
      <w:pPr>
        <w:spacing w:line="240" w:lineRule="auto"/>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43"/>
        <w:gridCol w:w="4517"/>
      </w:tblGrid>
      <w:tr w:rsidR="00171999" w:rsidRPr="00F13CC6" w:rsidTr="00E669B4">
        <w:tc>
          <w:tcPr>
            <w:tcW w:w="5341" w:type="dxa"/>
            <w:tcBorders>
              <w:top w:val="nil"/>
              <w:left w:val="nil"/>
              <w:bottom w:val="nil"/>
              <w:right w:val="nil"/>
            </w:tcBorders>
            <w:shd w:val="clear" w:color="auto" w:fill="auto"/>
          </w:tcPr>
          <w:p w:rsidR="00171999" w:rsidRPr="00F13CC6" w:rsidRDefault="00171999" w:rsidP="00E669B4">
            <w:pPr>
              <w:spacing w:line="240" w:lineRule="auto"/>
              <w:jc w:val="both"/>
            </w:pPr>
            <w:r w:rsidRPr="00F13CC6">
              <w:rPr>
                <w:position w:val="-14"/>
              </w:rPr>
              <w:object w:dxaOrig="2280" w:dyaOrig="400">
                <v:shape id="_x0000_i1040" type="#_x0000_t75" style="width:114pt;height:20.25pt" o:ole="">
                  <v:imagedata r:id="rId27" o:title=""/>
                </v:shape>
                <o:OLEObject Type="Embed" ProgID="Equation.3" ShapeID="_x0000_i1040" DrawAspect="Content" ObjectID="_1526808523" r:id="rId28"/>
              </w:object>
            </w:r>
            <w:r w:rsidRPr="00F13CC6">
              <w:t>.</w:t>
            </w:r>
          </w:p>
        </w:tc>
        <w:tc>
          <w:tcPr>
            <w:tcW w:w="5341" w:type="dxa"/>
            <w:tcBorders>
              <w:top w:val="nil"/>
              <w:left w:val="nil"/>
              <w:bottom w:val="nil"/>
              <w:right w:val="nil"/>
            </w:tcBorders>
            <w:shd w:val="clear" w:color="auto" w:fill="auto"/>
          </w:tcPr>
          <w:p w:rsidR="00171999" w:rsidRPr="00F13CC6" w:rsidRDefault="00171999" w:rsidP="00E669B4">
            <w:pPr>
              <w:spacing w:line="240" w:lineRule="auto"/>
              <w:jc w:val="right"/>
            </w:pPr>
            <w:bookmarkStart w:id="5" w:name="_Ref349045077"/>
            <w:r w:rsidRPr="00F13CC6">
              <w:t>(</w:t>
            </w:r>
            <w:r w:rsidRPr="00F13CC6">
              <w:fldChar w:fldCharType="begin"/>
            </w:r>
            <w:r w:rsidRPr="00F13CC6">
              <w:instrText xml:space="preserve"> SEQ \* Arabic "(" \* MERGEFORMAT </w:instrText>
            </w:r>
            <w:r w:rsidRPr="00F13CC6">
              <w:fldChar w:fldCharType="separate"/>
            </w:r>
            <w:r w:rsidRPr="00F13CC6">
              <w:rPr>
                <w:noProof/>
              </w:rPr>
              <w:t>13</w:t>
            </w:r>
            <w:r w:rsidRPr="00F13CC6">
              <w:fldChar w:fldCharType="end"/>
            </w:r>
            <w:r w:rsidRPr="00F13CC6">
              <w:t>)</w:t>
            </w:r>
            <w:bookmarkEnd w:id="5"/>
          </w:p>
        </w:tc>
      </w:tr>
    </w:tbl>
    <w:p w:rsidR="00171999" w:rsidRPr="00F13CC6" w:rsidRDefault="00171999" w:rsidP="00171999">
      <w:pPr>
        <w:spacing w:line="240" w:lineRule="auto"/>
        <w:jc w:val="both"/>
      </w:pPr>
    </w:p>
    <w:p w:rsidR="00171999" w:rsidRPr="00F13CC6" w:rsidRDefault="00171999" w:rsidP="00171999">
      <w:pPr>
        <w:spacing w:line="240" w:lineRule="auto"/>
        <w:jc w:val="both"/>
        <w:rPr>
          <w:lang w:val="en-GB"/>
        </w:rPr>
      </w:pPr>
      <w:r w:rsidRPr="00F13CC6">
        <w:t>Different line shape functions g(</w:t>
      </w:r>
      <w:r w:rsidRPr="00F13CC6">
        <w:rPr>
          <w:rFonts w:ascii="Symbol" w:hAnsi="Symbol"/>
        </w:rPr>
        <w:t></w:t>
      </w:r>
      <w:r w:rsidRPr="00F13CC6">
        <w:rPr>
          <w:rFonts w:ascii="Symbol" w:hAnsi="Symbol"/>
        </w:rPr>
        <w:t></w:t>
      </w:r>
      <w:r w:rsidRPr="00F13CC6">
        <w:t xml:space="preserve">) were employed </w:t>
      </w:r>
      <w:r w:rsidRPr="00F13CC6">
        <w:fldChar w:fldCharType="begin"/>
      </w:r>
      <w:r w:rsidRPr="00F13CC6">
        <w:instrText xml:space="preserve"> ADDIN ZOTERO_ITEM CSL_CITATION {"citationID":"zg0NvqnH","properties":{"formattedCitation":"(Henkelman et al., 2001, 1993)","plainCitation":"(Henkelman et al., 2001, 1993)"},"citationItems":[{"id":5,"uris":["http://zotero.org/users/local/C6DL19O5/items/9TZIZR9H"],"uri":["http://zotero.org/users/local/C6DL19O5/items/9TZIZR9H"],"itemData":{"id":5,"type":"article-journal","title":"Quantitative interpretation of magnetization transfer","container-title":"Magnetic Resonance in Medicine: Official Journal of the Society of Magnetic Resonance in Medicine / Society of Magnetic Resonance in Medicine","page":"759-766","volume":"29","issue":"6","source":"NCBI PubMed","abstract":"Magnetization transfer contrast (MTC) experiments using off-resonance irradiation have been performed with an agar gel model by systematically varying offset frequency, amplitude of the RF irradiation and gel concentration. The experimental results are shown to be quantitatively modelled by a two-pool system consisting of a liquid pool with a Lorentzian line shape and a small semisolid pool with a Gaussian lineshape. The fitted model yields physically realistic fundamental parameters with a T2 of the semisolid pool of 13 microseconds. Further analysis shows that the off-resonance irradiation MTC experiment had significant limitations in its ability to saturate the semisolid pool without directly affecting the liquid component.","ISSN":"0740-3194","note":"PMID: 8350718","journalAbbreviation":"Magn Reson Med","author":[{"family":"Henkelman","given":"R M"},{"family":"Huang","given":"X"},{"family":"Xiang","given":"Q S"},{"family":"Stanisz","given":"G J"},{"family":"Swanson","given":"S D"},{"family":"Bronskill","given":"M J"}],"issued":{"date-parts":[["1993",6]]},"accessed":{"date-parts":[["2010",3,27]]},"PMID":"8350718"}},{"id":398,"uris":["http://zotero.org/users/local/C6DL19O5/items/NHABQ6SG"],"uri":["http://zotero.org/users/local/C6DL19O5/items/NHABQ6SG"],"itemData":{"id":398,"type":"article-journal","title":"Magnetization transfer in MRI: a review","container-title":"NMR in Biomedicine","page":"57-64","volume":"14","issue":"2","source":"onlinelibrary.wiley.com","abstract":"This review describes magnetization transfer (MT) contrast in magnetic resonance imaging. A qualitative description of how MT works is provided along with experimental evidence that leads to a quantitative model for MT in tissues. The implementation of MT saturation in imaging sequences and the interpretation of the MT-induced signal change in terms of exchange processes and direct effects are presented. Finally, highlights of clinical uses of MT are outlined and future directions for investigation proposed. Copyright © 2001 John Wiley &amp; Sons, Ltd.\nAbbreviations used:Beffeffective magnetic fieldCRMGCarr–Purcell–Meiboom–GillCWcontinuous waveFAIRflow sensitive alternating inversion recoveryGd-DTPAgadolinium diethylenetriminepentaacetic acidMRAmagnetic resonance angiographyMRImagnetic resonance imagingMSmultiple sclerosisMTmagnetization transferMTRmagnetization transfer ratioRFradio frequencySARspecific absorption rate.","DOI":"10.1002/nbm.683","ISSN":"1099-1492","shortTitle":"Magnetization transfer in MRI","language":"en","author":[{"family":"Henkelman","given":"R. M"},{"family":"Stanisz","given":"G. J"},{"family":"Graham","given":"S. J"}],"issued":{"date-parts":[["2001",4,1]]},"accessed":{"date-parts":[["2012",5,21]]}}}],"schema":"https://github.com/citation-style-language/schema/raw/master/csl-citation.json"} </w:instrText>
      </w:r>
      <w:r w:rsidRPr="00F13CC6">
        <w:fldChar w:fldCharType="separate"/>
      </w:r>
      <w:r w:rsidRPr="00F13CC6">
        <w:t>(</w:t>
      </w:r>
      <w:proofErr w:type="spellStart"/>
      <w:r w:rsidRPr="00F13CC6">
        <w:t>Henkelman</w:t>
      </w:r>
      <w:proofErr w:type="spellEnd"/>
      <w:r w:rsidRPr="00F13CC6">
        <w:t xml:space="preserve"> et al., 2001, 1993)</w:t>
      </w:r>
      <w:r w:rsidRPr="00F13CC6">
        <w:fldChar w:fldCharType="end"/>
      </w:r>
      <w:r w:rsidRPr="00F13CC6">
        <w:t>: Lorentzian functions for liquid pools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68"/>
        <w:gridCol w:w="4492"/>
      </w:tblGrid>
      <w:tr w:rsidR="00171999" w:rsidRPr="00F13CC6" w:rsidTr="00E669B4">
        <w:tc>
          <w:tcPr>
            <w:tcW w:w="5341" w:type="dxa"/>
            <w:tcBorders>
              <w:top w:val="nil"/>
              <w:left w:val="nil"/>
              <w:bottom w:val="nil"/>
              <w:right w:val="nil"/>
            </w:tcBorders>
            <w:shd w:val="clear" w:color="auto" w:fill="auto"/>
          </w:tcPr>
          <w:p w:rsidR="00171999" w:rsidRPr="00F13CC6" w:rsidRDefault="00171999" w:rsidP="00E669B4">
            <w:pPr>
              <w:spacing w:line="240" w:lineRule="auto"/>
              <w:jc w:val="both"/>
            </w:pPr>
            <w:r w:rsidRPr="00F13CC6">
              <w:rPr>
                <w:position w:val="-10"/>
              </w:rPr>
              <w:object w:dxaOrig="180" w:dyaOrig="340">
                <v:shape id="_x0000_i1041" type="#_x0000_t75" style="width:9pt;height:17.25pt" o:ole="">
                  <v:imagedata r:id="rId29" o:title=""/>
                </v:shape>
                <o:OLEObject Type="Embed" ProgID="Equation.3" ShapeID="_x0000_i1041" DrawAspect="Content" ObjectID="_1526808524" r:id="rId30"/>
              </w:object>
            </w:r>
            <w:r w:rsidRPr="00F13CC6">
              <w:rPr>
                <w:position w:val="-30"/>
              </w:rPr>
              <w:object w:dxaOrig="2500" w:dyaOrig="680">
                <v:shape id="_x0000_i1042" type="#_x0000_t75" style="width:125.25pt;height:33.75pt" o:ole="">
                  <v:imagedata r:id="rId31" o:title=""/>
                </v:shape>
                <o:OLEObject Type="Embed" ProgID="Equation.3" ShapeID="_x0000_i1042" DrawAspect="Content" ObjectID="_1526808525" r:id="rId32"/>
              </w:object>
            </w:r>
          </w:p>
        </w:tc>
        <w:tc>
          <w:tcPr>
            <w:tcW w:w="5341" w:type="dxa"/>
            <w:tcBorders>
              <w:top w:val="nil"/>
              <w:left w:val="nil"/>
              <w:bottom w:val="nil"/>
              <w:right w:val="nil"/>
            </w:tcBorders>
            <w:shd w:val="clear" w:color="auto" w:fill="auto"/>
          </w:tcPr>
          <w:p w:rsidR="00171999" w:rsidRPr="00F13CC6" w:rsidRDefault="00171999" w:rsidP="00E669B4">
            <w:pPr>
              <w:spacing w:line="240" w:lineRule="auto"/>
              <w:jc w:val="right"/>
            </w:pPr>
            <w:r w:rsidRPr="00F13CC6">
              <w:t>(</w:t>
            </w:r>
            <w:r w:rsidRPr="00F13CC6">
              <w:fldChar w:fldCharType="begin"/>
            </w:r>
            <w:r w:rsidRPr="00F13CC6">
              <w:instrText xml:space="preserve"> SEQ \* Arabic "(" \* MERGEFORMAT </w:instrText>
            </w:r>
            <w:r w:rsidRPr="00F13CC6">
              <w:fldChar w:fldCharType="separate"/>
            </w:r>
            <w:r w:rsidRPr="00F13CC6">
              <w:rPr>
                <w:noProof/>
              </w:rPr>
              <w:t>14</w:t>
            </w:r>
            <w:r w:rsidRPr="00F13CC6">
              <w:fldChar w:fldCharType="end"/>
            </w:r>
            <w:r w:rsidRPr="00F13CC6">
              <w:t>)</w:t>
            </w:r>
          </w:p>
        </w:tc>
      </w:tr>
    </w:tbl>
    <w:p w:rsidR="00171999" w:rsidRPr="00F13CC6" w:rsidRDefault="00171999" w:rsidP="00171999">
      <w:pPr>
        <w:spacing w:line="240" w:lineRule="auto"/>
        <w:jc w:val="both"/>
      </w:pPr>
      <w:r w:rsidRPr="00F13CC6">
        <w:t>or Gaussian for solid</w:t>
      </w:r>
      <w:r w:rsidRPr="00F13CC6">
        <w:rPr>
          <w:lang w:val="en-GB"/>
        </w:rPr>
        <w:t>–</w:t>
      </w:r>
      <w:r w:rsidRPr="00F13CC6">
        <w:t>like pools. For semi</w:t>
      </w:r>
      <w:r w:rsidRPr="00F13CC6">
        <w:rPr>
          <w:lang w:val="en-GB"/>
        </w:rPr>
        <w:t>–</w:t>
      </w:r>
      <w:r w:rsidRPr="00F13CC6">
        <w:t>solid structures in living tissue a super</w:t>
      </w:r>
      <w:r w:rsidRPr="00F13CC6">
        <w:rPr>
          <w:lang w:val="en-GB"/>
        </w:rPr>
        <w:t>–</w:t>
      </w:r>
      <w:r w:rsidRPr="00F13CC6">
        <w:t xml:space="preserve">Lorentzian </w:t>
      </w:r>
      <w:proofErr w:type="spellStart"/>
      <w:r w:rsidRPr="00F13CC6">
        <w:t>lineshape</w:t>
      </w:r>
      <w:proofErr w:type="spellEnd"/>
      <w:r w:rsidRPr="00F13CC6">
        <w:t xml:space="preserve"> defined by</w:t>
      </w:r>
    </w:p>
    <w:p w:rsidR="00171999" w:rsidRPr="00F13CC6" w:rsidRDefault="00171999" w:rsidP="00171999">
      <w:pPr>
        <w:spacing w:line="240" w:lineRule="auto"/>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8"/>
        <w:gridCol w:w="4112"/>
      </w:tblGrid>
      <w:tr w:rsidR="00171999" w:rsidRPr="00F13CC6" w:rsidTr="00E669B4">
        <w:tc>
          <w:tcPr>
            <w:tcW w:w="5341" w:type="dxa"/>
            <w:tcBorders>
              <w:top w:val="nil"/>
              <w:left w:val="nil"/>
              <w:bottom w:val="nil"/>
              <w:right w:val="nil"/>
            </w:tcBorders>
            <w:shd w:val="clear" w:color="auto" w:fill="auto"/>
          </w:tcPr>
          <w:p w:rsidR="00171999" w:rsidRPr="00F13CC6" w:rsidRDefault="00171999" w:rsidP="00E669B4">
            <w:pPr>
              <w:spacing w:line="240" w:lineRule="auto"/>
              <w:jc w:val="both"/>
            </w:pPr>
            <w:r w:rsidRPr="00F13CC6">
              <w:rPr>
                <w:position w:val="-10"/>
              </w:rPr>
              <w:object w:dxaOrig="180" w:dyaOrig="340">
                <v:shape id="_x0000_i1043" type="#_x0000_t75" style="width:9pt;height:17.25pt" o:ole="">
                  <v:imagedata r:id="rId29" o:title=""/>
                </v:shape>
                <o:OLEObject Type="Embed" ProgID="Equation.3" ShapeID="_x0000_i1043" DrawAspect="Content" ObjectID="_1526808526" r:id="rId33"/>
              </w:object>
            </w:r>
            <w:r w:rsidRPr="00F13CC6">
              <w:rPr>
                <w:noProof/>
              </w:rPr>
              <w:drawing>
                <wp:inline distT="0" distB="0" distL="0" distR="0">
                  <wp:extent cx="3028950" cy="9620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028950" cy="962025"/>
                          </a:xfrm>
                          <a:prstGeom prst="rect">
                            <a:avLst/>
                          </a:prstGeom>
                          <a:noFill/>
                          <a:ln>
                            <a:noFill/>
                          </a:ln>
                        </pic:spPr>
                      </pic:pic>
                    </a:graphicData>
                  </a:graphic>
                </wp:inline>
              </w:drawing>
            </w:r>
          </w:p>
        </w:tc>
        <w:tc>
          <w:tcPr>
            <w:tcW w:w="5341" w:type="dxa"/>
            <w:tcBorders>
              <w:top w:val="nil"/>
              <w:left w:val="nil"/>
              <w:bottom w:val="nil"/>
              <w:right w:val="nil"/>
            </w:tcBorders>
            <w:shd w:val="clear" w:color="auto" w:fill="auto"/>
          </w:tcPr>
          <w:p w:rsidR="00171999" w:rsidRPr="00F13CC6" w:rsidRDefault="00171999" w:rsidP="00E669B4">
            <w:pPr>
              <w:spacing w:line="240" w:lineRule="auto"/>
              <w:jc w:val="right"/>
            </w:pPr>
            <w:r w:rsidRPr="00F13CC6">
              <w:t>(</w:t>
            </w:r>
            <w:r w:rsidRPr="00F13CC6">
              <w:fldChar w:fldCharType="begin"/>
            </w:r>
            <w:r w:rsidRPr="00F13CC6">
              <w:instrText xml:space="preserve"> SEQ \* Arabic "(" \* MERGEFORMAT </w:instrText>
            </w:r>
            <w:r w:rsidRPr="00F13CC6">
              <w:fldChar w:fldCharType="separate"/>
            </w:r>
            <w:r w:rsidRPr="00F13CC6">
              <w:rPr>
                <w:noProof/>
              </w:rPr>
              <w:t>15</w:t>
            </w:r>
            <w:r w:rsidRPr="00F13CC6">
              <w:fldChar w:fldCharType="end"/>
            </w:r>
            <w:r w:rsidRPr="00F13CC6">
              <w:t>)</w:t>
            </w:r>
          </w:p>
        </w:tc>
      </w:tr>
    </w:tbl>
    <w:p w:rsidR="00171999" w:rsidRPr="00F13CC6" w:rsidRDefault="00171999" w:rsidP="00171999">
      <w:pPr>
        <w:spacing w:line="240" w:lineRule="auto"/>
        <w:jc w:val="both"/>
      </w:pPr>
      <w:r w:rsidRPr="00F13CC6">
        <w:t xml:space="preserve">was shown to fit the experimental data at best including an additional dipolar reservoir </w:t>
      </w:r>
      <w:r w:rsidRPr="00F13CC6">
        <w:fldChar w:fldCharType="begin"/>
      </w:r>
      <w:r w:rsidRPr="00F13CC6">
        <w:instrText xml:space="preserve"> ADDIN ZOTERO_ITEM CSL_CITATION {"citationID":"XCCouMsx","properties":{"formattedCitation":"(Morrison and Mark Henkelman, 1995; Morrison et al., 1995)","plainCitation":"(Morrison and Mark Henkelman, 1995; Morrison et al., 1995)"},"citationItems":[{"id":544,"uris":["http://zotero.org/users/local/r26pODE2/items/28WN2XXM"],"uri":["http://zotero.org/users/local/r26pODE2/items/28WN2XXM"],"itemData":{"id":544,"type":"article-journal","title":"A Model for Magnetization Transfer in Tissues","container-title":"Magnetic Resonance in Medicine","page":"475–482","volume":"33","issue":"4","source":"Wiley Online Library","abstract":"Magnetization transfer in several tissues is measured and successfully modeled using a two-pool model of exchange. The line shape for the semi-solid pool is characterized by a superLorentzian and the liquid pool by a Lorentzian. The tissues investigated were white and gray matter, optic nerve, muscle, and liver. All tissues the authors studied are characterized by the same model but differ in the parameter values of the model. Blood and cerebral spinal fluid (CSF) were also investigated. The two-pool model with a Lorentzian line shape for both the semi-solid and liquid pools modeled the magnetization transfer in blood. In CSF, as expected, there is no measurable exchange of magnetization. The T2B associated with the semi-solid pool was short (˜10 μ) for all tissues indicating a fairly rigid semi-solid pool. In addition characterization of the line shape as superLorentzian indicates molecules such as integral membrane proteins or lipids in membranes are likely molecules participating in the exchange. Conversely, in blood large globular proteins are indicated due to the Lorentzian nature of the semi-solid pool and a T2B ≈ 300 μs.","DOI":"10.1002/mrm.1910330404","ISSN":"1522-2594","language":"en","author":[{"family":"Morrison","given":"Clare"},{"family":"Mark Henkelman","given":"R."}],"issued":{"date-parts":[[1995]]},"accessed":{"date-parts":[[2013,2,5]]}}},{"id":142,"uris":["http://zotero.org/users/local/r26pODE2/items/6CW2KPG6"],"uri":["http://zotero.org/users/local/r26pODE2/items/6CW2KPG6"],"itemData":{"id":142,"type":"article-journal","title":"Modeling Magnetization Transfer for Biological-like Systems Using a Semi-solid Pool with a Super-Lorentzian Lineshape and Dipolar Reservoir","page":"103-113","source":"ScienceDirect","abstract":"Magnetization transfer is modeled as an exchange between a liquid pool and a semi-solid pool where the semi-solid pool has, in addition to the Zeeman reservoir, a dipolar reservoir. The lineshape for the liquid pool is characterized by the usual Lorentzian, whereas the semi-solid pool is characterized as a super-Lorentzian, Three systems were investigated: (1) a membrane mixture of a phosphatidylcholine lipid (POPC) and cholesterol; (2) lyophilized white matter at eight solid concentrations ranging from 1 to 24%; and (3) fresh white matter. In all systems, this model fitted the experimental data well with the effect of the dipolar reservoir being most important for the membrane mixture. For the tissue, the dipolar reservoir is not required and the two-pool model with a single Zeeman reservoir for the semi-solid spins characterizes the experimental data equally well.","author":[{"family":"Morrison","given":"C."},{"family":"Stanisz","given":"G."},{"family":"Henkelman","given":"R.M."}],"issued":{"date-parts":[["1995",8]]},"accessed":{"date-parts":[[2012,3,27]]}}}],"schema":"https://github.com/citation-style-language/schema/raw/master/csl-citation.json"} </w:instrText>
      </w:r>
      <w:r w:rsidRPr="00F13CC6">
        <w:fldChar w:fldCharType="separate"/>
      </w:r>
      <w:r w:rsidRPr="00F13CC6">
        <w:t xml:space="preserve">(Morrison and Mark </w:t>
      </w:r>
      <w:proofErr w:type="spellStart"/>
      <w:r w:rsidRPr="00F13CC6">
        <w:t>Henkelman</w:t>
      </w:r>
      <w:proofErr w:type="spellEnd"/>
      <w:r w:rsidRPr="00F13CC6">
        <w:t>, 1995; Morrison et al., 1995)</w:t>
      </w:r>
      <w:r w:rsidRPr="00F13CC6">
        <w:fldChar w:fldCharType="end"/>
      </w:r>
      <w:r w:rsidRPr="00F13CC6">
        <w:t>.</w:t>
      </w:r>
    </w:p>
    <w:p w:rsidR="00171999" w:rsidRPr="00F13CC6" w:rsidRDefault="00171999" w:rsidP="00171999">
      <w:pPr>
        <w:spacing w:line="240" w:lineRule="auto"/>
        <w:jc w:val="both"/>
      </w:pPr>
      <w:r w:rsidRPr="00F13CC6">
        <w:lastRenderedPageBreak/>
        <w:t>If modeling focuses on CEST and the range close to the water peak, also a Lorentzian line can be fitted instead of a super</w:t>
      </w:r>
      <w:r w:rsidRPr="00F13CC6">
        <w:rPr>
          <w:lang w:val="en-GB"/>
        </w:rPr>
        <w:t>–</w:t>
      </w:r>
      <w:r w:rsidRPr="00F13CC6">
        <w:t xml:space="preserve">Lorentzian. This means that MT can be treated like a broad CEST effect </w:t>
      </w:r>
      <w:r w:rsidRPr="00F13CC6">
        <w:fldChar w:fldCharType="begin"/>
      </w:r>
      <w:r w:rsidRPr="00F13CC6">
        <w:instrText xml:space="preserve"> ADDIN ZOTERO_ITEM CSL_CITATION {"citationID":"VPXeWn6N","properties":{"formattedCitation":"(Liu et al., 2012; Zaiss et al., 2011)","plainCitation":"(Liu et al., 2012; Zaiss et al., 2011)"},"citationItems":[{"id":540,"uris":["http://zotero.org/users/local/r26pODE2/items/EIDQ24W5"],"uri":["http://zotero.org/users/local/r26pODE2/items/EIDQ24W5"],"itemData":{"id":540,"type":"article-journal","title":"Quantitative characterization of nuclear Overhauser enhancement and amide proton transfer effects in the human brain at 7 tesla","container-title":"Magnetic resonance in medicine: official journal of the Society of Magnetic Resonance in Medicine / Society of Magnetic Resonance in Medicine","source":"NCBI PubMed","abstract":"PURPOSE: This study aimed to quantitatively investigate two main magnetization transfer effects at low B(1) : the nuclear Overhauser enhancement (NOE) and amide proton transfer in the human brain at 7 T. METHODS: The magnetization transfer effects in the human brain were characterized using a four-pool proton model, which consisted of bulk water, macromolecules, an amide group of mobile proteins and peptides, and NOE-related protons resonating upfield. The pool sizes, exchange rates, and relaxation times of these proton pools were investigated quantitatively by fitting, and the net signals of amide proton transfer and NOE were simulated based on the fitted parameters. RESULTS: The results showed that the four-pool model fitted the experimental data quite well, and the NOE effects in human brain at 7 T had a broad spectrum distribution. The NOE effects peaked at a B(1) of </w:instrText>
      </w:r>
      <w:r w:rsidRPr="00F13CC6">
        <w:rPr>
          <w:rFonts w:ascii="Cambria Math" w:hAnsi="Cambria Math" w:cs="Cambria Math"/>
        </w:rPr>
        <w:instrText>∼</w:instrText>
      </w:r>
      <w:r w:rsidRPr="00F13CC6">
        <w:rPr>
          <w:rFonts w:cs="Cambria"/>
        </w:rPr>
        <w:instrText xml:space="preserve"> 1-1.4 μT and were significantly stronger in the white m</w:instrText>
      </w:r>
      <w:r w:rsidRPr="00F13CC6">
        <w:instrText xml:space="preserve">atter than in the gray matter, corresponding to a pool-size ratio </w:instrText>
      </w:r>
      <w:r w:rsidRPr="00F13CC6">
        <w:rPr>
          <w:rFonts w:ascii="Cambria Math" w:hAnsi="Cambria Math" w:cs="Cambria Math"/>
        </w:rPr>
        <w:instrText>∼</w:instrText>
      </w:r>
      <w:r w:rsidRPr="00F13CC6">
        <w:rPr>
          <w:rFonts w:cs="Cambria"/>
        </w:rPr>
        <w:instrText xml:space="preserve"> 2:1. As the amide proton transfer effect was relatively small compared with the NOE effects, magnetization transfer asymmetry analysis yielded an NOE-dominated contrast in the healthy huma</w:instrText>
      </w:r>
      <w:r w:rsidRPr="00F13CC6">
        <w:instrText xml:space="preserve">n brain in this range of B(1) . CONCLUSION: These findings are important to identify the source of NOE effects and to quantify amide proton transfer effects in human brain at 7 T. Magn Reson Med, 2012. © 2012 Wiley Periodicals, Inc.","DOI":"10.1002/mrm.24560","ISSN":"1522-2594","note":"PMID: 23238951","journalAbbreviation":"Magn Reson Med","author":[{"family":"Liu","given":"Dapeng"},{"family":"Zhou","given":"Jinyuan"},{"family":"Xue","given":"Rong"},{"family":"Zuo","given":"Zhentao"},{"family":"An","given":"Jing"},{"family":"Wang","given":"Danny J J"}],"issued":{"date-parts":[["2012",12,13]]}}},{"id":229,"uris":["http://zotero.org/users/local/C6DL19O5/items/Z3ABK9U7"],"uri":["http://zotero.org/users/local/C6DL19O5/items/Z3ABK9U7"],"itemData":{"id":229,"type":"article-journal","title":"Quantitative separation of CEST effect from magnetization transfer and spillover effects by Lorentzian-line-fit analysis of z-spectra","container-title":"Journal of Magnetic Resonance","page":"149-155","volume":"211","issue":"2","source":"ScienceDirect","abstract":"Chemical exchange saturation transfer (CEST) processes in aqueous systems are quantified by evaluation of z-spectra, which are obtained by acquisition of the water proton signal after selective RF presaturation at different frequencies. When saturation experiments are performed in vivo, three effects are contributing: CEST, direct water saturation (spillover), and magnetization transfer (MT) mediated by protons bound to macromolecules and bulk water molecules. To analyze the combined saturation a new analytical model is introduced which is based on the weak-saturation-pulse (WSP) approximation. The model combines three single WSP approaches to a general model function. Simulations demonstrated the benefits and constraints of the model, in particular the capability of the model to reproduce the ideal proton transfer rate (PTR) and the conventional MT rate for moderate spillover effects (up to 50% direct saturation at CEST-resonant irradiation). The method offers access to PTR from z-spectra data without further knowledge of the system, but requires precise measurements with dense saturation frequency sampling of z-spectra. PTR is related to physical parameters such as concentration, transfer rates and thereby pH or temperature of tissue, using either exogenous contrast agents (PARACEST, DIACEST) or endogenous agents such as amide protons and –OH protons of small metabolites.","DOI":"10.1016/j.jmr.2011.05.001","ISSN":"1090-7807","author":[{"family":"Zaiss","given":"Moritz"},{"family":"Schmitt","given":"Benjamin"},{"family":"Bachert","given":"Peter"}],"issued":{"date-parts":[["2011",8]]},"accessed":{"date-parts":[["2011",12,13]]}}}],"schema":"https://github.com/citation-style-language/schema/raw/master/csl-citation.json"} </w:instrText>
      </w:r>
      <w:r w:rsidRPr="00F13CC6">
        <w:fldChar w:fldCharType="separate"/>
      </w:r>
      <w:r w:rsidRPr="00F13CC6">
        <w:t>(Liu et al., 2012; Zaiss et al., 2011)</w:t>
      </w:r>
      <w:r w:rsidRPr="00F13CC6">
        <w:fldChar w:fldCharType="end"/>
      </w:r>
      <w:r w:rsidRPr="00F13CC6">
        <w:t>.</w:t>
      </w:r>
    </w:p>
    <w:p w:rsidR="00171999" w:rsidRPr="00F13CC6" w:rsidRDefault="00171999" w:rsidP="00171999">
      <w:pPr>
        <w:spacing w:line="240" w:lineRule="auto"/>
        <w:jc w:val="both"/>
      </w:pPr>
      <w:r w:rsidRPr="00F13CC6">
        <w:t xml:space="preserve">For a detailed description of MT we recommend the review of </w:t>
      </w:r>
      <w:proofErr w:type="spellStart"/>
      <w:r w:rsidRPr="00F13CC6">
        <w:t>Henkelman</w:t>
      </w:r>
      <w:proofErr w:type="spellEnd"/>
      <w:r w:rsidRPr="00F13CC6">
        <w:t xml:space="preserve"> </w:t>
      </w:r>
      <w:r w:rsidRPr="00F13CC6">
        <w:fldChar w:fldCharType="begin"/>
      </w:r>
      <w:r w:rsidRPr="00F13CC6">
        <w:instrText xml:space="preserve"> ADDIN ZOTERO_ITEM CSL_CITATION {"citationID":"ZMAdsP4T","properties":{"formattedCitation":"(Henkelman et al., 2001)","plainCitation":"(Henkelman et al., 2001)"},"citationItems":[{"id":398,"uris":["http://zotero.org/users/local/C6DL19O5/items/NHABQ6SG"],"uri":["http://zotero.org/users/local/C6DL19O5/items/NHABQ6SG"],"itemData":{"id":398,"type":"article-journal","title":"Magnetization transfer in MRI: a review","container-title":"NMR in Biomedicine","page":"57-64","volume":"14","issue":"2","source":"onlinelibrary.wiley.com","abstract":"This review describes magnetization transfer (MT) contrast in magnetic resonance imaging. A qualitative description of how MT works is provided along with experimental evidence that leads to a quantitative model for MT in tissues. The implementation of MT saturation in imaging sequences and the interpretation of the MT-induced signal change in terms of exchange processes and direct effects are presented. Finally, highlights of clinical uses of MT are outlined and future directions for investigation proposed. Copyright © 2001 John Wiley &amp; Sons, Ltd.\nAbbreviations used:Beffeffective magnetic fieldCRMGCarr–Purcell–Meiboom–GillCWcontinuous waveFAIRflow sensitive alternating inversion recoveryGd-DTPAgadolinium diethylenetriminepentaacetic acidMRAmagnetic resonance angiographyMRImagnetic resonance imagingMSmultiple sclerosisMTmagnetization transferMTRmagnetization transfer ratioRFradio frequencySARspecific absorption rate.","DOI":"10.1002/nbm.683","ISSN":"1099-1492","shortTitle":"Magnetization transfer in MRI","language":"en","author":[{"family":"Henkelman","given":"R. M"},{"family":"Stanisz","given":"G. J"},{"family":"Graham","given":"S. J"}],"issued":{"date-parts":[["2001",4,1]]},"accessed":{"date-parts":[["2012",5,21]]}}}],"schema":"https://github.com/citation-style-language/schema/raw/master/csl-citation.json"} </w:instrText>
      </w:r>
      <w:r w:rsidRPr="00F13CC6">
        <w:fldChar w:fldCharType="separate"/>
      </w:r>
      <w:r w:rsidRPr="00F13CC6">
        <w:t>(</w:t>
      </w:r>
      <w:proofErr w:type="spellStart"/>
      <w:r w:rsidRPr="00F13CC6">
        <w:t>Henkelman</w:t>
      </w:r>
      <w:proofErr w:type="spellEnd"/>
      <w:r w:rsidRPr="00F13CC6">
        <w:t xml:space="preserve"> et al., 2001)</w:t>
      </w:r>
      <w:r w:rsidRPr="00F13CC6">
        <w:fldChar w:fldCharType="end"/>
      </w:r>
      <w:r w:rsidRPr="00F13CC6">
        <w:t xml:space="preserve">. Analytical solutions of the modified equations </w:t>
      </w:r>
      <w:r w:rsidRPr="00F13CC6">
        <w:fldChar w:fldCharType="begin"/>
      </w:r>
      <w:r w:rsidRPr="00F13CC6">
        <w:instrText xml:space="preserve"> REF _Ref349060775 \h </w:instrText>
      </w:r>
      <w:r>
        <w:instrText xml:space="preserve"> \* MERGEFORMAT </w:instrText>
      </w:r>
      <w:r w:rsidRPr="00F13CC6">
        <w:fldChar w:fldCharType="separate"/>
      </w:r>
      <w:r w:rsidRPr="00F13CC6">
        <w:t>(</w:t>
      </w:r>
      <w:r w:rsidRPr="00F13CC6">
        <w:rPr>
          <w:noProof/>
        </w:rPr>
        <w:t>11</w:t>
      </w:r>
      <w:r w:rsidRPr="00F13CC6">
        <w:t>)</w:t>
      </w:r>
      <w:r w:rsidRPr="00F13CC6">
        <w:fldChar w:fldCharType="end"/>
      </w:r>
      <w:r w:rsidRPr="00F13CC6">
        <w:t xml:space="preserve"> are explored in Refs. </w:t>
      </w:r>
      <w:r w:rsidRPr="00F13CC6">
        <w:fldChar w:fldCharType="begin"/>
      </w:r>
      <w:r w:rsidRPr="00F13CC6">
        <w:instrText xml:space="preserve"> ADDIN ZOTERO_ITEM CSL_CITATION {"citationID":"2qmcvk8afv","properties":{"formattedCitation":"(Adler and Yeung, 1993; Henkelman et al., 1993; Morrison et al., 1995; Yeung and Swanson, 1992; Yeung et al., 1994)","plainCitation":"(Adler and Yeung, 1993; Henkelman et al., 1993; Morrison et al., 1995; Yeung and Swanson, 1992; Yeung et al., 1994)"},"citationItems":[{"id":183,"uris":["http://zotero.org/users/local/r26pODE2/items/RXJI7QXQ"],"uri":["http://zotero.org/users/local/r26pODE2/items/RXJI7QXQ"],"itemData":{"id":183,"type":"article-journal","title":"Transient Decay of Longitudinal Magnetization in Heterogeneous Spin Systems Under Selective Saturation. III. Solution by Projection Operators","page":"321-330","source":"ScienceDirect","abstract":"A general method of solving equations governing the transient response of heterogeneous spin systems to continuous and pulsed RF saturation using the projection-operator technique is outlined. An effective rate equation is derived in which there is natural separation of relaxation and source terms. Our previously derived implicit solution to the coupled Bloch equations is reformulated using this more general approach, which avoids some of the restrictive assumptions made earlier. With this formulation, we provide an analytical and explicit solution to the full set of coupled Bloch equations with no additional assumptions or restrictive conditions attached limiting their general validity. The results obtained with this new method of solution are compared with the results previously obtained by the Laplace-transform technique for heat-denatured albumin.","author":[{"family":"Adler","given":"R.S."},{"family":"Yeung","given":"H.N."}],"issued":{"date-parts":[["1993"]],"season":"Oktober"},"accessed":{"date-parts":[[2012,12,12]]}}},{"id":5,"uris":["http://zotero.org/users/local/C6DL19O5/items/9TZIZR9H"],"uri":["http://zotero.org/users/local/C6DL19O5/items/9TZIZR9H"],"itemData":{"id":5,"type":"article-journal","title":"Quantitative interpretation of magnetization transfer","container-title":"Magnetic Resonance in Medicine: Official Journal of the Society of Magnetic Resonance in Medicine / Society of Magnetic Resonance in Medicine","page":"759-766","volume":"29","issue":"6","source":"NCBI PubMed","abstract":"Magnetization transfer contrast (MTC) experiments using off-resonance irradiation have been performed with an agar gel model by systematically varying offset frequency, amplitude of the RF irradiation and gel concentration. The experimental results are shown to be quantitatively modelled by a two-pool system consisting of a liquid pool with a Lorentzian line shape and a small semisolid pool with a Gaussian lineshape. The fitted model yields physically realistic fundamental parameters with a T2 of the semisolid pool of 13 microseconds. Further analysis shows that the off-resonance irradiation MTC experiment had significant limitations in its ability to saturate the semisolid pool without directly affecting the liquid component.","ISSN":"0740-3194","note":"PMID: 8350718","journalAbbreviation":"Magn Reson Med","author":[{"family":"Henkelman","given":"R M"},{"family":"Huang","given":"X"},{"family":"Xiang","given":"Q S"},{"family":"Stanisz","given":"G J"},{"family":"Swanson","given":"S D"},{"family":"Bronskill","given":"M J"}],"issued":{"date-parts":[["1993",6]]},"accessed":{"date-parts":[["2010",3,27]]},"PMID":"8350718"}},{"id":142,"uris":["http://zotero.org/users/local/r26pODE2/items/6CW2KPG6"],"uri":["http://zotero.org/users/local/r26pODE2/items/6CW2KPG6"],"itemData":{"id":142,"type":"article-journal","title":"Modeling Magnetization Transfer for Biological-like Systems Using a Semi-solid Pool with a Super-Lorentzian Lineshape and Dipolar Reservoir","page":"103-113","source":"ScienceDirect","abstract":"Magnetization transfer is modeled as an exchange between a liquid pool and a semi-solid pool where the semi-solid pool has, in addition to the Zeeman reservoir, a dipolar reservoir. The lineshape for the liquid pool is characterized by the usual Lorentzian, whereas the semi-solid pool is characterized as a super-Lorentzian, Three systems were investigated: (1) a membrane mixture of a phosphatidylcholine lipid (POPC) and cholesterol; (2) lyophilized white matter at eight solid concentrations ranging from 1 to 24%; and (3) fresh white matter. In all systems, this model fitted the experimental data well with the effect of the dipolar reservoir being most important for the membrane mixture. For the tissue, the dipolar reservoir is not required and the two-pool model with a single Zeeman reservoir for the semi-solid spins characterizes the experimental data equally well.","author":[{"family":"Morrison","given":"C."},{"family":"Stanisz","given":"G."},{"family":"Henkelman","given":"R.M."}],"issued":{"date-parts":[["1995",8]]},"accessed":{"date-parts":[[2012,3,27]]}}},{"id":547,"uris":["http://zotero.org/users/local/r26pODE2/items/TX9RFWJI"],"uri":["http://zotero.org/users/local/r26pODE2/items/TX9RFWJI"],"itemData":{"id":547,"type":"article-journal","title":"Transient decay of longitudinal magnetization in heterogeneous spin systems under selective saturation","container-title":"Journal of Magnetic Resonance (1969)","page":"466-479","volume":"99","issue":"3","source":"ScienceDirect","abstract":"The transient behavior of the longitudinal magnetization of the mobile protons in aqueous heterogeneous materials is investigated both theoretically and experimentally when selective saturation is applied by off resonance, RF irradiation to the homogeneously broadened, immobile protons which are coupled to the mobile protons through cross relaxation. Analytical solution of this problem is obtained by a generalization of H. C. Torrey's solution to the Bloch equations. Progressive (but indirect) saturation of the magnetization of the mobile protons under this RF irradiation is dynamically monitored using very-small-tip-angle sampling pulses. The apparent relaxation rate of heat-denatured egg albumin was measured as a function of frequency offset of the saturating RF with different amplitudes using a new dispersion method modified from a broadband technique recently invented for the rapid acquisition of a cross-relaxation z spectrum.","DOI":"10.1016/0022-2364(92)90203-J","ISSN":"0022-2364","journalAbbreviation":"Journal of Magnetic Resonance (1969)","author":[{"family":"Yeung","given":"Hong N"},{"family":"Swanson","given":"Scott D"}],"issued":{"date-parts":[["1992",10,1]]},"accessed":{"date-parts":[[2013,2,5]]}}},{"id":260,"uris":["http://zotero.org/users/local/r26pODE2/items/BGU5BDTK"],"uri":["http://zotero.org/users/local/r26pODE2/items/BGU5BDTK"],"itemData":{"id":260,"type":"article-journal","title":"Transient Decay of Longitudinal Magnetization in Heterogeneous Spin Systems under Selective Saturation. IV. Reformulation of the Spin-Bath-Model Equations by the Redfield-Provotorov Theory","page":"37-45","source":"ScienceDirect","abstract":"Alternative formulations to the conventional Bloch equations for the RF saturation of the solid component in heterogeneous spin systems according to a spin-bath model are derived using the concept of spin temperature as suggested by Redfield and Provotorov. These formulations and the resulting equations derived by the projection-operator technique provide an analytical and explicit solution to the general problem of solid saturation under continuous RF irradiation. Using the Provotorov theory, a set of generalized (non-Markovian) equations of motions is derived. The solutions to these generalized equations approach those of the conventional Bloch formulation at one extreme when the applied RF is weak and the Redfield formulation at another when the applied RF is strong. In short, this development provides a simple alternative which removes the restriction of the lineshape function used to represent the solid component; the latter is well known to be non-Lorentzian, contrary to the tacit assumption made in the conventional Bloch formulation. Experimental verification of the generalized theory is provided by transient and steady-state longitudinal magnetization data acquired from cross-linked bovine serum albumin under selective saturation by continuous off-resonance RF irradiation.","author":[{"family":"Yeung","given":"H.N."},{"family":"Adler","given":"R.S."},{"family":"Swanson","given":"S.D."}],"issued":{"date-parts":[["1994",1]]},"accessed":{"date-parts":[[2012,12,12]]}}}],"schema":"https://github.com/citation-style-language/schema/raw/master/csl-citation.json"} </w:instrText>
      </w:r>
      <w:r w:rsidRPr="00F13CC6">
        <w:fldChar w:fldCharType="separate"/>
      </w:r>
      <w:r w:rsidRPr="00F13CC6">
        <w:t xml:space="preserve">(Adler and Yeung, 1993; </w:t>
      </w:r>
      <w:proofErr w:type="spellStart"/>
      <w:r w:rsidRPr="00F13CC6">
        <w:t>Henkelman</w:t>
      </w:r>
      <w:proofErr w:type="spellEnd"/>
      <w:r w:rsidRPr="00F13CC6">
        <w:t xml:space="preserve"> et al., 1993; Morrison et al., 1995; Yeung and Swanson, 1992; Yeung et al., 1994)</w:t>
      </w:r>
      <w:r w:rsidRPr="00F13CC6">
        <w:fldChar w:fldCharType="end"/>
      </w:r>
      <w:r w:rsidRPr="00F13CC6">
        <w:t>. Finally, the different two</w:t>
      </w:r>
      <w:r w:rsidRPr="00F13CC6">
        <w:rPr>
          <w:lang w:val="en-GB"/>
        </w:rPr>
        <w:t>–</w:t>
      </w:r>
      <w:r w:rsidRPr="00F13CC6">
        <w:t>pool models can be combined to a multi</w:t>
      </w:r>
      <w:r w:rsidRPr="00F13CC6">
        <w:rPr>
          <w:lang w:val="en-GB"/>
        </w:rPr>
        <w:t>–</w:t>
      </w:r>
      <w:r w:rsidRPr="00F13CC6">
        <w:t xml:space="preserve">pool system where all effects occur simultaneously </w:t>
      </w:r>
      <w:r w:rsidRPr="00F13CC6">
        <w:fldChar w:fldCharType="begin"/>
      </w:r>
      <w:r w:rsidRPr="00F13CC6">
        <w:instrText xml:space="preserve"> ADDIN ZOTERO_ITEM CSL_CITATION {"citationID":"GhEZXuD2","properties":{"formattedCitation":"(Desmond and Stanisz, 2012; Li et al., 2008; Liu et al., 2012; Trott and Palmer, 2004)","plainCitation":"(Desmond and Stanisz, 2012; Li et al., 2008; Liu et al., 2012; Trott and Palmer, 2004)"},"citationItems":[{"id":519,"uris":["http://zotero.org/users/local/n8sSIA6p/items/X5W25C25"],"uri":["http://zotero.org/users/local/n8sSIA6p/items/X5W25C25"],"itemData":{"id":519,"type":"article-journal","title":"Understanding quantitative pulsed CEST in the presence of MT","container-title":"Magnetic Resonance in Medicine: Official Journal of the Society of Magnetic Resonance in Medicine / Society of Magnetic Resonance in Medicine","page":"979-990","volume":"67","issue":"4","source":"NCBI PubMed","abstract":"Phantom experiments in agar and ammonium chloride were performed to evaluate a three-pool model of magnetization transfer and chemical exchange saturation transfer (CEST) in a pulsed saturation transfer experiment. The utility of the pulsed CEST method was demonstrated by varying the pH of the phantoms and observing the effect upon the CEST spectra both with and without the solid agar (the magnetization transfer pool), while fitting the spectra to the Bloch equation model with exchange. Pulsed CEST could be used to robustly quantify parameters related to CEST, including the exchange rate constant describing proton exchange with free water and the concentration of exchanging protons. Furthermore, the exchange rate constant and the CEST pool offset frequency of the ammonium chloride remained unchanged in the presence of a magnetization transfer pool. The logarithm of the fitted exchange rate constant was linearly related to pH: this relationship was maintained in the presence of magnetization transfer.","DOI":"10.1002/mrm.23074","ISSN":"1522-2594","note":"PMID: 21858864","journalAbbreviation":"Magn Reson Med","author":[{"family":"Desmond","given":"Kimberly L"},{"family":"Stanisz","given":"Greg J"}],"issued":{"date-parts":[["2012",4]]},"accessed":{"date-parts":[[2012,5,25]]}}},{"id":106,"uris":["http://zotero.org/users/local/C6DL19O5/items/MZ4HJRFC"],"uri":["http://zotero.org/users/local/C6DL19O5/items/MZ4HJRFC"],"itemData":{"id":106,"type":"article-journal","title":"Four-pool modeling of proton exchange processes in biological systems in the presence of MRI-paramagnetic chemical exchange saturation transfer (PARACEST) agents","container-title":"Magnetic Resonance in Medicine: Official Journal of the Society of Magnetic Resonance in Medicine / Society of Magnetic Resonance in Medicine","page":"1197–1206","volume":"60","issue":"5","abstract":"Signal loss due to magnetization transfer (MT) from the macromolecular protons of biological tissues is an important consideration for the in vivo detection of paramagnetic chemical exchange saturation transfer (PARACEST) agents. In this study, a four-pool model is presented that is based on the modified Bloch equations and incorporates terms for the proton exchange processes that occur in biological systems in the presence of MRI-PARACEST contrast agents. The effect of the exchangeable proton chemical shift and PARACEST agent concentration are modeled in the presence of macromolecule-derived MT. Experimental validation of the model was performed at 9.4 Tesla using Eu(3+)-DOTAM-glycine (Gly)-phenylalanine (Phe) in both aqueous solution and samples containing 10% bovine serum albumin (BSA). The model was then used to measure the agent-bound-water chemical shift and the transverse relaxation time of macromolecular protons of a sample of Vero (nonhuman primate) cells labeled with Eu(3+)-DOTAM-Gly-Phe and a phantom containing mouse brain tissue and 7 mM Eu(3+)-DOTAM-Gly-Phe. In the brain tissue phantom, a chemical shift map with standard deviation (SD) \\textless 0.7 ppm and a T(2) map with SD \\textless 0.6 mus were obtained. The results demonstrate the feasibility of in vivo temperature measurement based on the bound-water chemical shift of Eu(3+)-DOTAM-Gly-Phe in combination with this four-pool model despite the inherent MT effect.","DOI":"10.1002/mrm.21752","ISSN":"1522-2594","note":"PMID: 18958857","author":[{"family":"Li","given":"Alex X"},{"family":"Hudson","given":"Robert H E"},{"family":"Barrett","given":"John W"},{"family":"Jones","given":"Craig K"},{"family":"Pasternak","given":"Stephen H"},{"family":"Bartha","given":"Robert"}],"issued":{"date-parts":[["2008",11]]},"PMID":"18958857"}},{"id":540,"uris":["http://zotero.org/users/local/r26pODE2/items/EIDQ24W5"],"uri":["http://zotero.org/users/local/r26pODE2/items/EIDQ24W5"],"itemData":{"id":540,"type":"article-journal","title":"Quantitative characterization of nuclear Overhauser enhancement and amide proton transfer effects in the human brain at 7 tesla","container-title":"Magnetic resonance in medicine: official journal of the Society of Magnetic Resonance in Medicine / Society of Magnetic Resonance in Medicine","source":"NCBI PubMed","abstract":"PURPOSE: This study aimed to quantitatively investigate two main magnetization transfer effects at low B(1) : the nuclear Overhauser enhancement (NOE) and amide proton transfer in the human brain at 7 T. METHODS: The magnetization transfer effects in the human brain were characterized using a four-pool proton model, which consisted of bulk water, macromolecules, an amide group of mobile proteins and peptides, and NOE-related protons resonating upfield. The pool sizes, exchange rates, and relaxation times of these proton pools were investigated quantitatively by fitting, and the net signals of amide proton transfer and NOE were simulated based on the fitted parameters. RESULTS: The results showed that the four-pool model fitted the experimental data quite well, and the NOE effects in human brain at 7 T had a broad spectrum distribution. The NOE effects peaked at a B(1) of </w:instrText>
      </w:r>
      <w:r w:rsidRPr="00F13CC6">
        <w:rPr>
          <w:rFonts w:ascii="Cambria Math" w:hAnsi="Cambria Math" w:cs="Cambria Math"/>
        </w:rPr>
        <w:instrText>∼</w:instrText>
      </w:r>
      <w:r w:rsidRPr="00F13CC6">
        <w:rPr>
          <w:rFonts w:cs="Cambria"/>
        </w:rPr>
        <w:instrText xml:space="preserve"> 1-1.4 μT and were significantly stronger in the white matter than in the gray matter, corre</w:instrText>
      </w:r>
      <w:r w:rsidRPr="00F13CC6">
        <w:instrText xml:space="preserve">sponding to a pool-size ratio </w:instrText>
      </w:r>
      <w:r w:rsidRPr="00F13CC6">
        <w:rPr>
          <w:rFonts w:ascii="Cambria Math" w:hAnsi="Cambria Math" w:cs="Cambria Math"/>
        </w:rPr>
        <w:instrText>∼</w:instrText>
      </w:r>
      <w:r w:rsidRPr="00F13CC6">
        <w:rPr>
          <w:rFonts w:cs="Cambria"/>
        </w:rPr>
        <w:instrText xml:space="preserve"> 2:1. As the amide pro</w:instrText>
      </w:r>
      <w:r w:rsidRPr="00F13CC6">
        <w:instrText xml:space="preserve">ton transfer effect was relatively small compared with the NOE effects, magnetization transfer asymmetry analysis yielded an NOE-dominated contrast in the healthy human brain in this range of B(1) . CONCLUSION: These findings are important to identify the source of NOE effects and to quantify amide proton transfer effects in human brain at 7 T. Magn Reson Med, 2012. © 2012 Wiley Periodicals, Inc.","DOI":"10.1002/mrm.24560","ISSN":"1522-2594","note":"PMID: 23238951","journalAbbreviation":"Magn Reson Med","author":[{"family":"Liu","given":"Dapeng"},{"family":"Zhou","given":"Jinyuan"},{"family":"Xue","given":"Rong"},{"family":"Zuo","given":"Zhentao"},{"family":"An","given":"Jing"},{"family":"Wang","given":"Danny J J"}],"issued":{"date-parts":[["2012",12,13]]}}},{"id":226,"uris":["http://zotero.org/users/local/C6DL19O5/items/V3RHBA8I"],"uri":["http://zotero.org/users/local/C6DL19O5/items/V3RHBA8I"],"itemData":{"id":226,"type":"article-journal","title":"Theoretical study of R(1rho) rotating-frame and R2 free-precession relaxation in the presence of n-site chemical exchange","container-title":"Journal of Magnetic Resonance (San Diego, Calif.: 1997)","page":"104-112","volume":"170","issue":"1","source":"NCBI PubMed","abstract":"The n-site Bloch-McConnell equations describe the evolution of nuclear spin magnetization in the laboratory or rotating frames of reference for molecules subject to chemical or conformational interconversions between n species with distinct NMR chemical shifts. Perturbation theory is used to approximate the largest eigenvalue of the Bloch-McConnell equations and obtain analytical expressions for the rotating-frame relaxation rate constant and for the laboratory frame resonance frequency and transverse relaxation rate constant. The perturbation treatment is valid whenever the population of one site is dominant. The new results are generally applicable to investigations of kinetic processes by NMR spectroscopy.","DOI":"10.1016/j.jmr.2004.06.005","ISSN":"1090-7807","note":"PMID: 15324763","journalAbbreviation":"J. Magn. Reson.","author":[{"family":"Trott","given":"Oleg"},{"family":"Palmer","given":"Arthur G, 3rd"}],"issued":{"date-parts":[["2004",9]]},"accessed":{"date-parts":[["2011",12,13]]},"PMID":"15324763"}}],"schema":"https://github.com/citation-style-language/schema/raw/master/csl-citation.json"} </w:instrText>
      </w:r>
      <w:r w:rsidRPr="00F13CC6">
        <w:fldChar w:fldCharType="separate"/>
      </w:r>
      <w:r w:rsidRPr="00F13CC6">
        <w:t xml:space="preserve">(Desmond and </w:t>
      </w:r>
      <w:proofErr w:type="spellStart"/>
      <w:r w:rsidRPr="00F13CC6">
        <w:t>Stanisz</w:t>
      </w:r>
      <w:proofErr w:type="spellEnd"/>
      <w:r w:rsidRPr="00F13CC6">
        <w:t xml:space="preserve">, 2012; Li et al., 2008; Liu et al., 2012; </w:t>
      </w:r>
      <w:proofErr w:type="spellStart"/>
      <w:r w:rsidRPr="00F13CC6">
        <w:t>Trott</w:t>
      </w:r>
      <w:proofErr w:type="spellEnd"/>
      <w:r w:rsidRPr="00F13CC6">
        <w:t xml:space="preserve"> and Palmer, 2004)</w:t>
      </w:r>
      <w:r w:rsidRPr="00F13CC6">
        <w:fldChar w:fldCharType="end"/>
      </w:r>
      <w:r w:rsidRPr="00F13CC6">
        <w:t xml:space="preserve">. </w:t>
      </w:r>
    </w:p>
    <w:p w:rsidR="00171999" w:rsidRPr="00F13CC6" w:rsidRDefault="00171999" w:rsidP="00171999">
      <w:pPr>
        <w:spacing w:line="240" w:lineRule="auto"/>
        <w:jc w:val="both"/>
      </w:pPr>
    </w:p>
    <w:p w:rsidR="00171999" w:rsidRPr="00F13CC6" w:rsidRDefault="00171999" w:rsidP="00171999">
      <w:pPr>
        <w:pStyle w:val="berschrift2"/>
        <w:numPr>
          <w:ilvl w:val="1"/>
          <w:numId w:val="1"/>
        </w:numPr>
      </w:pPr>
      <w:bookmarkStart w:id="6" w:name="_Ref349076216"/>
      <w:bookmarkStart w:id="7" w:name="_Toc364019994"/>
      <w:r w:rsidRPr="00F13CC6">
        <w:t>Numerical solution of the Bloch</w:t>
      </w:r>
      <w:r w:rsidRPr="00F13CC6">
        <w:rPr>
          <w:lang w:val="en-GB"/>
        </w:rPr>
        <w:t>–</w:t>
      </w:r>
      <w:proofErr w:type="gramStart"/>
      <w:r w:rsidRPr="00F13CC6">
        <w:t>McConnell  equations</w:t>
      </w:r>
      <w:bookmarkEnd w:id="6"/>
      <w:bookmarkEnd w:id="7"/>
      <w:proofErr w:type="gramEnd"/>
    </w:p>
    <w:p w:rsidR="00171999" w:rsidRPr="00F13CC6" w:rsidRDefault="00171999" w:rsidP="00171999">
      <w:pPr>
        <w:jc w:val="both"/>
      </w:pPr>
      <w:r w:rsidRPr="00F13CC6">
        <w:t>The BM equations are first</w:t>
      </w:r>
      <w:r w:rsidRPr="00F13CC6">
        <w:rPr>
          <w:lang w:val="en-GB"/>
        </w:rPr>
        <w:t>–</w:t>
      </w:r>
      <w:r w:rsidRPr="00F13CC6">
        <w:t xml:space="preserve">order ordinary differential equations with an inhomogeneous term C (equation </w:t>
      </w:r>
      <w:r w:rsidRPr="00F13CC6">
        <w:fldChar w:fldCharType="begin"/>
      </w:r>
      <w:r w:rsidRPr="00F13CC6">
        <w:instrText xml:space="preserve"> REF _Ref348432525 \h </w:instrText>
      </w:r>
      <w:r w:rsidRPr="00F13CC6">
        <w:instrText xml:space="preserve"> \* MERGEFORMAT </w:instrText>
      </w:r>
      <w:r w:rsidRPr="00F13CC6">
        <w:fldChar w:fldCharType="separate"/>
      </w:r>
      <w:r w:rsidRPr="00F13CC6">
        <w:t>(1)</w:t>
      </w:r>
      <w:r w:rsidRPr="00F13CC6">
        <w:fldChar w:fldCharType="end"/>
      </w:r>
      <w:r w:rsidRPr="00F13CC6">
        <w:t>). The formal solution of the BM equations 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0"/>
        <w:gridCol w:w="4120"/>
      </w:tblGrid>
      <w:tr w:rsidR="00171999" w:rsidRPr="00F13CC6" w:rsidTr="00655D33">
        <w:tc>
          <w:tcPr>
            <w:tcW w:w="5240" w:type="dxa"/>
            <w:tcBorders>
              <w:top w:val="nil"/>
              <w:left w:val="nil"/>
              <w:bottom w:val="nil"/>
              <w:right w:val="nil"/>
            </w:tcBorders>
            <w:shd w:val="clear" w:color="auto" w:fill="auto"/>
          </w:tcPr>
          <w:p w:rsidR="00171999" w:rsidRPr="00F13CC6" w:rsidRDefault="00171999" w:rsidP="00E669B4">
            <w:pPr>
              <w:jc w:val="both"/>
            </w:pPr>
            <w:r w:rsidRPr="00F13CC6">
              <w:rPr>
                <w:position w:val="-12"/>
              </w:rPr>
              <w:object w:dxaOrig="3660" w:dyaOrig="420">
                <v:shape id="_x0000_i1399" type="#_x0000_t75" style="width:237pt;height:27pt" o:ole="">
                  <v:imagedata r:id="rId35" o:title=""/>
                </v:shape>
                <o:OLEObject Type="Embed" ProgID="Equation.3" ShapeID="_x0000_i1399" DrawAspect="Content" ObjectID="_1526808527" r:id="rId36"/>
              </w:object>
            </w:r>
          </w:p>
        </w:tc>
        <w:tc>
          <w:tcPr>
            <w:tcW w:w="4120" w:type="dxa"/>
            <w:tcBorders>
              <w:top w:val="nil"/>
              <w:left w:val="nil"/>
              <w:bottom w:val="nil"/>
              <w:right w:val="nil"/>
            </w:tcBorders>
            <w:shd w:val="clear" w:color="auto" w:fill="auto"/>
          </w:tcPr>
          <w:p w:rsidR="00171999" w:rsidRPr="00F13CC6" w:rsidRDefault="00171999" w:rsidP="00E669B4">
            <w:pPr>
              <w:jc w:val="right"/>
            </w:pPr>
            <w:bookmarkStart w:id="8" w:name="_Ref349070784"/>
            <w:r w:rsidRPr="00F13CC6">
              <w:t>(</w:t>
            </w:r>
            <w:r w:rsidRPr="00F13CC6">
              <w:fldChar w:fldCharType="begin"/>
            </w:r>
            <w:r w:rsidRPr="00F13CC6">
              <w:instrText xml:space="preserve"> SEQ \* Arabic "(" \* MERGEFORMAT </w:instrText>
            </w:r>
            <w:r w:rsidRPr="00F13CC6">
              <w:fldChar w:fldCharType="separate"/>
            </w:r>
            <w:r w:rsidRPr="00F13CC6">
              <w:rPr>
                <w:noProof/>
              </w:rPr>
              <w:t>16</w:t>
            </w:r>
            <w:r w:rsidRPr="00F13CC6">
              <w:fldChar w:fldCharType="end"/>
            </w:r>
            <w:r w:rsidRPr="00F13CC6">
              <w:t>)</w:t>
            </w:r>
            <w:bookmarkEnd w:id="8"/>
          </w:p>
        </w:tc>
      </w:tr>
    </w:tbl>
    <w:p w:rsidR="00171999" w:rsidRDefault="00171999" w:rsidP="00171999">
      <w:pPr>
        <w:spacing w:line="240" w:lineRule="auto"/>
        <w:jc w:val="both"/>
      </w:pPr>
      <w:r w:rsidRPr="00F13CC6">
        <w:t>The straightforward approach to solve a higher</w:t>
      </w:r>
      <w:r w:rsidRPr="00F13CC6">
        <w:rPr>
          <w:lang w:val="en-GB"/>
        </w:rPr>
        <w:t>–</w:t>
      </w:r>
      <w:r w:rsidRPr="00F13CC6">
        <w:t xml:space="preserve">dimensional system of ordinary differential equations is numerical integration, e.g. </w:t>
      </w:r>
      <w:proofErr w:type="spellStart"/>
      <w:r w:rsidRPr="00F13CC6">
        <w:t>Runge</w:t>
      </w:r>
      <w:proofErr w:type="spellEnd"/>
      <w:r w:rsidRPr="00F13CC6">
        <w:rPr>
          <w:lang w:val="en-GB"/>
        </w:rPr>
        <w:t>–</w:t>
      </w:r>
      <w:proofErr w:type="spellStart"/>
      <w:r w:rsidRPr="00F13CC6">
        <w:t>Kutta</w:t>
      </w:r>
      <w:proofErr w:type="spellEnd"/>
      <w:r w:rsidRPr="00F13CC6">
        <w:t xml:space="preserve"> methods </w:t>
      </w:r>
      <w:r w:rsidRPr="00F13CC6">
        <w:fldChar w:fldCharType="begin"/>
      </w:r>
      <w:r w:rsidRPr="00F13CC6">
        <w:instrText xml:space="preserve"> ADDIN ZOTERO_ITEM CSL_CITATION {"citationID":"exWfqC3q","properties":{"formattedCitation":"(Butcher, 1987; Murase and Tanki, 2011)","plainCitation":"(Butcher, 1987; Murase and Tanki, 2011)"},"citationItems":[{"id":260,"uris":["http://zotero.org/users/local/C6DL19O5/items/7FHE54S4"],"uri":["http://zotero.org/users/local/C6DL19O5/items/7FHE54S4"],"itemData":{"id":260,"type":"book","title":"The numerical analysis of ordinary differential equations: Runge-Kutta and general linear methods","publisher":"Wiley-Interscience","publisher-place":"New York, NY, USA","source":"ACM Digital Library","event-place":"New York, NY, USA","ISBN":"0-471-91046-5","shortTitle":"The numerical analysis of ordinary differential equations","author":[{"family":"Butcher","given":"J. C."}],"issued":{"date-parts":[["1987"]]}}},{"id":155,"uris":["http://zotero.org/users/local/C6DL19O5/items/R6TF9BV4"],"uri":["http://zotero.org/users/local/C6DL19O5/items/R6TF9BV4"],"itemData":{"id":155,"type":"article-journal","title":"Numerical solutions to the time-dependent Bloch equations revisited","container-title":"Magnetic Resonance Imaging","page":"126-131","volume":"29","issue":"1","source":"ScienceDirect","abstract":"&lt;p&gt;&lt;br/&gt;The purpose of this study was to demonstrate a simple and fast method for solving the time-dependent Bloch equations. First, the time-dependent Bloch equations were reduced to a homogeneous linear differential equation, and then a simple equation was derived to solve it using a matrix operation. The validity of this method was investigated by comparing with the analytical solutions in the case of constant radiofrequency irradiation. There was a good agreement between them, indicating the validity of this method. As a further example, this method was applied to the time-dependent Bloch equations in the two-pool exchange model for chemical exchange saturation transfer (CEST) or amide proton transfer (APT) magnetic resonance imaging (MRI), and the Z-spectra and asymmetry spectra were calculated from their solutions. They were also calculated using the fourth/fifth-order Runge-Kutta-Fehlberg (RKF) method for comparison. There was also a good agreement between them, and this method was much faster than the RKF method. In conclusion, this method will be useful for analyzing the complex CEST or APT contrast mechanism and/or investigating the optimal conditions for CEST or APT MRI.&lt;/p&gt;","DOI":"16/j.mri.2010.07.003","ISSN":"0730-725X","author":[{"family":"Murase","given":"Kenya"},{"family":"Tanki","given":"Nobuyoshi"}],"issued":{"date-parts":[["2011",1]]},"accessed":{"date-parts":[["2011",7,20]]}}}],"schema":"https://github.com/citation-style-language/schema/raw/master/csl-citation.json"} </w:instrText>
      </w:r>
      <w:r w:rsidRPr="00F13CC6">
        <w:fldChar w:fldCharType="separate"/>
      </w:r>
      <w:r w:rsidRPr="00F13CC6">
        <w:t xml:space="preserve">(Butcher, 1987; </w:t>
      </w:r>
      <w:proofErr w:type="spellStart"/>
      <w:r w:rsidRPr="00F13CC6">
        <w:t>Murase</w:t>
      </w:r>
      <w:proofErr w:type="spellEnd"/>
      <w:r w:rsidRPr="00F13CC6">
        <w:t xml:space="preserve"> and </w:t>
      </w:r>
      <w:proofErr w:type="spellStart"/>
      <w:r w:rsidRPr="00F13CC6">
        <w:t>Tanki</w:t>
      </w:r>
      <w:proofErr w:type="spellEnd"/>
      <w:r w:rsidRPr="00F13CC6">
        <w:t>, 2011)</w:t>
      </w:r>
      <w:r w:rsidRPr="00F13CC6">
        <w:fldChar w:fldCharType="end"/>
      </w:r>
      <w:r w:rsidRPr="00F13CC6">
        <w:t xml:space="preserve">. When matrix inversion and exponentiation are performed numerically the magnetization can be calculated for constant A </w:t>
      </w:r>
      <w:r w:rsidRPr="00F13CC6">
        <w:fldChar w:fldCharType="begin"/>
      </w:r>
      <w:r w:rsidRPr="00F13CC6">
        <w:instrText xml:space="preserve"> ADDIN ZOTERO_ITEM CSL_CITATION {"citationID":"jIGeiMKz","properties":{"formattedCitation":"(Murase and Tanki, 2011; Tee et al., 2012; Woessner et al., 2005)","plainCitation":"(Murase and Tanki, 2011; Tee et al., 2012; Woessner et al., 2005)"},"citationItems":[{"id":155,"uris":["http://zotero.org/users/local/C6DL19O5/items/R6TF9BV4"],"uri":["http://zotero.org/users/local/C6DL19O5/items/R6TF9BV4"],"itemData":{"id":155,"type":"article-journal","title":"Numerical solutions to the time-dependent Bloch equations revisited","container-title":"Magnetic Resonance Imaging","page":"126-131","volume":"29","issue":"1","source":"ScienceDirect","abstract":"&lt;p&gt;&lt;br/&gt;The purpose of this study was to demonstrate a simple and fast method for solving the time-dependent Bloch equations. First, the time-dependent Bloch equations were reduced to a homogeneous linear differential equation, and then a simple equation was derived to solve it using a matrix operation. The validity of this method was investigated by comparing with the analytical solutions in the case of constant radiofrequency irradiation. There was a good agreement between them, indicating the validity of this method. As a further example, this method was applied to the time-dependent Bloch equations in the two-pool exchange model for chemical exchange saturation transfer (CEST) or amide proton transfer (APT) magnetic resonance imaging (MRI), and the Z-spectra and asymmetry spectra were calculated from their solutions. They were also calculated using the fourth/fifth-order Runge-Kutta-Fehlberg (RKF) method for comparison. There was also a good agreement between them, and this method was much faster than the RKF method. In conclusion, this method will be useful for analyzing the complex CEST or APT contrast mechanism and/or investigating the optimal conditions for CEST or APT MRI.&lt;/p&gt;","DOI":"16/j.mri.2010.07.003","ISSN":"0730-725X","author":[{"family":"Murase","given":"Kenya"},{"family":"Tanki","given":"Nobuyoshi"}],"issued":{"date-parts":[["2011",1]]},"accessed":{"date-parts":[["2011",7,20]]}}},{"id":508,"uris":["http://zotero.org/users/local/C6DL19O5/items/ZWU2JXW3"],"uri":["http://zotero.org/users/local/C6DL19O5/items/ZWU2JXW3"],"itemData":{"id":508,"type":"article-journal","title":"Evaluating the use of a continuous approximation for model-based quantification of pulsed chemical exchange saturation transfer (CEST)","container-title":"Journal of magnetic resonance (San Diego, Calif.: 1997)","page":"88-95","volume":"222","source":"NCBI PubMed","abstract":"Many potential clinical applications of chemical exchange saturation transfer (CEST) have been studied in recent years. However, due to various limitations such as specific absorption rate guidelines and scanner hardware constraints, most of the proposed applications have yet to be translated into routine diagnostic tools. Currently, pulsed CEST which uses multiple short pulses to perform the saturation is the only viable irradiation scheme for clinical translation. However, performing quantitative model-based analysis on pulsed CEST is time consuming because it is necessary to account for the time dependent amplitude of the saturation pulses. As a result, pulsed CEST is generally treated as continuous CEST by finding its equivalent average field or power. Nevertheless, theoretical analysis and simulations reveal that the resulting magnetization is different when the different irradiation schemes are applied. In this study, the quantification of important model parameters such as the amine proton exchange rate from a pulsed CEST experiment using quantitative model-based analyses were examined. Two model-based approaches were considered - discretized and continuous approximation to the time dependent RF irradiation pulses. The results showed that the discretized method was able to fit the experimental data substantially better than its continuous counterpart, but the smaller fitted error of the former did not translate to significantly better fit for the important model parameters. For quantification of the endogenous CEST effect, such as in amide proton transfer imaging, a model-based approach using the average power equivalent saturation can thus be used in place of the discretized approximation.","DOI":"10.1016/j.jmr.2012.07.003","ISSN":"1096-0856","note":"PMID: 22858666","journalAbbreviation":"J. Magn. Reson.","author":[{"family":"Tee","given":"Y K"},{"family":"Khrapitchev","given":"A A"},{"family":"Sibson","given":"N R"},{"family":"Payne","given":"S J"},{"family":"Chappell","given":"M A"}],"issued":{"date-parts":[["2012",9]]},"PMID":"22858666"}},{"id":"kmVPGr4R/V7jed7E4","uris":["http://zotero.org/users/local/n8sSIA6p/items/TZHFF4F5"],"uri":["http://zotero.org/users/local/n8sSIA6p/items/TZHFF4F5"],"itemData":{"id":"kmVPGr4R/V7jed7E4","type":"article-journal","title":"Numerical solution of the Bloch equations provides insights into the optimum design of PARACEST agents for MRI","container-title":"Magnetic Resonance in Medicine: Official Journal of the Society of Magnetic Resonance in Medicine / Society of Magnetic Resonance in Medicine","page":"790-799","volume":"53","issue":"4","source":"NCBI PubMed","abstract":"Paramagnetic lanthanide complexes that display unusually slow water exchange between an inner sphere coordination site and bulk water may serve as a new class of MRI contrast agents with the use of chemical exchange saturation transfer (CEST) techniques. To aid in the design of paramagnetic CEST agents for reporting important biological indices in MRI measurements, we formulated a theoretical framework based on the modified Bloch equations that relates the chemical properties of a CEST agent (e.g., water exchange rates and bound water chemical shifts) and various NMR parameters (e.g., relaxation rates and applied B(1) field) to the measured CEST effect. Numerical solutions of this formulation for complex exchanging systems were readily obtained without algebraic manipulation or simplification. For paramagnetic CEST agents of the type used here, the CEST effect is relatively insensitive to the bound proton relaxation times, but requires a sufficiently large applied B(1) field to highly saturate the Ln(3+)-bound water protons. This in turn requires paramagnetic complexes with large Ln(3+)-bound water chemical shifts to avoid direct excitation of the exchanging bulk water protons. Although increasing the exchange rate of the bound protons enhances the CEST effect, this also causes exchange broadening and increases the B(1) required for saturation. For a given B(1), there is an optimal exchange rate that results in a maximal CEST effect. This numerical approach, which was formulated for a three-pool case, was incorporated into a MATLAB nonlinear least-square optimization routine, and the results were in excellent agreement with experimental Z-spectra obtained with an aqueous solution of a paramagnetic CEST agent containing two different types of bound protons (bound water and amide protons).","DOI":"10.1002/mrm.20408","ISSN":"0740-3194","note":"PMID: 15799055","journalAbbreviation":"Magn Reson Med","author":[{"family":"Woessner","given":"Donald E"},{"family":"Zhang","given":"Shanrong"},{"family":"Merritt","given":"Matthew E"},{"family":"Sherry","given":"A Dean"}],"issued":{"year":2005,"month":4},"accessed":{"year":2011,"month":11,"day":24},"page-first":"790","container-title-short":"Magn Reson Med"}}],"schema":"https://github.com/citation-style-language/schema/raw/master/csl-citation.json"} </w:instrText>
      </w:r>
      <w:r w:rsidRPr="00F13CC6">
        <w:fldChar w:fldCharType="separate"/>
      </w:r>
      <w:r w:rsidRPr="00F13CC6">
        <w:t>(</w:t>
      </w:r>
      <w:proofErr w:type="spellStart"/>
      <w:r w:rsidRPr="00F13CC6">
        <w:t>Murase</w:t>
      </w:r>
      <w:proofErr w:type="spellEnd"/>
      <w:r w:rsidRPr="00F13CC6">
        <w:t xml:space="preserve"> and </w:t>
      </w:r>
      <w:proofErr w:type="spellStart"/>
      <w:r w:rsidRPr="00F13CC6">
        <w:t>Tanki</w:t>
      </w:r>
      <w:proofErr w:type="spellEnd"/>
      <w:r w:rsidRPr="00F13CC6">
        <w:t xml:space="preserve">, 2011; Tee et al., 2012; </w:t>
      </w:r>
      <w:proofErr w:type="spellStart"/>
      <w:r w:rsidRPr="00F13CC6">
        <w:t>Woessner</w:t>
      </w:r>
      <w:proofErr w:type="spellEnd"/>
      <w:r w:rsidRPr="00F13CC6">
        <w:t xml:space="preserve"> et al., 2005)</w:t>
      </w:r>
      <w:r w:rsidRPr="00F13CC6">
        <w:fldChar w:fldCharType="end"/>
      </w:r>
      <w:r w:rsidRPr="00F13CC6">
        <w:t>. Then stepwise constant solutions can be utilized to construct a full time</w:t>
      </w:r>
      <w:r w:rsidRPr="00F13CC6">
        <w:rPr>
          <w:lang w:val="en-GB"/>
        </w:rPr>
        <w:t>–</w:t>
      </w:r>
      <w:r w:rsidRPr="00F13CC6">
        <w:t xml:space="preserve">dependent solution of the BM equations </w:t>
      </w:r>
      <w:r w:rsidRPr="00F13CC6">
        <w:fldChar w:fldCharType="begin"/>
      </w:r>
      <w:r w:rsidRPr="00F13CC6">
        <w:instrText xml:space="preserve"> ADDIN ZOTERO_ITEM CSL_CITATION {"citationID":"rIm9GDkQ","properties":{"formattedCitation":"(Sun et al., 2011; Zu et al., 2011b)","plainCitation":"(Sun et al., 2011; Zu et al., 2011b)"},"citationItems":[{"id":"cZG5wZmc/J3kbCXqC","uris":["http://zotero.org/users/local/C6DL19O5/items/ITZPPEAP"],"uri":["http://zotero.org/users/local/C6DL19O5/items/ITZPPEAP"],"itemData":{"id":"cZG5wZmc/J3kbCXqC","type":"article-journal","title":"Optimizing pulsed-chemical exchange saturation transfer imaging sequences","container-title":"Magnetic Resonance in Medicine","page":"n/a-n/a","DOI":"10.1002/mrm.22884","journalAbbreviation":"Magn. Reson. Med.","author":[{"family":"Zu","given":"Zhongliang"},{"family":"Li","given":"Ke"},{"family":"Janve","given":"Vaibhav A."},{"family":"Does","given":"Mark D."},{"family":"Gochberg","given":"Daniel F."}],"issued":{"year":2011},"accessed":{"year":2011,"month":4,"day":4},"page-first":"n/a","container-title-short":"Magn. Reson. Med."}},{"id":493,"uris":["http://zotero.org/users/local/C6DL19O5/items/XWBQWNTS"],"uri":["http://zotero.org/users/local/C6DL19O5/items/XWBQWNTS"],"itemData":{"id":493,"type":"article-journal","title":"Simulation and optimization of pulsed radio frequency irradiation scheme for chemical exchange saturation transfer (CEST) MRI-demonstration of pH-weighted pulsed-amide proton CEST MRI in an animal model of acute cerebral ischemia","container-title":"Magnetic resonance in medicine: official journal of the Society of Magnetic Resonance in Medicine / Society of Magnetic Resonance in Medicine","page":"1042-1048","volume":"66","issue":"4","source":"NCBI PubMed","abstract":"Chemical exchange saturation transfer (CEST) magnetic resonance imaging (MRI) is capable of measuring dilute labile protons and microenvironmental properties. However, the CEST contrast is dependent upon experimental conditions-particularly, the radiofrequency (RF) irradiation scheme. Although continuous-wave RF irradiation has been used conventionally, the limited RF pulse duration or duty cycle of most clinical systems requires the use of pulsed RF irradiation. Here, the conventional numerical simulation is extended to describe pulsed-CEST MRI contrast as a function of RF pulse parameters (i.e., RF pulse duration and flip angle) and labile proton properties (i.e., exchange rate and chemical shift). For diamagnetic CEST agents undergoing slow or intermediate chemical exchange, simulation shows a linear regression relationship between the optimal mean RF power of pulsed-CEST MRI and continuous-wave-CEST MRI. The optimized pulsed-CEST contrast is approximately equal to that of continuous-wave-CEST MRI for exchange rates less than 50 s(-1), as confirmed experimentally using a multicompartment pH phantom. In the acute stroke animals, we showed that pulsed- and continuous-wave-amide proton CEST MRI demonstrated similar contrast. In summary, our study elucidated the RF irradiation dependence of pulsed-CEST MRI contrast, providing useful insights to guide its experimental optimization and quantification.","DOI":"10.1002/mrm.22894","ISSN":"1522-2594","note":"PMID: 21437977","journalAbbreviation":"Magn Reson Med","author":[{"family":"Sun","given":"Phillip Zhe"},{"family":"Wang","given":"Enfeng"},{"family":"Cheung","given":"Jerry S"},{"family":"Zhang","given":"Xiaoan"},{"family":"Benner","given":"Thomas"},{"family":"Sorensen","given":"A Gregory"}],"issued":{"date-parts":[["2011",10]]},"PMID":"21437977"}}],"schema":"https://github.com/citation-style-language/schema/raw/master/csl-citation.json"} </w:instrText>
      </w:r>
      <w:r w:rsidRPr="00F13CC6">
        <w:fldChar w:fldCharType="separate"/>
      </w:r>
      <w:r w:rsidRPr="00F13CC6">
        <w:t xml:space="preserve">(Sun et al., 2011; </w:t>
      </w:r>
      <w:proofErr w:type="spellStart"/>
      <w:r w:rsidRPr="00F13CC6">
        <w:t>Zu</w:t>
      </w:r>
      <w:proofErr w:type="spellEnd"/>
      <w:r w:rsidRPr="00F13CC6">
        <w:t xml:space="preserve"> et al., 2011b)</w:t>
      </w:r>
      <w:r w:rsidRPr="00F13CC6">
        <w:fldChar w:fldCharType="end"/>
      </w:r>
      <w:r w:rsidRPr="00F13CC6">
        <w:t xml:space="preserve">. </w:t>
      </w:r>
    </w:p>
    <w:p w:rsidR="00171999" w:rsidRDefault="00171999" w:rsidP="00171999">
      <w:pPr>
        <w:spacing w:line="240" w:lineRule="auto"/>
        <w:jc w:val="both"/>
      </w:pPr>
    </w:p>
    <w:p w:rsidR="00171999" w:rsidRDefault="00171999" w:rsidP="00171999">
      <w:pPr>
        <w:spacing w:line="240" w:lineRule="auto"/>
        <w:jc w:val="both"/>
      </w:pPr>
      <w:r>
        <w:t>For n-pools the system of equations (1-3) just increases in the dimensionality. E.g. equation (39 transforms to</w:t>
      </w:r>
    </w:p>
    <w:p w:rsidR="00171999" w:rsidRDefault="00693F42" w:rsidP="00171999">
      <w:pPr>
        <w:spacing w:line="240" w:lineRule="auto"/>
        <w:jc w:val="both"/>
      </w:pPr>
      <w:r w:rsidRPr="00171999">
        <w:rPr>
          <w:position w:val="-86"/>
        </w:rPr>
        <w:object w:dxaOrig="5899" w:dyaOrig="1840">
          <v:shape id="_x0000_i1461" type="#_x0000_t75" style="width:294.75pt;height:92.25pt" o:ole="">
            <v:imagedata r:id="rId37" o:title=""/>
          </v:shape>
          <o:OLEObject Type="Embed" ProgID="Equation.3" ShapeID="_x0000_i1461" DrawAspect="Content" ObjectID="_1526808528" r:id="rId38"/>
        </w:object>
      </w:r>
    </w:p>
    <w:p w:rsidR="00171999" w:rsidRDefault="00171999" w:rsidP="00171999">
      <w:pPr>
        <w:spacing w:line="240" w:lineRule="auto"/>
        <w:jc w:val="both"/>
      </w:pPr>
    </w:p>
    <w:p w:rsidR="00171999" w:rsidRDefault="00171999" w:rsidP="00171999">
      <w:pPr>
        <w:spacing w:line="240" w:lineRule="auto"/>
        <w:jc w:val="both"/>
      </w:pPr>
      <w:r>
        <w:t xml:space="preserve">If we also allow intramolecular transfer between the individual CEST </w:t>
      </w:r>
      <w:proofErr w:type="gramStart"/>
      <w:r>
        <w:t>pools</w:t>
      </w:r>
      <w:proofErr w:type="gramEnd"/>
      <w:r>
        <w:t xml:space="preserve"> we just</w:t>
      </w:r>
      <w:r w:rsidR="00693F42">
        <w:t xml:space="preserve"> get more off-diagonal elements. For example, in the following matrix we allow a path from pool b to pool c:</w:t>
      </w:r>
    </w:p>
    <w:p w:rsidR="00171999" w:rsidRDefault="00693F42" w:rsidP="00171999">
      <w:pPr>
        <w:spacing w:line="240" w:lineRule="auto"/>
        <w:jc w:val="both"/>
      </w:pPr>
      <w:r w:rsidRPr="00171999">
        <w:rPr>
          <w:position w:val="-86"/>
        </w:rPr>
        <w:object w:dxaOrig="7060" w:dyaOrig="1840">
          <v:shape id="_x0000_i1465" type="#_x0000_t75" style="width:353.25pt;height:92.25pt" o:ole="">
            <v:imagedata r:id="rId39" o:title=""/>
          </v:shape>
          <o:OLEObject Type="Embed" ProgID="Equation.3" ShapeID="_x0000_i1465" DrawAspect="Content" ObjectID="_1526808529" r:id="rId40"/>
        </w:object>
      </w:r>
    </w:p>
    <w:p w:rsidR="00693F42" w:rsidRDefault="00693F42" w:rsidP="00693F42">
      <w:pPr>
        <w:pStyle w:val="berschrift3"/>
        <w:spacing w:line="240" w:lineRule="auto"/>
      </w:pPr>
    </w:p>
    <w:p w:rsidR="00693F42" w:rsidRDefault="00693F42" w:rsidP="00693F42">
      <w:pPr>
        <w:pStyle w:val="berschrift3"/>
        <w:spacing w:line="240" w:lineRule="auto"/>
      </w:pPr>
      <w:r>
        <w:t>Shaped pulses</w:t>
      </w:r>
    </w:p>
    <w:p w:rsidR="00693F42" w:rsidRPr="00693F42" w:rsidRDefault="00693F42" w:rsidP="007659FB">
      <w:pPr>
        <w:spacing w:after="0" w:line="240" w:lineRule="auto"/>
        <w:rPr>
          <w:rFonts w:ascii="Times New Roman" w:hAnsi="Times New Roman"/>
          <w:sz w:val="24"/>
          <w:szCs w:val="24"/>
        </w:rPr>
      </w:pPr>
      <w:r w:rsidRPr="00693F42">
        <w:rPr>
          <w:rFonts w:ascii="Times New Roman" w:hAnsi="Times New Roman"/>
          <w:sz w:val="24"/>
          <w:szCs w:val="24"/>
        </w:rPr>
        <w:t>The model was</w:t>
      </w:r>
      <w:r w:rsidR="007659FB">
        <w:rPr>
          <w:rFonts w:ascii="Times New Roman" w:hAnsi="Times New Roman"/>
          <w:sz w:val="24"/>
          <w:szCs w:val="24"/>
        </w:rPr>
        <w:t xml:space="preserve"> </w:t>
      </w:r>
      <w:r w:rsidRPr="00693F42">
        <w:rPr>
          <w:rFonts w:ascii="Times New Roman" w:hAnsi="Times New Roman"/>
          <w:sz w:val="24"/>
          <w:szCs w:val="24"/>
        </w:rPr>
        <w:t>modified for the case of pulsed saturation, which was</w:t>
      </w:r>
      <w:r w:rsidR="007659FB">
        <w:rPr>
          <w:rFonts w:ascii="Times New Roman" w:hAnsi="Times New Roman"/>
          <w:sz w:val="24"/>
          <w:szCs w:val="24"/>
        </w:rPr>
        <w:t xml:space="preserve"> </w:t>
      </w:r>
      <w:r w:rsidRPr="00693F42">
        <w:rPr>
          <w:rFonts w:ascii="Times New Roman" w:hAnsi="Times New Roman"/>
          <w:sz w:val="24"/>
          <w:szCs w:val="24"/>
        </w:rPr>
        <w:t>achieved by discretization of the RF field according to</w:t>
      </w:r>
      <w:r w:rsidR="007659FB">
        <w:rPr>
          <w:rFonts w:ascii="Times New Roman" w:hAnsi="Times New Roman"/>
          <w:sz w:val="24"/>
          <w:szCs w:val="24"/>
        </w:rPr>
        <w:t xml:space="preserve"> </w:t>
      </w:r>
      <w:r w:rsidRPr="00693F42">
        <w:rPr>
          <w:rFonts w:ascii="Times New Roman" w:hAnsi="Times New Roman"/>
          <w:sz w:val="24"/>
          <w:szCs w:val="24"/>
        </w:rPr>
        <w:t xml:space="preserve">the time course of the saturation pulse. </w:t>
      </w:r>
      <w:r w:rsidR="007659FB">
        <w:rPr>
          <w:rFonts w:ascii="Times New Roman" w:hAnsi="Times New Roman"/>
          <w:sz w:val="24"/>
          <w:szCs w:val="24"/>
        </w:rPr>
        <w:t>In principle, this is also done at the MRI scanner by the analog sampling of the pulse. We use 200 steps to divide a shaped pulse. If the pulse has a high dynamic, this can lead to sidebands in simulated Z-spectra and thus discretization must be increased in the simulation.</w:t>
      </w:r>
    </w:p>
    <w:p w:rsidR="00693F42" w:rsidRDefault="00693F42" w:rsidP="00171999">
      <w:pPr>
        <w:spacing w:line="240" w:lineRule="auto"/>
        <w:jc w:val="both"/>
      </w:pPr>
    </w:p>
    <w:p w:rsidR="007659FB" w:rsidRDefault="007659FB" w:rsidP="007659FB">
      <w:pPr>
        <w:pStyle w:val="berschrift3"/>
        <w:spacing w:line="240" w:lineRule="auto"/>
      </w:pPr>
      <w:r>
        <w:t>Pseudo Code</w:t>
      </w:r>
    </w:p>
    <w:p w:rsidR="007659FB" w:rsidRPr="007659FB" w:rsidRDefault="007659FB" w:rsidP="007659FB"/>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FF"/>
          <w:sz w:val="20"/>
          <w:szCs w:val="20"/>
        </w:rPr>
        <w:t>function</w:t>
      </w:r>
      <w:r>
        <w:rPr>
          <w:rFonts w:ascii="Courier New" w:eastAsiaTheme="minorHAnsi" w:hAnsi="Courier New" w:cs="Courier New"/>
          <w:color w:val="000000"/>
          <w:sz w:val="20"/>
          <w:szCs w:val="20"/>
        </w:rPr>
        <w:t xml:space="preserve"> Z</w:t>
      </w:r>
      <w:r>
        <w:rPr>
          <w:rFonts w:ascii="Courier New" w:eastAsiaTheme="minorHAnsi" w:hAnsi="Courier New" w:cs="Courier New"/>
          <w:color w:val="000000"/>
          <w:sz w:val="20"/>
          <w:szCs w:val="20"/>
        </w:rPr>
        <w:t xml:space="preserve"> = NUMERIC_SIM(Sim)</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p>
    <w:p w:rsidR="007659FB" w:rsidRPr="007659FB" w:rsidRDefault="007659FB" w:rsidP="007659FB">
      <w:pPr>
        <w:autoSpaceDE w:val="0"/>
        <w:autoSpaceDN w:val="0"/>
        <w:adjustRightInd w:val="0"/>
        <w:spacing w:after="0" w:line="240" w:lineRule="auto"/>
        <w:rPr>
          <w:rFonts w:ascii="Courier New" w:eastAsiaTheme="minorHAnsi" w:hAnsi="Courier New" w:cs="Courier New"/>
          <w:color w:val="228B22"/>
          <w:sz w:val="20"/>
          <w:szCs w:val="20"/>
        </w:rPr>
      </w:pPr>
      <w:r w:rsidRPr="007659FB">
        <w:rPr>
          <w:rFonts w:ascii="Courier New" w:eastAsiaTheme="minorHAnsi" w:hAnsi="Courier New" w:cs="Courier New"/>
          <w:color w:val="228B22"/>
          <w:sz w:val="20"/>
          <w:szCs w:val="20"/>
        </w:rPr>
        <w:t>%thermal Magnetization</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y0 = [0 0 0 0 0 0 0 0 0 0 0 0 </w:t>
      </w:r>
      <w:proofErr w:type="spellStart"/>
      <w:r>
        <w:rPr>
          <w:rFonts w:ascii="Courier New" w:eastAsiaTheme="minorHAnsi" w:hAnsi="Courier New" w:cs="Courier New"/>
          <w:color w:val="000000"/>
          <w:sz w:val="20"/>
          <w:szCs w:val="20"/>
        </w:rPr>
        <w:t>Sim.fA</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Sim.fB</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Sim.fC</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Sim.fD</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Sim.fE</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Sim.fF</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Sim.fG</w:t>
      </w:r>
      <w:proofErr w:type="spellEnd"/>
      <w:r>
        <w:rPr>
          <w:rFonts w:ascii="Courier New" w:eastAsiaTheme="minorHAnsi" w:hAnsi="Courier New" w:cs="Courier New"/>
          <w:color w:val="000000"/>
          <w:sz w:val="20"/>
          <w:szCs w:val="20"/>
        </w:rPr>
        <w:t>];</w:t>
      </w:r>
    </w:p>
    <w:p w:rsidR="007659FB" w:rsidRDefault="007659FB" w:rsidP="007659FB">
      <w:pPr>
        <w:autoSpaceDE w:val="0"/>
        <w:autoSpaceDN w:val="0"/>
        <w:adjustRightInd w:val="0"/>
        <w:spacing w:after="0" w:line="240" w:lineRule="auto"/>
        <w:rPr>
          <w:rFonts w:ascii="Courier New" w:eastAsiaTheme="minorHAnsi" w:hAnsi="Courier New" w:cs="Courier New"/>
          <w:color w:val="000000"/>
          <w:sz w:val="20"/>
          <w:szCs w:val="20"/>
        </w:rPr>
      </w:pPr>
    </w:p>
    <w:p w:rsidR="007659FB" w:rsidRPr="007659FB" w:rsidRDefault="007659FB" w:rsidP="007659FB">
      <w:pPr>
        <w:autoSpaceDE w:val="0"/>
        <w:autoSpaceDN w:val="0"/>
        <w:adjustRightInd w:val="0"/>
        <w:spacing w:after="0" w:line="240" w:lineRule="auto"/>
        <w:rPr>
          <w:rFonts w:ascii="Courier New" w:eastAsiaTheme="minorHAnsi" w:hAnsi="Courier New" w:cs="Courier New"/>
          <w:color w:val="228B22"/>
          <w:sz w:val="20"/>
          <w:szCs w:val="20"/>
        </w:rPr>
      </w:pPr>
      <w:r w:rsidRPr="007659FB">
        <w:rPr>
          <w:rFonts w:ascii="Courier New" w:eastAsiaTheme="minorHAnsi" w:hAnsi="Courier New" w:cs="Courier New"/>
          <w:color w:val="228B22"/>
          <w:sz w:val="20"/>
          <w:szCs w:val="20"/>
        </w:rPr>
        <w:t>%</w:t>
      </w:r>
      <w:r>
        <w:rPr>
          <w:rFonts w:ascii="Courier New" w:eastAsiaTheme="minorHAnsi" w:hAnsi="Courier New" w:cs="Courier New"/>
          <w:color w:val="228B22"/>
          <w:sz w:val="20"/>
          <w:szCs w:val="20"/>
        </w:rPr>
        <w:t>parameters in x0</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x0 = </w:t>
      </w:r>
      <w:proofErr w:type="gramStart"/>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Sim.FREQ</w:t>
      </w:r>
      <w:proofErr w:type="spellEnd"/>
      <w:proofErr w:type="gramEnd"/>
      <w:r>
        <w:rPr>
          <w:rFonts w:ascii="Courier New" w:eastAsiaTheme="minorHAnsi" w:hAnsi="Courier New" w:cs="Courier New"/>
          <w:color w:val="000000"/>
          <w:sz w:val="20"/>
          <w:szCs w:val="20"/>
        </w:rPr>
        <w:t xml:space="preserve">      Sim.B1        Sim.MT        </w:t>
      </w:r>
      <w:proofErr w:type="spellStart"/>
      <w:r>
        <w:rPr>
          <w:rFonts w:ascii="Courier New" w:eastAsiaTheme="minorHAnsi" w:hAnsi="Courier New" w:cs="Courier New"/>
          <w:color w:val="000000"/>
          <w:sz w:val="20"/>
          <w:szCs w:val="20"/>
        </w:rPr>
        <w:t>Sim.n_cest_pool</w:t>
      </w:r>
      <w:proofErr w:type="spellEnd"/>
      <w:r>
        <w:rPr>
          <w:rFonts w:ascii="Courier New" w:eastAsiaTheme="minorHAnsi" w:hAnsi="Courier New" w:cs="Courier New"/>
          <w:color w:val="000000"/>
          <w:sz w:val="20"/>
          <w:szCs w:val="20"/>
        </w:rPr>
        <w:t xml:space="preserve">   0           0           0           0;</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Sim.dwA</w:t>
      </w:r>
      <w:proofErr w:type="spellEnd"/>
      <w:r>
        <w:rPr>
          <w:rFonts w:ascii="Courier New" w:eastAsiaTheme="minorHAnsi" w:hAnsi="Courier New" w:cs="Courier New"/>
          <w:color w:val="000000"/>
          <w:sz w:val="20"/>
          <w:szCs w:val="20"/>
        </w:rPr>
        <w:t xml:space="preserve">       0             Sim.R1A       Sim.R2A           0           0           0           0;</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Sim.dwB</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Sim.kBA</w:t>
      </w:r>
      <w:proofErr w:type="spellEnd"/>
      <w:r>
        <w:rPr>
          <w:rFonts w:ascii="Courier New" w:eastAsiaTheme="minorHAnsi" w:hAnsi="Courier New" w:cs="Courier New"/>
          <w:color w:val="000000"/>
          <w:sz w:val="20"/>
          <w:szCs w:val="20"/>
        </w:rPr>
        <w:t xml:space="preserve">       Sim.R1B       Sim.R2B           </w:t>
      </w:r>
      <w:proofErr w:type="spellStart"/>
      <w:r>
        <w:rPr>
          <w:rFonts w:ascii="Courier New" w:eastAsiaTheme="minorHAnsi" w:hAnsi="Courier New" w:cs="Courier New"/>
          <w:color w:val="000000"/>
          <w:sz w:val="20"/>
          <w:szCs w:val="20"/>
        </w:rPr>
        <w:t>Sim.kBD</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Sim.kBE</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Sim.kBF</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Sim.kBG</w:t>
      </w:r>
      <w:proofErr w:type="spellEnd"/>
      <w:r>
        <w:rPr>
          <w:rFonts w:ascii="Courier New" w:eastAsiaTheme="minorHAnsi" w:hAnsi="Courier New" w:cs="Courier New"/>
          <w:color w:val="000000"/>
          <w:sz w:val="20"/>
          <w:szCs w:val="20"/>
        </w:rPr>
        <w:t>;</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Sim.dwC</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Sim.kCA</w:t>
      </w:r>
      <w:proofErr w:type="spellEnd"/>
      <w:r>
        <w:rPr>
          <w:rFonts w:ascii="Courier New" w:eastAsiaTheme="minorHAnsi" w:hAnsi="Courier New" w:cs="Courier New"/>
          <w:color w:val="000000"/>
          <w:sz w:val="20"/>
          <w:szCs w:val="20"/>
        </w:rPr>
        <w:t xml:space="preserve">       Sim.R1C       Sim.R2C           0           0           0           0;</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Sim.dwD</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Sim.kDA</w:t>
      </w:r>
      <w:proofErr w:type="spellEnd"/>
      <w:r>
        <w:rPr>
          <w:rFonts w:ascii="Courier New" w:eastAsiaTheme="minorHAnsi" w:hAnsi="Courier New" w:cs="Courier New"/>
          <w:color w:val="000000"/>
          <w:sz w:val="20"/>
          <w:szCs w:val="20"/>
        </w:rPr>
        <w:t xml:space="preserve">       Sim.R1D       Sim.R2D           0           </w:t>
      </w:r>
      <w:proofErr w:type="spellStart"/>
      <w:r>
        <w:rPr>
          <w:rFonts w:ascii="Courier New" w:eastAsiaTheme="minorHAnsi" w:hAnsi="Courier New" w:cs="Courier New"/>
          <w:color w:val="000000"/>
          <w:sz w:val="20"/>
          <w:szCs w:val="20"/>
        </w:rPr>
        <w:t>Sim.kDE</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Sim.kDF</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Sim.kDG</w:t>
      </w:r>
      <w:proofErr w:type="spellEnd"/>
      <w:r>
        <w:rPr>
          <w:rFonts w:ascii="Courier New" w:eastAsiaTheme="minorHAnsi" w:hAnsi="Courier New" w:cs="Courier New"/>
          <w:color w:val="000000"/>
          <w:sz w:val="20"/>
          <w:szCs w:val="20"/>
        </w:rPr>
        <w:t>;</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Sim.dwE</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Sim.kEA</w:t>
      </w:r>
      <w:proofErr w:type="spellEnd"/>
      <w:r>
        <w:rPr>
          <w:rFonts w:ascii="Courier New" w:eastAsiaTheme="minorHAnsi" w:hAnsi="Courier New" w:cs="Courier New"/>
          <w:color w:val="000000"/>
          <w:sz w:val="20"/>
          <w:szCs w:val="20"/>
        </w:rPr>
        <w:t xml:space="preserve">       Sim.R1E       Sim.R2E           0           0           </w:t>
      </w:r>
      <w:proofErr w:type="spellStart"/>
      <w:r>
        <w:rPr>
          <w:rFonts w:ascii="Courier New" w:eastAsiaTheme="minorHAnsi" w:hAnsi="Courier New" w:cs="Courier New"/>
          <w:color w:val="000000"/>
          <w:sz w:val="20"/>
          <w:szCs w:val="20"/>
        </w:rPr>
        <w:t>Sim.kEF</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Sim.kEG</w:t>
      </w:r>
      <w:proofErr w:type="spellEnd"/>
      <w:r>
        <w:rPr>
          <w:rFonts w:ascii="Courier New" w:eastAsiaTheme="minorHAnsi" w:hAnsi="Courier New" w:cs="Courier New"/>
          <w:color w:val="000000"/>
          <w:sz w:val="20"/>
          <w:szCs w:val="20"/>
        </w:rPr>
        <w:t>;</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Sim.dwF</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Sim.kFA</w:t>
      </w:r>
      <w:proofErr w:type="spellEnd"/>
      <w:r>
        <w:rPr>
          <w:rFonts w:ascii="Courier New" w:eastAsiaTheme="minorHAnsi" w:hAnsi="Courier New" w:cs="Courier New"/>
          <w:color w:val="000000"/>
          <w:sz w:val="20"/>
          <w:szCs w:val="20"/>
        </w:rPr>
        <w:t xml:space="preserve">       Sim.R1F       Sim.R2F           0           0           0           </w:t>
      </w:r>
      <w:proofErr w:type="spellStart"/>
      <w:r>
        <w:rPr>
          <w:rFonts w:ascii="Courier New" w:eastAsiaTheme="minorHAnsi" w:hAnsi="Courier New" w:cs="Courier New"/>
          <w:color w:val="000000"/>
          <w:sz w:val="20"/>
          <w:szCs w:val="20"/>
        </w:rPr>
        <w:t>Sim.kFG</w:t>
      </w:r>
      <w:proofErr w:type="spellEnd"/>
      <w:r>
        <w:rPr>
          <w:rFonts w:ascii="Courier New" w:eastAsiaTheme="minorHAnsi" w:hAnsi="Courier New" w:cs="Courier New"/>
          <w:color w:val="000000"/>
          <w:sz w:val="20"/>
          <w:szCs w:val="20"/>
        </w:rPr>
        <w:t>;</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Sim.dwG</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Sim.kGA</w:t>
      </w:r>
      <w:proofErr w:type="spellEnd"/>
      <w:r>
        <w:rPr>
          <w:rFonts w:ascii="Courier New" w:eastAsiaTheme="minorHAnsi" w:hAnsi="Courier New" w:cs="Courier New"/>
          <w:color w:val="000000"/>
          <w:sz w:val="20"/>
          <w:szCs w:val="20"/>
        </w:rPr>
        <w:t xml:space="preserve">       Sim.R1G       Sim.R2G           0           0           0           0</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x0(1,2) = </w:t>
      </w:r>
      <w:proofErr w:type="gramStart"/>
      <w:r>
        <w:rPr>
          <w:rFonts w:ascii="Courier New" w:eastAsiaTheme="minorHAnsi" w:hAnsi="Courier New" w:cs="Courier New"/>
          <w:color w:val="000000"/>
          <w:sz w:val="20"/>
          <w:szCs w:val="20"/>
        </w:rPr>
        <w:t xml:space="preserve">0;   </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 set B1 to zero</w:t>
      </w:r>
    </w:p>
    <w:p w:rsidR="007659FB" w:rsidRDefault="007659FB" w:rsidP="007659FB">
      <w:pPr>
        <w:autoSpaceDE w:val="0"/>
        <w:autoSpaceDN w:val="0"/>
        <w:adjustRightInd w:val="0"/>
        <w:spacing w:after="0" w:line="240" w:lineRule="auto"/>
        <w:rPr>
          <w:rFonts w:ascii="Courier New" w:eastAsiaTheme="minorHAnsi" w:hAnsi="Courier New" w:cs="Courier New"/>
          <w:color w:val="228B22"/>
          <w:sz w:val="20"/>
          <w:szCs w:val="20"/>
        </w:rPr>
      </w:pPr>
      <w:r>
        <w:rPr>
          <w:rFonts w:ascii="Courier New" w:eastAsiaTheme="minorHAnsi" w:hAnsi="Courier New" w:cs="Courier New"/>
          <w:color w:val="000000"/>
          <w:sz w:val="20"/>
          <w:szCs w:val="20"/>
        </w:rPr>
        <w:t>x00=x</w:t>
      </w:r>
      <w:proofErr w:type="gramStart"/>
      <w:r>
        <w:rPr>
          <w:rFonts w:ascii="Courier New" w:eastAsiaTheme="minorHAnsi" w:hAnsi="Courier New" w:cs="Courier New"/>
          <w:color w:val="000000"/>
          <w:sz w:val="20"/>
          <w:szCs w:val="20"/>
        </w:rPr>
        <w:t xml:space="preserve">0;   </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 copy parameter</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xml:space="preserve">%% MV is the </w:t>
      </w:r>
      <w:proofErr w:type="spellStart"/>
      <w:r>
        <w:rPr>
          <w:rFonts w:ascii="Courier New" w:eastAsiaTheme="minorHAnsi" w:hAnsi="Courier New" w:cs="Courier New"/>
          <w:color w:val="228B22"/>
          <w:sz w:val="20"/>
          <w:szCs w:val="20"/>
        </w:rPr>
        <w:t>magnetisation</w:t>
      </w:r>
      <w:proofErr w:type="spellEnd"/>
      <w:r>
        <w:rPr>
          <w:rFonts w:ascii="Courier New" w:eastAsiaTheme="minorHAnsi" w:hAnsi="Courier New" w:cs="Courier New"/>
          <w:color w:val="228B22"/>
          <w:sz w:val="20"/>
          <w:szCs w:val="20"/>
        </w:rPr>
        <w:t xml:space="preserve"> vector at all offsets</w:t>
      </w:r>
      <w:r>
        <w:rPr>
          <w:rFonts w:ascii="Courier New" w:eastAsiaTheme="minorHAnsi" w:hAnsi="Courier New" w:cs="Courier New"/>
          <w:color w:val="228B22"/>
          <w:sz w:val="20"/>
          <w:szCs w:val="20"/>
        </w:rPr>
        <w:t>; initialization here</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MV_start</w:t>
      </w:r>
      <w:proofErr w:type="spellEnd"/>
      <w:r>
        <w:rPr>
          <w:rFonts w:ascii="Courier New" w:eastAsiaTheme="minorHAnsi" w:hAnsi="Courier New" w:cs="Courier New"/>
          <w:color w:val="000000"/>
          <w:sz w:val="20"/>
          <w:szCs w:val="20"/>
        </w:rPr>
        <w:t xml:space="preserve">    = </w:t>
      </w:r>
      <w:proofErr w:type="spellStart"/>
      <w:proofErr w:type="gramStart"/>
      <w:r>
        <w:rPr>
          <w:rFonts w:ascii="Courier New" w:eastAsiaTheme="minorHAnsi" w:hAnsi="Courier New" w:cs="Courier New"/>
          <w:color w:val="000000"/>
          <w:sz w:val="20"/>
          <w:szCs w:val="20"/>
        </w:rPr>
        <w:t>BMsolution</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x0, </w:t>
      </w:r>
      <w:proofErr w:type="spellStart"/>
      <w:r>
        <w:rPr>
          <w:rFonts w:ascii="Courier New" w:eastAsiaTheme="minorHAnsi" w:hAnsi="Courier New" w:cs="Courier New"/>
          <w:color w:val="000000"/>
          <w:sz w:val="20"/>
          <w:szCs w:val="20"/>
        </w:rPr>
        <w:t>xZspec</w:t>
      </w:r>
      <w:proofErr w:type="spellEnd"/>
      <w:r>
        <w:rPr>
          <w:rFonts w:ascii="Courier New" w:eastAsiaTheme="minorHAnsi" w:hAnsi="Courier New" w:cs="Courier New"/>
          <w:color w:val="000000"/>
          <w:sz w:val="20"/>
          <w:szCs w:val="20"/>
        </w:rPr>
        <w:t>, [0 1], z0, y0);</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MV       = </w:t>
      </w:r>
      <w:proofErr w:type="spellStart"/>
      <w:r>
        <w:rPr>
          <w:rFonts w:ascii="Courier New" w:eastAsiaTheme="minorHAnsi" w:hAnsi="Courier New" w:cs="Courier New"/>
          <w:color w:val="000000"/>
          <w:sz w:val="20"/>
          <w:szCs w:val="20"/>
        </w:rPr>
        <w:t>MV_</w:t>
      </w:r>
      <w:proofErr w:type="gramStart"/>
      <w:r>
        <w:rPr>
          <w:rFonts w:ascii="Courier New" w:eastAsiaTheme="minorHAnsi" w:hAnsi="Courier New" w:cs="Courier New"/>
          <w:color w:val="000000"/>
          <w:sz w:val="20"/>
          <w:szCs w:val="20"/>
        </w:rPr>
        <w:t>start</w:t>
      </w:r>
      <w:proofErr w:type="spellEnd"/>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Sim.Zi</w:t>
      </w:r>
      <w:proofErr w:type="spellEnd"/>
      <w:r>
        <w:rPr>
          <w:rFonts w:ascii="Courier New" w:eastAsiaTheme="minorHAnsi" w:hAnsi="Courier New" w:cs="Courier New"/>
          <w:color w:val="000000"/>
          <w:sz w:val="20"/>
          <w:szCs w:val="20"/>
        </w:rPr>
        <w:t>;</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7659FB" w:rsidRDefault="007659FB" w:rsidP="007659FB">
      <w:pPr>
        <w:autoSpaceDE w:val="0"/>
        <w:autoSpaceDN w:val="0"/>
        <w:adjustRightInd w:val="0"/>
        <w:spacing w:after="0" w:line="240" w:lineRule="auto"/>
        <w:rPr>
          <w:rFonts w:ascii="Courier New" w:eastAsiaTheme="minorHAnsi" w:hAnsi="Courier New" w:cs="Courier New"/>
          <w:color w:val="228B22"/>
          <w:sz w:val="20"/>
          <w:szCs w:val="20"/>
        </w:rPr>
      </w:pPr>
      <w:r>
        <w:rPr>
          <w:rFonts w:ascii="Courier New" w:eastAsiaTheme="minorHAnsi" w:hAnsi="Courier New" w:cs="Courier New"/>
          <w:color w:val="000000"/>
          <w:sz w:val="20"/>
          <w:szCs w:val="20"/>
        </w:rPr>
        <w:t xml:space="preserve">[w1 </w:t>
      </w:r>
      <w:proofErr w:type="spellStart"/>
      <w:r>
        <w:rPr>
          <w:rFonts w:ascii="Courier New" w:eastAsiaTheme="minorHAnsi" w:hAnsi="Courier New" w:cs="Courier New"/>
          <w:color w:val="000000"/>
          <w:sz w:val="20"/>
          <w:szCs w:val="20"/>
        </w:rPr>
        <w:t>dphase</w:t>
      </w:r>
      <w:proofErr w:type="spellEnd"/>
      <w:r>
        <w:rPr>
          <w:rFonts w:ascii="Courier New" w:eastAsiaTheme="minorHAnsi" w:hAnsi="Courier New" w:cs="Courier New"/>
          <w:color w:val="000000"/>
          <w:sz w:val="20"/>
          <w:szCs w:val="20"/>
        </w:rPr>
        <w:t xml:space="preserve"> theta B1q] = </w:t>
      </w:r>
      <w:proofErr w:type="spellStart"/>
      <w:r>
        <w:rPr>
          <w:rFonts w:ascii="Courier New" w:eastAsiaTheme="minorHAnsi" w:hAnsi="Courier New" w:cs="Courier New"/>
          <w:color w:val="000000"/>
          <w:sz w:val="20"/>
          <w:szCs w:val="20"/>
        </w:rPr>
        <w:t>RF_</w:t>
      </w:r>
      <w:proofErr w:type="gramStart"/>
      <w:r>
        <w:rPr>
          <w:rFonts w:ascii="Courier New" w:eastAsiaTheme="minorHAnsi" w:hAnsi="Courier New" w:cs="Courier New"/>
          <w:color w:val="000000"/>
          <w:sz w:val="20"/>
          <w:szCs w:val="20"/>
        </w:rPr>
        <w:t>pulse</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Sim, </w:t>
      </w:r>
      <w:proofErr w:type="spellStart"/>
      <w:r>
        <w:rPr>
          <w:rFonts w:ascii="Courier New" w:eastAsiaTheme="minorHAnsi" w:hAnsi="Courier New" w:cs="Courier New"/>
          <w:color w:val="000000"/>
          <w:sz w:val="20"/>
          <w:szCs w:val="20"/>
        </w:rPr>
        <w:t>teile</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000000"/>
          <w:sz w:val="20"/>
          <w:szCs w:val="20"/>
        </w:rPr>
        <w:t xml:space="preserve"> </w:t>
      </w:r>
      <w:r w:rsidRPr="007659FB">
        <w:rPr>
          <w:rFonts w:ascii="Courier New" w:eastAsiaTheme="minorHAnsi" w:hAnsi="Courier New" w:cs="Courier New"/>
          <w:color w:val="228B22"/>
          <w:sz w:val="20"/>
          <w:szCs w:val="20"/>
        </w:rPr>
        <w:t>% the pulse shape gets calculated</w:t>
      </w:r>
    </w:p>
    <w:p w:rsidR="00655D33" w:rsidRDefault="00655D33" w:rsidP="007659FB">
      <w:pPr>
        <w:autoSpaceDE w:val="0"/>
        <w:autoSpaceDN w:val="0"/>
        <w:adjustRightInd w:val="0"/>
        <w:spacing w:after="0" w:line="240" w:lineRule="auto"/>
        <w:rPr>
          <w:rFonts w:ascii="Courier New" w:eastAsiaTheme="minorHAnsi" w:hAnsi="Courier New" w:cs="Courier New"/>
          <w:color w:val="228B22"/>
          <w:sz w:val="20"/>
          <w:szCs w:val="20"/>
        </w:rPr>
      </w:pPr>
    </w:p>
    <w:p w:rsidR="00655D33" w:rsidRDefault="00655D33" w:rsidP="007659FB">
      <w:pPr>
        <w:autoSpaceDE w:val="0"/>
        <w:autoSpaceDN w:val="0"/>
        <w:adjustRightInd w:val="0"/>
        <w:spacing w:after="0" w:line="240" w:lineRule="auto"/>
        <w:rPr>
          <w:rFonts w:ascii="Courier New" w:eastAsiaTheme="minorHAnsi" w:hAnsi="Courier New" w:cs="Courier New"/>
          <w:color w:val="228B22"/>
          <w:sz w:val="20"/>
          <w:szCs w:val="20"/>
        </w:rPr>
      </w:pPr>
    </w:p>
    <w:p w:rsidR="00655D33" w:rsidRDefault="00655D33" w:rsidP="007659FB">
      <w:pPr>
        <w:autoSpaceDE w:val="0"/>
        <w:autoSpaceDN w:val="0"/>
        <w:adjustRightInd w:val="0"/>
        <w:spacing w:after="0" w:line="240" w:lineRule="auto"/>
        <w:rPr>
          <w:rFonts w:ascii="Courier New" w:eastAsiaTheme="minorHAnsi" w:hAnsi="Courier New" w:cs="Courier New"/>
          <w:color w:val="228B22"/>
          <w:sz w:val="20"/>
          <w:szCs w:val="20"/>
        </w:rPr>
      </w:pPr>
    </w:p>
    <w:p w:rsidR="00655D33" w:rsidRDefault="00655D33" w:rsidP="007659FB">
      <w:pPr>
        <w:autoSpaceDE w:val="0"/>
        <w:autoSpaceDN w:val="0"/>
        <w:adjustRightInd w:val="0"/>
        <w:spacing w:after="0" w:line="240" w:lineRule="auto"/>
        <w:rPr>
          <w:rFonts w:ascii="Courier New" w:eastAsiaTheme="minorHAnsi" w:hAnsi="Courier New" w:cs="Courier New"/>
          <w:color w:val="228B22"/>
          <w:sz w:val="20"/>
          <w:szCs w:val="20"/>
        </w:rPr>
      </w:pPr>
    </w:p>
    <w:p w:rsidR="00655D33" w:rsidRDefault="00655D33" w:rsidP="007659FB">
      <w:pPr>
        <w:autoSpaceDE w:val="0"/>
        <w:autoSpaceDN w:val="0"/>
        <w:adjustRightInd w:val="0"/>
        <w:spacing w:after="0" w:line="240" w:lineRule="auto"/>
        <w:rPr>
          <w:rFonts w:ascii="Courier New" w:eastAsiaTheme="minorHAnsi" w:hAnsi="Courier New" w:cs="Courier New"/>
          <w:color w:val="228B22"/>
          <w:sz w:val="20"/>
          <w:szCs w:val="20"/>
        </w:rPr>
      </w:pPr>
    </w:p>
    <w:p w:rsidR="00655D33" w:rsidRPr="007659FB" w:rsidRDefault="00655D33" w:rsidP="007659FB">
      <w:pPr>
        <w:autoSpaceDE w:val="0"/>
        <w:autoSpaceDN w:val="0"/>
        <w:adjustRightInd w:val="0"/>
        <w:spacing w:after="0" w:line="240" w:lineRule="auto"/>
        <w:rPr>
          <w:rFonts w:ascii="Courier New" w:eastAsiaTheme="minorHAnsi" w:hAnsi="Courier New" w:cs="Courier New"/>
          <w:color w:val="228B22"/>
          <w:sz w:val="20"/>
          <w:szCs w:val="20"/>
        </w:rPr>
      </w:pPr>
    </w:p>
    <w:p w:rsidR="007659FB" w:rsidRDefault="007659FB" w:rsidP="007659FB">
      <w:pPr>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w:t>
      </w:r>
    </w:p>
    <w:p w:rsidR="00655D33" w:rsidRPr="00655D33" w:rsidRDefault="00655D33" w:rsidP="007659FB">
      <w:pPr>
        <w:autoSpaceDE w:val="0"/>
        <w:autoSpaceDN w:val="0"/>
        <w:adjustRightInd w:val="0"/>
        <w:spacing w:after="0" w:line="240" w:lineRule="auto"/>
        <w:rPr>
          <w:rFonts w:ascii="Courier New" w:eastAsiaTheme="minorHAnsi" w:hAnsi="Courier New" w:cs="Courier New"/>
          <w:b/>
          <w:color w:val="0000FF"/>
          <w:sz w:val="24"/>
          <w:szCs w:val="20"/>
        </w:rPr>
      </w:pPr>
      <w:r w:rsidRPr="00655D33">
        <w:rPr>
          <w:rFonts w:ascii="Courier New" w:eastAsiaTheme="minorHAnsi" w:hAnsi="Courier New" w:cs="Courier New"/>
          <w:b/>
          <w:color w:val="228B22"/>
          <w:sz w:val="24"/>
          <w:szCs w:val="20"/>
        </w:rPr>
        <w:lastRenderedPageBreak/>
        <w:t xml:space="preserve">% XXXXXXXXXXXXXXXXXXXXXX </w:t>
      </w:r>
      <w:r w:rsidRPr="00655D33">
        <w:rPr>
          <w:rFonts w:ascii="Courier New" w:eastAsiaTheme="minorHAnsi" w:hAnsi="Courier New" w:cs="Courier New"/>
          <w:b/>
          <w:color w:val="228B22"/>
          <w:sz w:val="24"/>
          <w:szCs w:val="20"/>
        </w:rPr>
        <w:t xml:space="preserve">MAIN </w:t>
      </w:r>
      <w:proofErr w:type="gramStart"/>
      <w:r w:rsidRPr="00655D33">
        <w:rPr>
          <w:rFonts w:ascii="Courier New" w:eastAsiaTheme="minorHAnsi" w:hAnsi="Courier New" w:cs="Courier New"/>
          <w:b/>
          <w:color w:val="228B22"/>
          <w:sz w:val="24"/>
          <w:szCs w:val="20"/>
        </w:rPr>
        <w:t xml:space="preserve">LOOP  </w:t>
      </w:r>
      <w:r w:rsidRPr="00655D33">
        <w:rPr>
          <w:rFonts w:ascii="Courier New" w:eastAsiaTheme="minorHAnsi" w:hAnsi="Courier New" w:cs="Courier New"/>
          <w:b/>
          <w:color w:val="228B22"/>
          <w:sz w:val="24"/>
          <w:szCs w:val="20"/>
        </w:rPr>
        <w:t>XXXXXXXXXXXXXXXXXXXXXX</w:t>
      </w:r>
      <w:proofErr w:type="gramEnd"/>
      <w:r w:rsidRPr="00655D33">
        <w:rPr>
          <w:rFonts w:ascii="Courier New" w:eastAsiaTheme="minorHAnsi" w:hAnsi="Courier New" w:cs="Courier New"/>
          <w:b/>
          <w:color w:val="0000FF"/>
          <w:sz w:val="24"/>
          <w:szCs w:val="20"/>
        </w:rPr>
        <w:t xml:space="preserve"> </w:t>
      </w:r>
    </w:p>
    <w:p w:rsidR="007659FB" w:rsidRDefault="007659FB" w:rsidP="007659FB">
      <w:pPr>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FF"/>
          <w:sz w:val="20"/>
          <w:szCs w:val="20"/>
        </w:rPr>
        <w:t>for</w:t>
      </w: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dd</w:t>
      </w:r>
      <w:proofErr w:type="spellEnd"/>
      <w:r>
        <w:rPr>
          <w:rFonts w:ascii="Courier New" w:eastAsiaTheme="minorHAnsi" w:hAnsi="Courier New" w:cs="Courier New"/>
          <w:color w:val="000000"/>
          <w:sz w:val="20"/>
          <w:szCs w:val="20"/>
        </w:rPr>
        <w:t>=</w:t>
      </w:r>
      <w:proofErr w:type="gramStart"/>
      <w:r>
        <w:rPr>
          <w:rFonts w:ascii="Courier New" w:eastAsiaTheme="minorHAnsi" w:hAnsi="Courier New" w:cs="Courier New"/>
          <w:color w:val="000000"/>
          <w:sz w:val="20"/>
          <w:szCs w:val="20"/>
        </w:rPr>
        <w:t>1:Sim.dummies</w:t>
      </w:r>
      <w:proofErr w:type="gramEnd"/>
    </w:p>
    <w:p w:rsidR="00655D33" w:rsidRDefault="00655D33" w:rsidP="007659FB">
      <w:pPr>
        <w:autoSpaceDE w:val="0"/>
        <w:autoSpaceDN w:val="0"/>
        <w:adjustRightInd w:val="0"/>
        <w:spacing w:after="0" w:line="240" w:lineRule="auto"/>
        <w:rPr>
          <w:rFonts w:ascii="Courier New" w:eastAsiaTheme="minorHAnsi" w:hAnsi="Courier New" w:cs="Courier New"/>
          <w:color w:val="0000FF"/>
          <w:sz w:val="20"/>
          <w:szCs w:val="20"/>
        </w:rPr>
      </w:pPr>
      <w:r>
        <w:rPr>
          <w:rFonts w:ascii="Courier New" w:eastAsiaTheme="minorHAnsi" w:hAnsi="Courier New" w:cs="Courier New"/>
          <w:color w:val="000000"/>
          <w:sz w:val="20"/>
          <w:szCs w:val="20"/>
        </w:rPr>
        <w:t xml:space="preserve">    </w:t>
      </w:r>
    </w:p>
    <w:p w:rsidR="007659FB" w:rsidRDefault="007E7813" w:rsidP="007659FB">
      <w:pPr>
        <w:autoSpaceDE w:val="0"/>
        <w:autoSpaceDN w:val="0"/>
        <w:adjustRightInd w:val="0"/>
        <w:spacing w:after="0" w:line="240" w:lineRule="auto"/>
        <w:rPr>
          <w:rFonts w:ascii="Courier New" w:eastAsiaTheme="minorHAnsi" w:hAnsi="Courier New" w:cs="Courier New"/>
          <w:color w:val="0000FF"/>
          <w:sz w:val="20"/>
          <w:szCs w:val="20"/>
        </w:rPr>
      </w:pPr>
      <w:r>
        <w:rPr>
          <w:rFonts w:ascii="Courier New" w:eastAsiaTheme="minorHAnsi" w:hAnsi="Courier New" w:cs="Courier New"/>
          <w:color w:val="0000FF"/>
          <w:sz w:val="20"/>
          <w:szCs w:val="20"/>
        </w:rPr>
        <w:t xml:space="preserve">    </w:t>
      </w:r>
      <w:r w:rsidR="007659FB">
        <w:rPr>
          <w:rFonts w:ascii="Courier New" w:eastAsiaTheme="minorHAnsi" w:hAnsi="Courier New" w:cs="Courier New"/>
          <w:color w:val="0000FF"/>
          <w:sz w:val="20"/>
          <w:szCs w:val="20"/>
        </w:rPr>
        <w:t>SIMULATE_READOUT;</w:t>
      </w:r>
    </w:p>
    <w:p w:rsidR="007659FB" w:rsidRDefault="007659FB" w:rsidP="007659FB">
      <w:pPr>
        <w:autoSpaceDE w:val="0"/>
        <w:autoSpaceDN w:val="0"/>
        <w:adjustRightInd w:val="0"/>
        <w:spacing w:after="0" w:line="240" w:lineRule="auto"/>
        <w:rPr>
          <w:rFonts w:ascii="Courier New" w:eastAsiaTheme="minorHAnsi" w:hAnsi="Courier New" w:cs="Courier New"/>
          <w:color w:val="0000FF"/>
          <w:sz w:val="20"/>
          <w:szCs w:val="20"/>
        </w:rPr>
      </w:pPr>
    </w:p>
    <w:p w:rsidR="007659FB" w:rsidRDefault="007E7813"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FF"/>
          <w:sz w:val="20"/>
          <w:szCs w:val="20"/>
        </w:rPr>
        <w:t xml:space="preserve">    </w:t>
      </w:r>
      <w:r w:rsidR="007659FB">
        <w:rPr>
          <w:rFonts w:ascii="Courier New" w:eastAsiaTheme="minorHAnsi" w:hAnsi="Courier New" w:cs="Courier New"/>
          <w:color w:val="0000FF"/>
          <w:sz w:val="20"/>
          <w:szCs w:val="20"/>
        </w:rPr>
        <w:t>SIMULATE-RECOVERY_AFTER_READOUT</w:t>
      </w:r>
      <w:r w:rsidR="007659FB">
        <w:rPr>
          <w:rFonts w:ascii="Courier New" w:eastAsiaTheme="minorHAnsi" w:hAnsi="Courier New" w:cs="Courier New"/>
          <w:color w:val="000000"/>
          <w:sz w:val="20"/>
          <w:szCs w:val="20"/>
        </w:rPr>
        <w:t xml:space="preserve">        </w:t>
      </w:r>
    </w:p>
    <w:p w:rsidR="007659FB" w:rsidRDefault="007E7813"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xml:space="preserve">    </w:t>
      </w:r>
    </w:p>
    <w:p w:rsidR="007659FB" w:rsidRDefault="007659FB" w:rsidP="007659FB">
      <w:pPr>
        <w:autoSpaceDE w:val="0"/>
        <w:autoSpaceDN w:val="0"/>
        <w:adjustRightInd w:val="0"/>
        <w:spacing w:after="0" w:line="240" w:lineRule="auto"/>
        <w:rPr>
          <w:rFonts w:ascii="Courier New" w:eastAsiaTheme="minorHAnsi" w:hAnsi="Courier New" w:cs="Courier New"/>
          <w:color w:val="228B22"/>
          <w:sz w:val="20"/>
          <w:szCs w:val="20"/>
        </w:rPr>
      </w:pPr>
      <w:r>
        <w:rPr>
          <w:rFonts w:ascii="Courier New" w:eastAsiaTheme="minorHAnsi" w:hAnsi="Courier New" w:cs="Courier New"/>
          <w:color w:val="000000"/>
          <w:sz w:val="20"/>
          <w:szCs w:val="20"/>
        </w:rPr>
        <w:t xml:space="preserve">    </w:t>
      </w:r>
      <w:r>
        <w:rPr>
          <w:rFonts w:ascii="Courier New" w:eastAsiaTheme="minorHAnsi" w:hAnsi="Courier New" w:cs="Courier New"/>
          <w:color w:val="0000FF"/>
          <w:sz w:val="20"/>
          <w:szCs w:val="20"/>
        </w:rPr>
        <w:t>for</w:t>
      </w:r>
      <w:r w:rsidR="007E7813">
        <w:rPr>
          <w:rFonts w:ascii="Courier New" w:eastAsiaTheme="minorHAnsi" w:hAnsi="Courier New" w:cs="Courier New"/>
          <w:color w:val="000000"/>
          <w:sz w:val="20"/>
          <w:szCs w:val="20"/>
        </w:rPr>
        <w:t xml:space="preserve"> </w:t>
      </w:r>
      <w:proofErr w:type="spellStart"/>
      <w:r w:rsidR="007E7813">
        <w:rPr>
          <w:rFonts w:ascii="Courier New" w:eastAsiaTheme="minorHAnsi" w:hAnsi="Courier New" w:cs="Courier New"/>
          <w:color w:val="000000"/>
          <w:sz w:val="20"/>
          <w:szCs w:val="20"/>
        </w:rPr>
        <w:t>jj</w:t>
      </w:r>
      <w:proofErr w:type="spellEnd"/>
      <w:r w:rsidR="007E7813">
        <w:rPr>
          <w:rFonts w:ascii="Courier New" w:eastAsiaTheme="minorHAnsi" w:hAnsi="Courier New" w:cs="Courier New"/>
          <w:color w:val="000000"/>
          <w:sz w:val="20"/>
          <w:szCs w:val="20"/>
        </w:rPr>
        <w:t>=</w:t>
      </w:r>
      <w:proofErr w:type="gramStart"/>
      <w:r w:rsidR="007E7813">
        <w:rPr>
          <w:rFonts w:ascii="Courier New" w:eastAsiaTheme="minorHAnsi" w:hAnsi="Courier New" w:cs="Courier New"/>
          <w:color w:val="000000"/>
          <w:sz w:val="20"/>
          <w:szCs w:val="20"/>
        </w:rPr>
        <w:t>1:fix</w:t>
      </w:r>
      <w:proofErr w:type="gramEnd"/>
      <w:r w:rsidR="007E7813">
        <w:rPr>
          <w:rFonts w:ascii="Courier New" w:eastAsiaTheme="minorHAnsi" w:hAnsi="Courier New" w:cs="Courier New"/>
          <w:color w:val="000000"/>
          <w:sz w:val="20"/>
          <w:szCs w:val="20"/>
        </w:rPr>
        <w:t>(</w:t>
      </w:r>
      <w:proofErr w:type="spellStart"/>
      <w:r w:rsidR="007E7813">
        <w:rPr>
          <w:rFonts w:ascii="Courier New" w:eastAsiaTheme="minorHAnsi" w:hAnsi="Courier New" w:cs="Courier New"/>
          <w:color w:val="000000"/>
          <w:sz w:val="20"/>
          <w:szCs w:val="20"/>
        </w:rPr>
        <w:t>Sin.n</w:t>
      </w:r>
      <w:proofErr w:type="spellEnd"/>
      <w:r>
        <w:rPr>
          <w:rFonts w:ascii="Courier New" w:eastAsiaTheme="minorHAnsi" w:hAnsi="Courier New" w:cs="Courier New"/>
          <w:color w:val="000000"/>
          <w:sz w:val="20"/>
          <w:szCs w:val="20"/>
        </w:rPr>
        <w:t>)</w:t>
      </w:r>
      <w:r w:rsidR="007E7813">
        <w:rPr>
          <w:rFonts w:ascii="Courier New" w:eastAsiaTheme="minorHAnsi" w:hAnsi="Courier New" w:cs="Courier New"/>
          <w:color w:val="000000"/>
          <w:sz w:val="20"/>
          <w:szCs w:val="20"/>
        </w:rPr>
        <w:t xml:space="preserve"> </w:t>
      </w:r>
      <w:r w:rsidR="007E7813">
        <w:rPr>
          <w:rFonts w:ascii="Courier New" w:eastAsiaTheme="minorHAnsi" w:hAnsi="Courier New" w:cs="Courier New"/>
          <w:color w:val="228B22"/>
          <w:sz w:val="20"/>
          <w:szCs w:val="20"/>
        </w:rPr>
        <w:t xml:space="preserve">% </w:t>
      </w:r>
      <w:r w:rsidR="007E7813">
        <w:rPr>
          <w:rFonts w:ascii="Courier New" w:eastAsiaTheme="minorHAnsi" w:hAnsi="Courier New" w:cs="Courier New"/>
          <w:color w:val="228B22"/>
          <w:sz w:val="20"/>
          <w:szCs w:val="20"/>
        </w:rPr>
        <w:t>pulse train loop</w:t>
      </w:r>
      <w:r w:rsidR="00655D33">
        <w:rPr>
          <w:rFonts w:ascii="Courier New" w:eastAsiaTheme="minorHAnsi" w:hAnsi="Courier New" w:cs="Courier New"/>
          <w:color w:val="228B22"/>
          <w:sz w:val="20"/>
          <w:szCs w:val="20"/>
        </w:rPr>
        <w:t xml:space="preserve"> or LTM loop</w:t>
      </w:r>
    </w:p>
    <w:p w:rsidR="00655D33" w:rsidRDefault="00655D33" w:rsidP="007659FB">
      <w:pPr>
        <w:autoSpaceDE w:val="0"/>
        <w:autoSpaceDN w:val="0"/>
        <w:adjustRightInd w:val="0"/>
        <w:spacing w:after="0" w:line="240" w:lineRule="auto"/>
        <w:rPr>
          <w:rFonts w:ascii="Courier New" w:eastAsiaTheme="minorHAnsi" w:hAnsi="Courier New" w:cs="Courier New"/>
          <w:color w:val="228B22"/>
          <w:sz w:val="20"/>
          <w:szCs w:val="20"/>
        </w:rPr>
      </w:pPr>
    </w:p>
    <w:p w:rsidR="00655D33" w:rsidRDefault="00655D33" w:rsidP="00655D3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 XXXXXXXXXXXXXXXXXXXXXX PAUSE / TRANSFER XXXXXXXXXXXXXXXXXXXXXX</w:t>
      </w:r>
    </w:p>
    <w:p w:rsidR="00655D33" w:rsidRDefault="00655D33" w:rsidP="00655D3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655D33" w:rsidRDefault="00655D33" w:rsidP="00655D3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 never start with a pause</w:t>
      </w:r>
    </w:p>
    <w:p w:rsidR="00655D33" w:rsidRDefault="00655D33" w:rsidP="00655D3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r>
        <w:rPr>
          <w:rFonts w:ascii="Courier New" w:eastAsiaTheme="minorHAnsi" w:hAnsi="Courier New" w:cs="Courier New"/>
          <w:color w:val="0000FF"/>
          <w:sz w:val="20"/>
          <w:szCs w:val="20"/>
        </w:rPr>
        <w:t>if</w:t>
      </w: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jj</w:t>
      </w:r>
      <w:proofErr w:type="spellEnd"/>
      <w:r>
        <w:rPr>
          <w:rFonts w:ascii="Courier New" w:eastAsiaTheme="minorHAnsi" w:hAnsi="Courier New" w:cs="Courier New"/>
          <w:color w:val="000000"/>
          <w:sz w:val="20"/>
          <w:szCs w:val="20"/>
        </w:rPr>
        <w:t xml:space="preserve"> &gt; 1     </w:t>
      </w:r>
    </w:p>
    <w:p w:rsidR="00655D33" w:rsidRDefault="00655D33" w:rsidP="00655D3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 xml:space="preserve">% </w:t>
      </w:r>
      <w:proofErr w:type="spellStart"/>
      <w:r>
        <w:rPr>
          <w:rFonts w:ascii="Courier New" w:eastAsiaTheme="minorHAnsi" w:hAnsi="Courier New" w:cs="Courier New"/>
          <w:color w:val="228B22"/>
          <w:sz w:val="20"/>
          <w:szCs w:val="20"/>
        </w:rPr>
        <w:t>relaxtion</w:t>
      </w:r>
      <w:proofErr w:type="spellEnd"/>
      <w:r>
        <w:rPr>
          <w:rFonts w:ascii="Courier New" w:eastAsiaTheme="minorHAnsi" w:hAnsi="Courier New" w:cs="Courier New"/>
          <w:color w:val="228B22"/>
          <w:sz w:val="20"/>
          <w:szCs w:val="20"/>
        </w:rPr>
        <w:t xml:space="preserve"> during pause</w:t>
      </w:r>
    </w:p>
    <w:p w:rsidR="00655D33" w:rsidRDefault="00655D33" w:rsidP="00655D3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x0(1,2) = 0;</w:t>
      </w:r>
    </w:p>
    <w:p w:rsidR="00655D33" w:rsidRDefault="00655D33" w:rsidP="00655D3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MV = </w:t>
      </w:r>
      <w:proofErr w:type="spellStart"/>
      <w:proofErr w:type="gramStart"/>
      <w:r>
        <w:rPr>
          <w:rFonts w:ascii="Courier New" w:eastAsiaTheme="minorHAnsi" w:hAnsi="Courier New" w:cs="Courier New"/>
          <w:color w:val="000000"/>
          <w:sz w:val="20"/>
          <w:szCs w:val="20"/>
        </w:rPr>
        <w:t>BMsolution</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x0, </w:t>
      </w:r>
      <w:proofErr w:type="spellStart"/>
      <w:r>
        <w:rPr>
          <w:rFonts w:ascii="Courier New" w:eastAsiaTheme="minorHAnsi" w:hAnsi="Courier New" w:cs="Courier New"/>
          <w:color w:val="000000"/>
          <w:sz w:val="20"/>
          <w:szCs w:val="20"/>
        </w:rPr>
        <w:t>xZspec</w:t>
      </w:r>
      <w:proofErr w:type="spellEnd"/>
      <w:r>
        <w:rPr>
          <w:rFonts w:ascii="Courier New" w:eastAsiaTheme="minorHAnsi" w:hAnsi="Courier New" w:cs="Courier New"/>
          <w:color w:val="000000"/>
          <w:sz w:val="20"/>
          <w:szCs w:val="20"/>
        </w:rPr>
        <w:t>, [</w:t>
      </w:r>
      <w:proofErr w:type="spellStart"/>
      <w:r>
        <w:rPr>
          <w:rFonts w:ascii="Courier New" w:eastAsiaTheme="minorHAnsi" w:hAnsi="Courier New" w:cs="Courier New"/>
          <w:color w:val="000000"/>
          <w:sz w:val="20"/>
          <w:szCs w:val="20"/>
        </w:rPr>
        <w:t>tpulse</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numel</w:t>
      </w:r>
      <w:proofErr w:type="spellEnd"/>
      <w:r>
        <w:rPr>
          <w:rFonts w:ascii="Courier New" w:eastAsiaTheme="minorHAnsi" w:hAnsi="Courier New" w:cs="Courier New"/>
          <w:color w:val="000000"/>
          <w:sz w:val="20"/>
          <w:szCs w:val="20"/>
        </w:rPr>
        <w:t xml:space="preserve">(w1)) </w:t>
      </w:r>
      <w:proofErr w:type="spellStart"/>
      <w:r>
        <w:rPr>
          <w:rFonts w:ascii="Courier New" w:eastAsiaTheme="minorHAnsi" w:hAnsi="Courier New" w:cs="Courier New"/>
          <w:color w:val="000000"/>
          <w:sz w:val="20"/>
          <w:szCs w:val="20"/>
        </w:rPr>
        <w:t>tpulse</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numel</w:t>
      </w:r>
      <w:proofErr w:type="spellEnd"/>
      <w:r>
        <w:rPr>
          <w:rFonts w:ascii="Courier New" w:eastAsiaTheme="minorHAnsi" w:hAnsi="Courier New" w:cs="Courier New"/>
          <w:color w:val="000000"/>
          <w:sz w:val="20"/>
          <w:szCs w:val="20"/>
        </w:rPr>
        <w:t>(w1))+Sim.td], z0, y0, MV);</w:t>
      </w:r>
    </w:p>
    <w:p w:rsidR="00655D33" w:rsidRDefault="00655D33" w:rsidP="00655D3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655D33" w:rsidRDefault="00655D33" w:rsidP="00655D3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r>
        <w:rPr>
          <w:rFonts w:ascii="Courier New" w:eastAsiaTheme="minorHAnsi" w:hAnsi="Courier New" w:cs="Courier New"/>
          <w:color w:val="0000FF"/>
          <w:sz w:val="20"/>
          <w:szCs w:val="20"/>
        </w:rPr>
        <w:t>end</w:t>
      </w:r>
      <w:r>
        <w:rPr>
          <w:rFonts w:ascii="Courier New" w:eastAsiaTheme="minorHAnsi" w:hAnsi="Courier New" w:cs="Courier New"/>
          <w:color w:val="000000"/>
          <w:sz w:val="20"/>
          <w:szCs w:val="20"/>
        </w:rPr>
        <w:t>;</w:t>
      </w:r>
    </w:p>
    <w:p w:rsidR="00655D33" w:rsidRDefault="00655D33" w:rsidP="00655D33">
      <w:pPr>
        <w:autoSpaceDE w:val="0"/>
        <w:autoSpaceDN w:val="0"/>
        <w:adjustRightInd w:val="0"/>
        <w:spacing w:after="0" w:line="240" w:lineRule="auto"/>
        <w:rPr>
          <w:rFonts w:ascii="Courier New" w:eastAsiaTheme="minorHAnsi" w:hAnsi="Courier New" w:cs="Courier New"/>
          <w:sz w:val="24"/>
          <w:szCs w:val="24"/>
        </w:rPr>
      </w:pPr>
    </w:p>
    <w:p w:rsidR="007659FB" w:rsidRDefault="00655D33"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r w:rsidR="007659FB">
        <w:rPr>
          <w:rFonts w:ascii="Courier New" w:eastAsiaTheme="minorHAnsi" w:hAnsi="Courier New" w:cs="Courier New"/>
          <w:color w:val="228B22"/>
          <w:sz w:val="20"/>
          <w:szCs w:val="20"/>
        </w:rPr>
        <w:t>% XXXXXXXXXXXXXXXXXX LABELING DURING PULSE XXXXXXXXXXXXXXXXXXXXXX</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r>
        <w:rPr>
          <w:rFonts w:ascii="Courier New" w:eastAsiaTheme="minorHAnsi" w:hAnsi="Courier New" w:cs="Courier New"/>
          <w:color w:val="0000FF"/>
          <w:sz w:val="20"/>
          <w:szCs w:val="20"/>
        </w:rPr>
        <w:t>for</w:t>
      </w:r>
      <w:r>
        <w:rPr>
          <w:rFonts w:ascii="Courier New" w:eastAsiaTheme="minorHAnsi" w:hAnsi="Courier New" w:cs="Courier New"/>
          <w:color w:val="000000"/>
          <w:sz w:val="20"/>
          <w:szCs w:val="20"/>
        </w:rPr>
        <w:t xml:space="preserve"> ii = </w:t>
      </w:r>
      <w:proofErr w:type="gramStart"/>
      <w:r>
        <w:rPr>
          <w:rFonts w:ascii="Courier New" w:eastAsiaTheme="minorHAnsi" w:hAnsi="Courier New" w:cs="Courier New"/>
          <w:color w:val="000000"/>
          <w:sz w:val="20"/>
          <w:szCs w:val="20"/>
        </w:rPr>
        <w:t>1:numel</w:t>
      </w:r>
      <w:proofErr w:type="gramEnd"/>
      <w:r>
        <w:rPr>
          <w:rFonts w:ascii="Courier New" w:eastAsiaTheme="minorHAnsi" w:hAnsi="Courier New" w:cs="Courier New"/>
          <w:color w:val="000000"/>
          <w:sz w:val="20"/>
          <w:szCs w:val="20"/>
        </w:rPr>
        <w:t>(w1)-1</w:t>
      </w:r>
      <w:r w:rsidR="00655D33">
        <w:rPr>
          <w:rFonts w:ascii="Courier New" w:eastAsiaTheme="minorHAnsi" w:hAnsi="Courier New" w:cs="Courier New"/>
          <w:color w:val="000000"/>
          <w:sz w:val="20"/>
          <w:szCs w:val="20"/>
        </w:rPr>
        <w:t xml:space="preserve">    </w:t>
      </w:r>
      <w:r w:rsidR="00655D33" w:rsidRPr="00655D33">
        <w:rPr>
          <w:rFonts w:ascii="Courier New" w:eastAsiaTheme="minorHAnsi" w:hAnsi="Courier New" w:cs="Courier New"/>
          <w:color w:val="228B22"/>
          <w:sz w:val="20"/>
          <w:szCs w:val="20"/>
        </w:rPr>
        <w:t>% discretization of the shaped pulse</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 set correct B1 value in every pulse part/step</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x0(1,</w:t>
      </w:r>
      <w:proofErr w:type="gramStart"/>
      <w:r>
        <w:rPr>
          <w:rFonts w:ascii="Courier New" w:eastAsiaTheme="minorHAnsi" w:hAnsi="Courier New" w:cs="Courier New"/>
          <w:color w:val="000000"/>
          <w:sz w:val="20"/>
          <w:szCs w:val="20"/>
        </w:rPr>
        <w:t>2)=</w:t>
      </w:r>
      <w:proofErr w:type="gramEnd"/>
      <w:r>
        <w:rPr>
          <w:rFonts w:ascii="Courier New" w:eastAsiaTheme="minorHAnsi" w:hAnsi="Courier New" w:cs="Courier New"/>
          <w:color w:val="000000"/>
          <w:sz w:val="20"/>
          <w:szCs w:val="20"/>
        </w:rPr>
        <w:t>w1(ii);</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655D33" w:rsidRDefault="007659FB" w:rsidP="007659FB">
      <w:pPr>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w:t>
      </w:r>
      <w:r w:rsidR="00655D33">
        <w:rPr>
          <w:rFonts w:ascii="Courier New" w:eastAsiaTheme="minorHAnsi" w:hAnsi="Courier New" w:cs="Courier New"/>
          <w:color w:val="000000"/>
          <w:sz w:val="20"/>
          <w:szCs w:val="20"/>
        </w:rPr>
        <w:t xml:space="preserve">    </w:t>
      </w:r>
      <w:r>
        <w:rPr>
          <w:rFonts w:ascii="Courier New" w:eastAsiaTheme="minorHAnsi" w:hAnsi="Courier New" w:cs="Courier New"/>
          <w:color w:val="000000"/>
          <w:sz w:val="20"/>
          <w:szCs w:val="20"/>
        </w:rPr>
        <w:t xml:space="preserve">[MV </w:t>
      </w:r>
      <w:proofErr w:type="spellStart"/>
      <w:r>
        <w:rPr>
          <w:rFonts w:ascii="Courier New" w:eastAsiaTheme="minorHAnsi" w:hAnsi="Courier New" w:cs="Courier New"/>
          <w:color w:val="000000"/>
          <w:sz w:val="20"/>
          <w:szCs w:val="20"/>
        </w:rPr>
        <w:t>A_temp</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Ainvb_temp</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dia</w:t>
      </w:r>
      <w:proofErr w:type="spellEnd"/>
      <w:r>
        <w:rPr>
          <w:rFonts w:ascii="Courier New" w:eastAsiaTheme="minorHAnsi" w:hAnsi="Courier New" w:cs="Courier New"/>
          <w:color w:val="000000"/>
          <w:sz w:val="20"/>
          <w:szCs w:val="20"/>
        </w:rPr>
        <w:t xml:space="preserve">] = </w:t>
      </w:r>
      <w:proofErr w:type="spellStart"/>
      <w:proofErr w:type="gramStart"/>
      <w:r>
        <w:rPr>
          <w:rFonts w:ascii="Courier New" w:eastAsiaTheme="minorHAnsi" w:hAnsi="Courier New" w:cs="Courier New"/>
          <w:color w:val="000000"/>
          <w:sz w:val="20"/>
          <w:szCs w:val="20"/>
        </w:rPr>
        <w:t>BMsolution</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x0, </w:t>
      </w:r>
      <w:proofErr w:type="spellStart"/>
      <w:r>
        <w:rPr>
          <w:rFonts w:ascii="Courier New" w:eastAsiaTheme="minorHAnsi" w:hAnsi="Courier New" w:cs="Courier New"/>
          <w:color w:val="000000"/>
          <w:sz w:val="20"/>
          <w:szCs w:val="20"/>
        </w:rPr>
        <w:t>xZspec</w:t>
      </w:r>
      <w:proofErr w:type="spellEnd"/>
      <w:r>
        <w:rPr>
          <w:rFonts w:ascii="Courier New" w:eastAsiaTheme="minorHAnsi" w:hAnsi="Courier New" w:cs="Courier New"/>
          <w:color w:val="000000"/>
          <w:sz w:val="20"/>
          <w:szCs w:val="20"/>
        </w:rPr>
        <w:t>, [</w:t>
      </w:r>
      <w:proofErr w:type="spellStart"/>
      <w:r>
        <w:rPr>
          <w:rFonts w:ascii="Courier New" w:eastAsiaTheme="minorHAnsi" w:hAnsi="Courier New" w:cs="Courier New"/>
          <w:color w:val="000000"/>
          <w:sz w:val="20"/>
          <w:szCs w:val="20"/>
        </w:rPr>
        <w:t>tpulse</w:t>
      </w:r>
      <w:proofErr w:type="spellEnd"/>
      <w:r>
        <w:rPr>
          <w:rFonts w:ascii="Courier New" w:eastAsiaTheme="minorHAnsi" w:hAnsi="Courier New" w:cs="Courier New"/>
          <w:color w:val="000000"/>
          <w:sz w:val="20"/>
          <w:szCs w:val="20"/>
        </w:rPr>
        <w:t xml:space="preserve">(ii) </w:t>
      </w:r>
    </w:p>
    <w:p w:rsidR="007659FB" w:rsidRDefault="00655D33"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roofErr w:type="spellStart"/>
      <w:r w:rsidR="007659FB">
        <w:rPr>
          <w:rFonts w:ascii="Courier New" w:eastAsiaTheme="minorHAnsi" w:hAnsi="Courier New" w:cs="Courier New"/>
          <w:color w:val="000000"/>
          <w:sz w:val="20"/>
          <w:szCs w:val="20"/>
        </w:rPr>
        <w:t>tpulse</w:t>
      </w:r>
      <w:proofErr w:type="spellEnd"/>
      <w:r w:rsidR="007659FB">
        <w:rPr>
          <w:rFonts w:ascii="Courier New" w:eastAsiaTheme="minorHAnsi" w:hAnsi="Courier New" w:cs="Courier New"/>
          <w:color w:val="000000"/>
          <w:sz w:val="20"/>
          <w:szCs w:val="20"/>
        </w:rPr>
        <w:t>(ii+1)], z0, y0, MV);</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r>
        <w:rPr>
          <w:rFonts w:ascii="Courier New" w:eastAsiaTheme="minorHAnsi" w:hAnsi="Courier New" w:cs="Courier New"/>
          <w:color w:val="0000FF"/>
          <w:sz w:val="20"/>
          <w:szCs w:val="20"/>
        </w:rPr>
        <w:t>end</w:t>
      </w:r>
      <w:r>
        <w:rPr>
          <w:rFonts w:ascii="Courier New" w:eastAsiaTheme="minorHAnsi" w:hAnsi="Courier New" w:cs="Courier New"/>
          <w:color w:val="000000"/>
          <w:sz w:val="20"/>
          <w:szCs w:val="20"/>
        </w:rPr>
        <w:t>;</w:t>
      </w:r>
    </w:p>
    <w:p w:rsidR="007659FB" w:rsidRDefault="007659FB" w:rsidP="00655D3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r w:rsidR="00655D33">
        <w:rPr>
          <w:rFonts w:ascii="Courier New" w:eastAsiaTheme="minorHAnsi" w:hAnsi="Courier New" w:cs="Courier New"/>
          <w:color w:val="000000"/>
          <w:sz w:val="20"/>
          <w:szCs w:val="20"/>
        </w:rPr>
        <w:t xml:space="preserve">   </w:t>
      </w:r>
      <w:r>
        <w:rPr>
          <w:rFonts w:ascii="Courier New" w:eastAsiaTheme="minorHAnsi" w:hAnsi="Courier New" w:cs="Courier New"/>
          <w:color w:val="0000FF"/>
          <w:sz w:val="20"/>
          <w:szCs w:val="20"/>
        </w:rPr>
        <w:t>end</w:t>
      </w:r>
    </w:p>
    <w:p w:rsidR="007659FB" w:rsidRDefault="00655D33"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 XXXXXXXXXXXXXXXXXXXXXXXXXX SPOILING XXXXXXXXXXXXXXXXXXXXXXXXXXX</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 xml:space="preserve">% </w:t>
      </w:r>
      <w:proofErr w:type="spellStart"/>
      <w:r>
        <w:rPr>
          <w:rFonts w:ascii="Courier New" w:eastAsiaTheme="minorHAnsi" w:hAnsi="Courier New" w:cs="Courier New"/>
          <w:color w:val="228B22"/>
          <w:sz w:val="20"/>
          <w:szCs w:val="20"/>
        </w:rPr>
        <w:t>relaxtion</w:t>
      </w:r>
      <w:proofErr w:type="spellEnd"/>
      <w:r>
        <w:rPr>
          <w:rFonts w:ascii="Courier New" w:eastAsiaTheme="minorHAnsi" w:hAnsi="Courier New" w:cs="Courier New"/>
          <w:color w:val="228B22"/>
          <w:sz w:val="20"/>
          <w:szCs w:val="20"/>
        </w:rPr>
        <w:t xml:space="preserve"> during spoiling</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x0(1,2) = 0;</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MV = </w:t>
      </w:r>
      <w:proofErr w:type="spellStart"/>
      <w:proofErr w:type="gramStart"/>
      <w:r>
        <w:rPr>
          <w:rFonts w:ascii="Courier New" w:eastAsiaTheme="minorHAnsi" w:hAnsi="Courier New" w:cs="Courier New"/>
          <w:color w:val="000000"/>
          <w:sz w:val="20"/>
          <w:szCs w:val="20"/>
        </w:rPr>
        <w:t>BMsolution</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x0, </w:t>
      </w:r>
      <w:proofErr w:type="spellStart"/>
      <w:r>
        <w:rPr>
          <w:rFonts w:ascii="Courier New" w:eastAsiaTheme="minorHAnsi" w:hAnsi="Courier New" w:cs="Courier New"/>
          <w:color w:val="000000"/>
          <w:sz w:val="20"/>
          <w:szCs w:val="20"/>
        </w:rPr>
        <w:t>xZspec</w:t>
      </w:r>
      <w:proofErr w:type="spellEnd"/>
      <w:r>
        <w:rPr>
          <w:rFonts w:ascii="Courier New" w:eastAsiaTheme="minorHAnsi" w:hAnsi="Courier New" w:cs="Courier New"/>
          <w:color w:val="000000"/>
          <w:sz w:val="20"/>
          <w:szCs w:val="20"/>
        </w:rPr>
        <w:t>, [0 0.0045], z0, y0, MV);</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655D33" w:rsidRDefault="007659FB" w:rsidP="007659FB">
      <w:pPr>
        <w:autoSpaceDE w:val="0"/>
        <w:autoSpaceDN w:val="0"/>
        <w:adjustRightInd w:val="0"/>
        <w:spacing w:after="0" w:line="240" w:lineRule="auto"/>
        <w:rPr>
          <w:rFonts w:ascii="Courier New" w:eastAsiaTheme="minorHAnsi" w:hAnsi="Courier New" w:cs="Courier New"/>
          <w:color w:val="228B22"/>
          <w:sz w:val="20"/>
          <w:szCs w:val="20"/>
        </w:rPr>
      </w:pPr>
      <w:r>
        <w:rPr>
          <w:rFonts w:ascii="Courier New" w:eastAsiaTheme="minorHAnsi" w:hAnsi="Courier New" w:cs="Courier New"/>
          <w:color w:val="000000"/>
          <w:sz w:val="20"/>
          <w:szCs w:val="20"/>
        </w:rPr>
        <w:t xml:space="preserve">        </w:t>
      </w:r>
      <w:proofErr w:type="gramStart"/>
      <w:r w:rsidRPr="00655D33">
        <w:rPr>
          <w:rFonts w:ascii="Courier New" w:eastAsiaTheme="minorHAnsi" w:hAnsi="Courier New" w:cs="Courier New"/>
          <w:color w:val="000000"/>
          <w:sz w:val="20"/>
          <w:szCs w:val="20"/>
        </w:rPr>
        <w:t>MV(</w:t>
      </w:r>
      <w:proofErr w:type="gramEnd"/>
      <w:r w:rsidRPr="00655D33">
        <w:rPr>
          <w:rFonts w:ascii="Courier New" w:eastAsiaTheme="minorHAnsi" w:hAnsi="Courier New" w:cs="Courier New"/>
          <w:color w:val="000000"/>
          <w:sz w:val="20"/>
          <w:szCs w:val="20"/>
        </w:rPr>
        <w:t xml:space="preserve">1:12,:)       = </w:t>
      </w:r>
      <w:proofErr w:type="spellStart"/>
      <w:r w:rsidRPr="00655D33">
        <w:rPr>
          <w:rFonts w:ascii="Courier New" w:eastAsiaTheme="minorHAnsi" w:hAnsi="Courier New" w:cs="Courier New"/>
          <w:color w:val="000000"/>
          <w:sz w:val="20"/>
          <w:szCs w:val="20"/>
        </w:rPr>
        <w:t>Sim.spoilf</w:t>
      </w:r>
      <w:proofErr w:type="spellEnd"/>
      <w:r w:rsidRPr="00655D33">
        <w:rPr>
          <w:rFonts w:ascii="Courier New" w:eastAsiaTheme="minorHAnsi" w:hAnsi="Courier New" w:cs="Courier New"/>
          <w:color w:val="000000"/>
          <w:sz w:val="20"/>
          <w:szCs w:val="20"/>
        </w:rPr>
        <w:t>*MV(1:12,:);</w:t>
      </w:r>
      <w:r w:rsidR="00655D33">
        <w:rPr>
          <w:rFonts w:ascii="Courier New" w:eastAsiaTheme="minorHAnsi" w:hAnsi="Courier New" w:cs="Courier New"/>
          <w:color w:val="000000"/>
          <w:sz w:val="20"/>
          <w:szCs w:val="20"/>
        </w:rPr>
        <w:t xml:space="preserve">   </w:t>
      </w:r>
      <w:r w:rsidR="00655D33">
        <w:rPr>
          <w:rFonts w:ascii="Courier New" w:eastAsiaTheme="minorHAnsi" w:hAnsi="Courier New" w:cs="Courier New"/>
          <w:color w:val="228B22"/>
          <w:sz w:val="20"/>
          <w:szCs w:val="20"/>
        </w:rPr>
        <w:t>% spoiling</w:t>
      </w:r>
    </w:p>
    <w:p w:rsidR="007659FB" w:rsidRPr="00655D33" w:rsidRDefault="007659FB" w:rsidP="007659FB">
      <w:pPr>
        <w:autoSpaceDE w:val="0"/>
        <w:autoSpaceDN w:val="0"/>
        <w:adjustRightInd w:val="0"/>
        <w:spacing w:after="0" w:line="240" w:lineRule="auto"/>
        <w:rPr>
          <w:rFonts w:ascii="Courier New" w:eastAsiaTheme="minorHAnsi" w:hAnsi="Courier New" w:cs="Courier New"/>
          <w:sz w:val="24"/>
          <w:szCs w:val="24"/>
        </w:rPr>
      </w:pPr>
      <w:r w:rsidRPr="00655D33">
        <w:rPr>
          <w:rFonts w:ascii="Courier New" w:eastAsiaTheme="minorHAnsi" w:hAnsi="Courier New" w:cs="Courier New"/>
          <w:color w:val="000000"/>
          <w:sz w:val="20"/>
          <w:szCs w:val="20"/>
        </w:rPr>
        <w:t xml:space="preserve"> </w:t>
      </w:r>
    </w:p>
    <w:p w:rsidR="007659FB" w:rsidRPr="007659FB" w:rsidRDefault="007659FB" w:rsidP="007659FB">
      <w:pPr>
        <w:autoSpaceDE w:val="0"/>
        <w:autoSpaceDN w:val="0"/>
        <w:adjustRightInd w:val="0"/>
        <w:spacing w:after="0" w:line="240" w:lineRule="auto"/>
        <w:rPr>
          <w:rFonts w:ascii="Courier New" w:eastAsiaTheme="minorHAnsi" w:hAnsi="Courier New" w:cs="Courier New"/>
          <w:sz w:val="24"/>
          <w:szCs w:val="24"/>
          <w:lang w:val="de-DE"/>
        </w:rPr>
      </w:pPr>
      <w:r w:rsidRPr="00655D33">
        <w:rPr>
          <w:rFonts w:ascii="Courier New" w:eastAsiaTheme="minorHAnsi" w:hAnsi="Courier New" w:cs="Courier New"/>
          <w:color w:val="000000"/>
          <w:sz w:val="20"/>
          <w:szCs w:val="20"/>
        </w:rPr>
        <w:t xml:space="preserve">        </w:t>
      </w:r>
      <w:r w:rsidRPr="007659FB">
        <w:rPr>
          <w:rFonts w:ascii="Courier New" w:eastAsiaTheme="minorHAnsi" w:hAnsi="Courier New" w:cs="Courier New"/>
          <w:color w:val="228B22"/>
          <w:sz w:val="20"/>
          <w:szCs w:val="20"/>
          <w:lang w:val="de-DE"/>
        </w:rPr>
        <w:t>% hier ist nach einem LTM (</w:t>
      </w:r>
      <w:proofErr w:type="spellStart"/>
      <w:r w:rsidRPr="007659FB">
        <w:rPr>
          <w:rFonts w:ascii="Courier New" w:eastAsiaTheme="minorHAnsi" w:hAnsi="Courier New" w:cs="Courier New"/>
          <w:color w:val="228B22"/>
          <w:sz w:val="20"/>
          <w:szCs w:val="20"/>
          <w:lang w:val="de-DE"/>
        </w:rPr>
        <w:t>label</w:t>
      </w:r>
      <w:proofErr w:type="spellEnd"/>
      <w:r w:rsidRPr="007659FB">
        <w:rPr>
          <w:rFonts w:ascii="Courier New" w:eastAsiaTheme="minorHAnsi" w:hAnsi="Courier New" w:cs="Courier New"/>
          <w:color w:val="228B22"/>
          <w:sz w:val="20"/>
          <w:szCs w:val="20"/>
          <w:lang w:val="de-DE"/>
        </w:rPr>
        <w:t xml:space="preserve"> </w:t>
      </w:r>
      <w:proofErr w:type="spellStart"/>
      <w:r w:rsidRPr="007659FB">
        <w:rPr>
          <w:rFonts w:ascii="Courier New" w:eastAsiaTheme="minorHAnsi" w:hAnsi="Courier New" w:cs="Courier New"/>
          <w:color w:val="228B22"/>
          <w:sz w:val="20"/>
          <w:szCs w:val="20"/>
          <w:lang w:val="de-DE"/>
        </w:rPr>
        <w:t>transfer</w:t>
      </w:r>
      <w:proofErr w:type="spellEnd"/>
      <w:r w:rsidRPr="007659FB">
        <w:rPr>
          <w:rFonts w:ascii="Courier New" w:eastAsiaTheme="minorHAnsi" w:hAnsi="Courier New" w:cs="Courier New"/>
          <w:color w:val="228B22"/>
          <w:sz w:val="20"/>
          <w:szCs w:val="20"/>
          <w:lang w:val="de-DE"/>
        </w:rPr>
        <w:t xml:space="preserve"> </w:t>
      </w:r>
      <w:proofErr w:type="spellStart"/>
      <w:r w:rsidRPr="007659FB">
        <w:rPr>
          <w:rFonts w:ascii="Courier New" w:eastAsiaTheme="minorHAnsi" w:hAnsi="Courier New" w:cs="Courier New"/>
          <w:color w:val="228B22"/>
          <w:sz w:val="20"/>
          <w:szCs w:val="20"/>
          <w:lang w:val="de-DE"/>
        </w:rPr>
        <w:t>module</w:t>
      </w:r>
      <w:proofErr w:type="spellEnd"/>
      <w:r w:rsidRPr="007659FB">
        <w:rPr>
          <w:rFonts w:ascii="Courier New" w:eastAsiaTheme="minorHAnsi" w:hAnsi="Courier New" w:cs="Courier New"/>
          <w:color w:val="228B22"/>
          <w:sz w:val="20"/>
          <w:szCs w:val="20"/>
          <w:lang w:val="de-DE"/>
        </w:rPr>
        <w:t>)</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sidRPr="007659FB">
        <w:rPr>
          <w:rFonts w:ascii="Courier New" w:eastAsiaTheme="minorHAnsi" w:hAnsi="Courier New" w:cs="Courier New"/>
          <w:color w:val="000000"/>
          <w:sz w:val="20"/>
          <w:szCs w:val="20"/>
          <w:lang w:val="de-DE"/>
        </w:rPr>
        <w:t xml:space="preserve">        </w:t>
      </w:r>
      <w:proofErr w:type="spellStart"/>
      <w:r>
        <w:rPr>
          <w:rFonts w:ascii="Courier New" w:eastAsiaTheme="minorHAnsi" w:hAnsi="Courier New" w:cs="Courier New"/>
          <w:color w:val="000000"/>
          <w:sz w:val="20"/>
          <w:szCs w:val="20"/>
        </w:rPr>
        <w:t>MV_</w:t>
      </w:r>
      <w:proofErr w:type="gramStart"/>
      <w:r>
        <w:rPr>
          <w:rFonts w:ascii="Courier New" w:eastAsiaTheme="minorHAnsi" w:hAnsi="Courier New" w:cs="Courier New"/>
          <w:color w:val="000000"/>
          <w:sz w:val="20"/>
          <w:szCs w:val="20"/>
        </w:rPr>
        <w:t>nth</w:t>
      </w:r>
      <w:proofErr w:type="spellEnd"/>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jj</w:t>
      </w:r>
      <w:proofErr w:type="spellEnd"/>
      <w:r>
        <w:rPr>
          <w:rFonts w:ascii="Courier New" w:eastAsiaTheme="minorHAnsi" w:hAnsi="Courier New" w:cs="Courier New"/>
          <w:color w:val="000000"/>
          <w:sz w:val="20"/>
          <w:szCs w:val="20"/>
        </w:rPr>
        <w:t>,:,:)  = MV;</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r>
        <w:rPr>
          <w:rFonts w:ascii="Courier New" w:eastAsiaTheme="minorHAnsi" w:hAnsi="Courier New" w:cs="Courier New"/>
          <w:color w:val="0000FF"/>
          <w:sz w:val="20"/>
          <w:szCs w:val="20"/>
        </w:rPr>
        <w:t>end</w:t>
      </w:r>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 LTMs</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FF"/>
          <w:sz w:val="20"/>
          <w:szCs w:val="20"/>
        </w:rPr>
        <w:t>end</w:t>
      </w:r>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 dummies</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xml:space="preserve"> </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sz w:val="20"/>
          <w:szCs w:val="20"/>
        </w:rPr>
        <w:t>A.Sim</w:t>
      </w:r>
      <w:proofErr w:type="spellEnd"/>
      <w:proofErr w:type="gramEnd"/>
      <w:r>
        <w:rPr>
          <w:rFonts w:ascii="Courier New" w:eastAsiaTheme="minorHAnsi" w:hAnsi="Courier New" w:cs="Courier New"/>
          <w:color w:val="000000"/>
          <w:sz w:val="20"/>
          <w:szCs w:val="20"/>
        </w:rPr>
        <w:t xml:space="preserve"> = Sim;</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A.x</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xZspec</w:t>
      </w:r>
      <w:proofErr w:type="spellEnd"/>
      <w:r>
        <w:rPr>
          <w:rFonts w:ascii="Courier New" w:eastAsiaTheme="minorHAnsi" w:hAnsi="Courier New" w:cs="Courier New"/>
          <w:color w:val="000000"/>
          <w:sz w:val="20"/>
          <w:szCs w:val="20"/>
        </w:rPr>
        <w:t>';</w:t>
      </w:r>
    </w:p>
    <w:p w:rsidR="00354F2D" w:rsidRDefault="007659FB" w:rsidP="00655D33">
      <w:pPr>
        <w:autoSpaceDE w:val="0"/>
        <w:autoSpaceDN w:val="0"/>
        <w:adjustRightInd w:val="0"/>
        <w:spacing w:after="0" w:line="240" w:lineRule="auto"/>
        <w:rPr>
          <w:rFonts w:ascii="Courier New" w:eastAsiaTheme="minorHAnsi" w:hAnsi="Courier New" w:cs="Courier New"/>
          <w:color w:val="000000"/>
          <w:sz w:val="20"/>
          <w:szCs w:val="20"/>
        </w:rPr>
      </w:pPr>
      <w:proofErr w:type="spellStart"/>
      <w:proofErr w:type="gramStart"/>
      <w:r>
        <w:rPr>
          <w:rFonts w:ascii="Courier New" w:eastAsiaTheme="minorHAnsi" w:hAnsi="Courier New" w:cs="Courier New"/>
          <w:color w:val="000000"/>
          <w:sz w:val="20"/>
          <w:szCs w:val="20"/>
        </w:rPr>
        <w:t>A.zspec</w:t>
      </w:r>
      <w:proofErr w:type="spellEnd"/>
      <w:proofErr w:type="gramEnd"/>
      <w:r>
        <w:rPr>
          <w:rFonts w:ascii="Courier New" w:eastAsiaTheme="minorHAnsi" w:hAnsi="Courier New" w:cs="Courier New"/>
          <w:color w:val="000000"/>
          <w:sz w:val="20"/>
          <w:szCs w:val="20"/>
        </w:rPr>
        <w:t>=squeeze(MV(13,:))';</w:t>
      </w:r>
    </w:p>
    <w:p w:rsidR="00655D33" w:rsidRDefault="00655D33" w:rsidP="00655D33">
      <w:pPr>
        <w:autoSpaceDE w:val="0"/>
        <w:autoSpaceDN w:val="0"/>
        <w:adjustRightInd w:val="0"/>
        <w:spacing w:after="0" w:line="240" w:lineRule="auto"/>
        <w:rPr>
          <w:rFonts w:ascii="Courier New" w:eastAsiaTheme="minorHAnsi" w:hAnsi="Courier New" w:cs="Courier New"/>
          <w:color w:val="000000"/>
          <w:sz w:val="20"/>
          <w:szCs w:val="20"/>
        </w:rPr>
      </w:pPr>
    </w:p>
    <w:p w:rsidR="00655D33" w:rsidRDefault="00655D33" w:rsidP="00655D33">
      <w:pPr>
        <w:autoSpaceDE w:val="0"/>
        <w:autoSpaceDN w:val="0"/>
        <w:adjustRightInd w:val="0"/>
        <w:spacing w:after="0" w:line="240" w:lineRule="auto"/>
        <w:rPr>
          <w:lang w:val="en-GB"/>
        </w:rPr>
      </w:pPr>
      <w:r>
        <w:rPr>
          <w:noProof/>
        </w:rPr>
        <w:lastRenderedPageBreak/>
        <w:drawing>
          <wp:inline distT="0" distB="0" distL="0" distR="0" wp14:anchorId="4647BBFE" wp14:editId="76FBD405">
            <wp:extent cx="5943600" cy="33591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3359150"/>
                    </a:xfrm>
                    <a:prstGeom prst="rect">
                      <a:avLst/>
                    </a:prstGeom>
                  </pic:spPr>
                </pic:pic>
              </a:graphicData>
            </a:graphic>
          </wp:inline>
        </w:drawing>
      </w:r>
    </w:p>
    <w:p w:rsidR="00655D33" w:rsidRPr="00171999" w:rsidRDefault="00655D33" w:rsidP="00655D33">
      <w:pPr>
        <w:autoSpaceDE w:val="0"/>
        <w:autoSpaceDN w:val="0"/>
        <w:adjustRightInd w:val="0"/>
        <w:spacing w:after="0" w:line="240" w:lineRule="auto"/>
        <w:rPr>
          <w:lang w:val="en-GB"/>
        </w:rPr>
      </w:pPr>
      <w:r>
        <w:rPr>
          <w:lang w:val="en-GB"/>
        </w:rPr>
        <w:t>Figure 1: Visualization of Sequence, possible Parameters and dyna</w:t>
      </w:r>
      <w:bookmarkStart w:id="9" w:name="_GoBack"/>
      <w:bookmarkEnd w:id="9"/>
      <w:r>
        <w:rPr>
          <w:lang w:val="en-GB"/>
        </w:rPr>
        <w:t>mic of Z-magnetization</w:t>
      </w:r>
    </w:p>
    <w:sectPr w:rsidR="00655D33" w:rsidRPr="00171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rtxr">
    <w:altName w:val="MS Mincho"/>
    <w:panose1 w:val="00000000000000000000"/>
    <w:charset w:val="80"/>
    <w:family w:val="auto"/>
    <w:notTrueType/>
    <w:pitch w:val="default"/>
    <w:sig w:usb0="00000000"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txsy">
    <w:altName w:val="Malgun Gothic"/>
    <w:panose1 w:val="00000000000000000000"/>
    <w:charset w:val="81"/>
    <w:family w:val="auto"/>
    <w:notTrueType/>
    <w:pitch w:val="default"/>
    <w:sig w:usb0="00000000"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11313"/>
    <w:multiLevelType w:val="multilevel"/>
    <w:tmpl w:val="9494618E"/>
    <w:lvl w:ilvl="0">
      <w:start w:val="1"/>
      <w:numFmt w:val="decimal"/>
      <w:lvlText w:val="%1."/>
      <w:lvlJc w:val="left"/>
      <w:pPr>
        <w:ind w:left="576" w:hanging="576"/>
      </w:pPr>
      <w:rPr>
        <w:rFonts w:hint="default"/>
      </w:rPr>
    </w:lvl>
    <w:lvl w:ilvl="1">
      <w:start w:val="1"/>
      <w:numFmt w:val="decimal"/>
      <w:isLgl/>
      <w:lvlText w:val="%1.%2."/>
      <w:lvlJc w:val="left"/>
      <w:pPr>
        <w:ind w:left="1152" w:hanging="1152"/>
      </w:pPr>
      <w:rPr>
        <w:rFonts w:hint="default"/>
      </w:rPr>
    </w:lvl>
    <w:lvl w:ilvl="2">
      <w:start w:val="1"/>
      <w:numFmt w:val="decimal"/>
      <w:isLgl/>
      <w:lvlText w:val="%1.%2.%3."/>
      <w:lvlJc w:val="left"/>
      <w:pPr>
        <w:ind w:left="2765" w:hanging="360"/>
      </w:pPr>
      <w:rPr>
        <w:rFonts w:hint="default"/>
      </w:rPr>
    </w:lvl>
    <w:lvl w:ilvl="3">
      <w:start w:val="1"/>
      <w:numFmt w:val="decimal"/>
      <w:isLgl/>
      <w:lvlText w:val="%1.%2.%3.%4."/>
      <w:lvlJc w:val="left"/>
      <w:pPr>
        <w:ind w:left="2765" w:hanging="360"/>
      </w:pPr>
      <w:rPr>
        <w:rFonts w:hint="default"/>
      </w:rPr>
    </w:lvl>
    <w:lvl w:ilvl="4">
      <w:start w:val="1"/>
      <w:numFmt w:val="decimal"/>
      <w:isLgl/>
      <w:lvlText w:val="%1.%2.%3.%4.%5."/>
      <w:lvlJc w:val="left"/>
      <w:pPr>
        <w:ind w:left="2765" w:hanging="360"/>
      </w:pPr>
      <w:rPr>
        <w:rFonts w:hint="default"/>
      </w:rPr>
    </w:lvl>
    <w:lvl w:ilvl="5">
      <w:start w:val="1"/>
      <w:numFmt w:val="decimal"/>
      <w:isLgl/>
      <w:lvlText w:val="%1.%2.%3.%4.%5.%6."/>
      <w:lvlJc w:val="left"/>
      <w:pPr>
        <w:ind w:left="2765" w:hanging="360"/>
      </w:pPr>
      <w:rPr>
        <w:rFonts w:hint="default"/>
      </w:rPr>
    </w:lvl>
    <w:lvl w:ilvl="6">
      <w:start w:val="1"/>
      <w:numFmt w:val="decimal"/>
      <w:isLgl/>
      <w:lvlText w:val="%1.%2.%3.%4.%5.%6.%7."/>
      <w:lvlJc w:val="left"/>
      <w:pPr>
        <w:ind w:left="2765" w:hanging="360"/>
      </w:pPr>
      <w:rPr>
        <w:rFonts w:hint="default"/>
      </w:rPr>
    </w:lvl>
    <w:lvl w:ilvl="7">
      <w:start w:val="1"/>
      <w:numFmt w:val="decimal"/>
      <w:isLgl/>
      <w:lvlText w:val="%1.%2.%3.%4.%5.%6.%7.%8."/>
      <w:lvlJc w:val="left"/>
      <w:pPr>
        <w:ind w:left="2765" w:hanging="360"/>
      </w:pPr>
      <w:rPr>
        <w:rFonts w:hint="default"/>
      </w:rPr>
    </w:lvl>
    <w:lvl w:ilvl="8">
      <w:start w:val="1"/>
      <w:numFmt w:val="decimal"/>
      <w:isLgl/>
      <w:lvlText w:val="%1.%2.%3.%4.%5.%6.%7.%8.%9."/>
      <w:lvlJc w:val="left"/>
      <w:pPr>
        <w:ind w:left="2765"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999"/>
    <w:rsid w:val="00171999"/>
    <w:rsid w:val="00354F2D"/>
    <w:rsid w:val="00604F2A"/>
    <w:rsid w:val="00655D33"/>
    <w:rsid w:val="00693F42"/>
    <w:rsid w:val="007659FB"/>
    <w:rsid w:val="007E7813"/>
    <w:rsid w:val="00DC1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4BE69"/>
  <w15:chartTrackingRefBased/>
  <w15:docId w15:val="{D678EC9C-8E8B-445B-BF32-AB8BCB09F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71999"/>
    <w:pPr>
      <w:spacing w:after="200" w:line="276" w:lineRule="auto"/>
    </w:pPr>
    <w:rPr>
      <w:rFonts w:ascii="Cambria" w:eastAsia="Times New Roman" w:hAnsi="Cambria" w:cs="Times New Roman"/>
    </w:rPr>
  </w:style>
  <w:style w:type="paragraph" w:styleId="berschrift2">
    <w:name w:val="heading 2"/>
    <w:basedOn w:val="Liste2"/>
    <w:next w:val="Standard"/>
    <w:link w:val="berschrift2Zchn"/>
    <w:uiPriority w:val="99"/>
    <w:qFormat/>
    <w:rsid w:val="00171999"/>
    <w:pPr>
      <w:spacing w:before="200" w:after="0" w:line="271" w:lineRule="auto"/>
      <w:ind w:left="720" w:hanging="360"/>
      <w:outlineLvl w:val="1"/>
    </w:pPr>
    <w:rPr>
      <w:b/>
      <w:smallCaps/>
      <w:sz w:val="28"/>
      <w:szCs w:val="28"/>
    </w:rPr>
  </w:style>
  <w:style w:type="paragraph" w:styleId="berschrift3">
    <w:name w:val="heading 3"/>
    <w:basedOn w:val="Standard"/>
    <w:next w:val="Standard"/>
    <w:link w:val="berschrift3Zchn"/>
    <w:uiPriority w:val="99"/>
    <w:qFormat/>
    <w:rsid w:val="00171999"/>
    <w:pPr>
      <w:spacing w:before="200" w:after="0" w:line="271" w:lineRule="auto"/>
      <w:outlineLvl w:val="2"/>
    </w:pPr>
    <w:rPr>
      <w:b/>
      <w:i/>
      <w:iCs/>
      <w:smallCaps/>
      <w:spacing w:val="5"/>
      <w:sz w:val="24"/>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9"/>
    <w:rsid w:val="00171999"/>
    <w:rPr>
      <w:rFonts w:ascii="Cambria" w:eastAsia="Times New Roman" w:hAnsi="Cambria" w:cs="Times New Roman"/>
      <w:b/>
      <w:smallCaps/>
      <w:sz w:val="28"/>
      <w:szCs w:val="28"/>
    </w:rPr>
  </w:style>
  <w:style w:type="character" w:customStyle="1" w:styleId="berschrift3Zchn">
    <w:name w:val="Überschrift 3 Zchn"/>
    <w:basedOn w:val="Absatz-Standardschriftart"/>
    <w:link w:val="berschrift3"/>
    <w:uiPriority w:val="99"/>
    <w:rsid w:val="00171999"/>
    <w:rPr>
      <w:rFonts w:ascii="Cambria" w:eastAsia="Times New Roman" w:hAnsi="Cambria" w:cs="Times New Roman"/>
      <w:b/>
      <w:i/>
      <w:iCs/>
      <w:smallCaps/>
      <w:spacing w:val="5"/>
      <w:sz w:val="24"/>
      <w:szCs w:val="26"/>
    </w:rPr>
  </w:style>
  <w:style w:type="paragraph" w:styleId="Liste2">
    <w:name w:val="List 2"/>
    <w:basedOn w:val="Standard"/>
    <w:uiPriority w:val="99"/>
    <w:semiHidden/>
    <w:unhideWhenUsed/>
    <w:rsid w:val="00171999"/>
    <w:pPr>
      <w:ind w:left="566" w:hanging="283"/>
      <w:contextualSpacing/>
    </w:pPr>
  </w:style>
  <w:style w:type="character" w:customStyle="1" w:styleId="current-selection">
    <w:name w:val="current-selection"/>
    <w:basedOn w:val="Absatz-Standardschriftart"/>
    <w:rsid w:val="00693F42"/>
  </w:style>
  <w:style w:type="character" w:customStyle="1" w:styleId="a">
    <w:name w:val="_"/>
    <w:basedOn w:val="Absatz-Standardschriftart"/>
    <w:rsid w:val="00693F42"/>
  </w:style>
  <w:style w:type="character" w:customStyle="1" w:styleId="ffa">
    <w:name w:val="ffa"/>
    <w:basedOn w:val="Absatz-Standardschriftart"/>
    <w:rsid w:val="00693F42"/>
  </w:style>
  <w:style w:type="character" w:customStyle="1" w:styleId="enhanced-reference">
    <w:name w:val="enhanced-reference"/>
    <w:basedOn w:val="Absatz-Standardschriftart"/>
    <w:rsid w:val="00693F42"/>
  </w:style>
  <w:style w:type="character" w:customStyle="1" w:styleId="ff7">
    <w:name w:val="ff7"/>
    <w:basedOn w:val="Absatz-Standardschriftart"/>
    <w:rsid w:val="00693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9213059">
      <w:bodyDiv w:val="1"/>
      <w:marLeft w:val="0"/>
      <w:marRight w:val="0"/>
      <w:marTop w:val="0"/>
      <w:marBottom w:val="0"/>
      <w:divBdr>
        <w:top w:val="none" w:sz="0" w:space="0" w:color="auto"/>
        <w:left w:val="none" w:sz="0" w:space="0" w:color="auto"/>
        <w:bottom w:val="none" w:sz="0" w:space="0" w:color="auto"/>
        <w:right w:val="none" w:sz="0" w:space="0" w:color="auto"/>
      </w:divBdr>
      <w:divsChild>
        <w:div w:id="951866320">
          <w:marLeft w:val="0"/>
          <w:marRight w:val="0"/>
          <w:marTop w:val="0"/>
          <w:marBottom w:val="0"/>
          <w:divBdr>
            <w:top w:val="none" w:sz="0" w:space="0" w:color="auto"/>
            <w:left w:val="none" w:sz="0" w:space="0" w:color="auto"/>
            <w:bottom w:val="none" w:sz="0" w:space="0" w:color="auto"/>
            <w:right w:val="none" w:sz="0" w:space="0" w:color="auto"/>
          </w:divBdr>
        </w:div>
        <w:div w:id="2124958855">
          <w:marLeft w:val="0"/>
          <w:marRight w:val="0"/>
          <w:marTop w:val="0"/>
          <w:marBottom w:val="0"/>
          <w:divBdr>
            <w:top w:val="none" w:sz="0" w:space="0" w:color="auto"/>
            <w:left w:val="none" w:sz="0" w:space="0" w:color="auto"/>
            <w:bottom w:val="none" w:sz="0" w:space="0" w:color="auto"/>
            <w:right w:val="none" w:sz="0" w:space="0" w:color="auto"/>
          </w:divBdr>
        </w:div>
        <w:div w:id="1937204216">
          <w:marLeft w:val="0"/>
          <w:marRight w:val="0"/>
          <w:marTop w:val="0"/>
          <w:marBottom w:val="0"/>
          <w:divBdr>
            <w:top w:val="none" w:sz="0" w:space="0" w:color="auto"/>
            <w:left w:val="none" w:sz="0" w:space="0" w:color="auto"/>
            <w:bottom w:val="none" w:sz="0" w:space="0" w:color="auto"/>
            <w:right w:val="none" w:sz="0" w:space="0" w:color="auto"/>
          </w:divBdr>
        </w:div>
        <w:div w:id="1187907930">
          <w:marLeft w:val="0"/>
          <w:marRight w:val="0"/>
          <w:marTop w:val="0"/>
          <w:marBottom w:val="0"/>
          <w:divBdr>
            <w:top w:val="none" w:sz="0" w:space="0" w:color="auto"/>
            <w:left w:val="none" w:sz="0" w:space="0" w:color="auto"/>
            <w:bottom w:val="none" w:sz="0" w:space="0" w:color="auto"/>
            <w:right w:val="none" w:sz="0" w:space="0" w:color="auto"/>
          </w:divBdr>
        </w:div>
        <w:div w:id="1469780385">
          <w:marLeft w:val="0"/>
          <w:marRight w:val="0"/>
          <w:marTop w:val="0"/>
          <w:marBottom w:val="0"/>
          <w:divBdr>
            <w:top w:val="none" w:sz="0" w:space="0" w:color="auto"/>
            <w:left w:val="none" w:sz="0" w:space="0" w:color="auto"/>
            <w:bottom w:val="none" w:sz="0" w:space="0" w:color="auto"/>
            <w:right w:val="none" w:sz="0" w:space="0" w:color="auto"/>
          </w:divBdr>
        </w:div>
        <w:div w:id="1287852998">
          <w:marLeft w:val="0"/>
          <w:marRight w:val="0"/>
          <w:marTop w:val="0"/>
          <w:marBottom w:val="0"/>
          <w:divBdr>
            <w:top w:val="none" w:sz="0" w:space="0" w:color="auto"/>
            <w:left w:val="none" w:sz="0" w:space="0" w:color="auto"/>
            <w:bottom w:val="none" w:sz="0" w:space="0" w:color="auto"/>
            <w:right w:val="none" w:sz="0" w:space="0" w:color="auto"/>
          </w:divBdr>
        </w:div>
        <w:div w:id="804349130">
          <w:marLeft w:val="0"/>
          <w:marRight w:val="0"/>
          <w:marTop w:val="0"/>
          <w:marBottom w:val="0"/>
          <w:divBdr>
            <w:top w:val="none" w:sz="0" w:space="0" w:color="auto"/>
            <w:left w:val="none" w:sz="0" w:space="0" w:color="auto"/>
            <w:bottom w:val="none" w:sz="0" w:space="0" w:color="auto"/>
            <w:right w:val="none" w:sz="0" w:space="0" w:color="auto"/>
          </w:divBdr>
        </w:div>
        <w:div w:id="1059861561">
          <w:marLeft w:val="0"/>
          <w:marRight w:val="0"/>
          <w:marTop w:val="0"/>
          <w:marBottom w:val="0"/>
          <w:divBdr>
            <w:top w:val="none" w:sz="0" w:space="0" w:color="auto"/>
            <w:left w:val="none" w:sz="0" w:space="0" w:color="auto"/>
            <w:bottom w:val="none" w:sz="0" w:space="0" w:color="auto"/>
            <w:right w:val="none" w:sz="0" w:space="0" w:color="auto"/>
          </w:divBdr>
        </w:div>
        <w:div w:id="1985236407">
          <w:marLeft w:val="0"/>
          <w:marRight w:val="0"/>
          <w:marTop w:val="0"/>
          <w:marBottom w:val="0"/>
          <w:divBdr>
            <w:top w:val="none" w:sz="0" w:space="0" w:color="auto"/>
            <w:left w:val="none" w:sz="0" w:space="0" w:color="auto"/>
            <w:bottom w:val="none" w:sz="0" w:space="0" w:color="auto"/>
            <w:right w:val="none" w:sz="0" w:space="0" w:color="auto"/>
          </w:divBdr>
        </w:div>
        <w:div w:id="1942369135">
          <w:marLeft w:val="0"/>
          <w:marRight w:val="0"/>
          <w:marTop w:val="0"/>
          <w:marBottom w:val="0"/>
          <w:divBdr>
            <w:top w:val="none" w:sz="0" w:space="0" w:color="auto"/>
            <w:left w:val="none" w:sz="0" w:space="0" w:color="auto"/>
            <w:bottom w:val="none" w:sz="0" w:space="0" w:color="auto"/>
            <w:right w:val="none" w:sz="0" w:space="0" w:color="auto"/>
          </w:divBdr>
        </w:div>
        <w:div w:id="843740961">
          <w:marLeft w:val="0"/>
          <w:marRight w:val="0"/>
          <w:marTop w:val="0"/>
          <w:marBottom w:val="0"/>
          <w:divBdr>
            <w:top w:val="none" w:sz="0" w:space="0" w:color="auto"/>
            <w:left w:val="none" w:sz="0" w:space="0" w:color="auto"/>
            <w:bottom w:val="none" w:sz="0" w:space="0" w:color="auto"/>
            <w:right w:val="none" w:sz="0" w:space="0" w:color="auto"/>
          </w:divBdr>
        </w:div>
        <w:div w:id="1689678164">
          <w:marLeft w:val="0"/>
          <w:marRight w:val="0"/>
          <w:marTop w:val="0"/>
          <w:marBottom w:val="0"/>
          <w:divBdr>
            <w:top w:val="none" w:sz="0" w:space="0" w:color="auto"/>
            <w:left w:val="none" w:sz="0" w:space="0" w:color="auto"/>
            <w:bottom w:val="none" w:sz="0" w:space="0" w:color="auto"/>
            <w:right w:val="none" w:sz="0" w:space="0" w:color="auto"/>
          </w:divBdr>
        </w:div>
        <w:div w:id="1597208066">
          <w:marLeft w:val="0"/>
          <w:marRight w:val="0"/>
          <w:marTop w:val="0"/>
          <w:marBottom w:val="0"/>
          <w:divBdr>
            <w:top w:val="none" w:sz="0" w:space="0" w:color="auto"/>
            <w:left w:val="none" w:sz="0" w:space="0" w:color="auto"/>
            <w:bottom w:val="none" w:sz="0" w:space="0" w:color="auto"/>
            <w:right w:val="none" w:sz="0" w:space="0" w:color="auto"/>
          </w:divBdr>
        </w:div>
        <w:div w:id="1305232578">
          <w:marLeft w:val="0"/>
          <w:marRight w:val="0"/>
          <w:marTop w:val="0"/>
          <w:marBottom w:val="0"/>
          <w:divBdr>
            <w:top w:val="none" w:sz="0" w:space="0" w:color="auto"/>
            <w:left w:val="none" w:sz="0" w:space="0" w:color="auto"/>
            <w:bottom w:val="none" w:sz="0" w:space="0" w:color="auto"/>
            <w:right w:val="none" w:sz="0" w:space="0" w:color="auto"/>
          </w:divBdr>
        </w:div>
        <w:div w:id="1889342409">
          <w:marLeft w:val="0"/>
          <w:marRight w:val="0"/>
          <w:marTop w:val="0"/>
          <w:marBottom w:val="0"/>
          <w:divBdr>
            <w:top w:val="none" w:sz="0" w:space="0" w:color="auto"/>
            <w:left w:val="none" w:sz="0" w:space="0" w:color="auto"/>
            <w:bottom w:val="none" w:sz="0" w:space="0" w:color="auto"/>
            <w:right w:val="none" w:sz="0" w:space="0" w:color="auto"/>
          </w:divBdr>
        </w:div>
        <w:div w:id="547180601">
          <w:marLeft w:val="0"/>
          <w:marRight w:val="0"/>
          <w:marTop w:val="0"/>
          <w:marBottom w:val="0"/>
          <w:divBdr>
            <w:top w:val="none" w:sz="0" w:space="0" w:color="auto"/>
            <w:left w:val="none" w:sz="0" w:space="0" w:color="auto"/>
            <w:bottom w:val="none" w:sz="0" w:space="0" w:color="auto"/>
            <w:right w:val="none" w:sz="0" w:space="0" w:color="auto"/>
          </w:divBdr>
        </w:div>
        <w:div w:id="688414809">
          <w:marLeft w:val="0"/>
          <w:marRight w:val="0"/>
          <w:marTop w:val="0"/>
          <w:marBottom w:val="0"/>
          <w:divBdr>
            <w:top w:val="none" w:sz="0" w:space="0" w:color="auto"/>
            <w:left w:val="none" w:sz="0" w:space="0" w:color="auto"/>
            <w:bottom w:val="none" w:sz="0" w:space="0" w:color="auto"/>
            <w:right w:val="none" w:sz="0" w:space="0" w:color="auto"/>
          </w:divBdr>
        </w:div>
        <w:div w:id="1599213551">
          <w:marLeft w:val="0"/>
          <w:marRight w:val="0"/>
          <w:marTop w:val="0"/>
          <w:marBottom w:val="0"/>
          <w:divBdr>
            <w:top w:val="none" w:sz="0" w:space="0" w:color="auto"/>
            <w:left w:val="none" w:sz="0" w:space="0" w:color="auto"/>
            <w:bottom w:val="none" w:sz="0" w:space="0" w:color="auto"/>
            <w:right w:val="none" w:sz="0" w:space="0" w:color="auto"/>
          </w:divBdr>
        </w:div>
        <w:div w:id="1403603518">
          <w:marLeft w:val="0"/>
          <w:marRight w:val="0"/>
          <w:marTop w:val="0"/>
          <w:marBottom w:val="0"/>
          <w:divBdr>
            <w:top w:val="none" w:sz="0" w:space="0" w:color="auto"/>
            <w:left w:val="none" w:sz="0" w:space="0" w:color="auto"/>
            <w:bottom w:val="none" w:sz="0" w:space="0" w:color="auto"/>
            <w:right w:val="none" w:sz="0" w:space="0" w:color="auto"/>
          </w:divBdr>
        </w:div>
        <w:div w:id="1567573926">
          <w:marLeft w:val="0"/>
          <w:marRight w:val="0"/>
          <w:marTop w:val="0"/>
          <w:marBottom w:val="0"/>
          <w:divBdr>
            <w:top w:val="none" w:sz="0" w:space="0" w:color="auto"/>
            <w:left w:val="none" w:sz="0" w:space="0" w:color="auto"/>
            <w:bottom w:val="none" w:sz="0" w:space="0" w:color="auto"/>
            <w:right w:val="none" w:sz="0" w:space="0" w:color="auto"/>
          </w:divBdr>
        </w:div>
        <w:div w:id="1023555625">
          <w:marLeft w:val="0"/>
          <w:marRight w:val="0"/>
          <w:marTop w:val="0"/>
          <w:marBottom w:val="0"/>
          <w:divBdr>
            <w:top w:val="none" w:sz="0" w:space="0" w:color="auto"/>
            <w:left w:val="none" w:sz="0" w:space="0" w:color="auto"/>
            <w:bottom w:val="none" w:sz="0" w:space="0" w:color="auto"/>
            <w:right w:val="none" w:sz="0" w:space="0" w:color="auto"/>
          </w:divBdr>
        </w:div>
        <w:div w:id="175046759">
          <w:marLeft w:val="0"/>
          <w:marRight w:val="0"/>
          <w:marTop w:val="0"/>
          <w:marBottom w:val="0"/>
          <w:divBdr>
            <w:top w:val="none" w:sz="0" w:space="0" w:color="auto"/>
            <w:left w:val="none" w:sz="0" w:space="0" w:color="auto"/>
            <w:bottom w:val="none" w:sz="0" w:space="0" w:color="auto"/>
            <w:right w:val="none" w:sz="0" w:space="0" w:color="auto"/>
          </w:divBdr>
        </w:div>
        <w:div w:id="2062249264">
          <w:marLeft w:val="0"/>
          <w:marRight w:val="0"/>
          <w:marTop w:val="0"/>
          <w:marBottom w:val="0"/>
          <w:divBdr>
            <w:top w:val="none" w:sz="0" w:space="0" w:color="auto"/>
            <w:left w:val="none" w:sz="0" w:space="0" w:color="auto"/>
            <w:bottom w:val="none" w:sz="0" w:space="0" w:color="auto"/>
            <w:right w:val="none" w:sz="0" w:space="0" w:color="auto"/>
          </w:divBdr>
        </w:div>
        <w:div w:id="2041395242">
          <w:marLeft w:val="0"/>
          <w:marRight w:val="0"/>
          <w:marTop w:val="0"/>
          <w:marBottom w:val="0"/>
          <w:divBdr>
            <w:top w:val="none" w:sz="0" w:space="0" w:color="auto"/>
            <w:left w:val="none" w:sz="0" w:space="0" w:color="auto"/>
            <w:bottom w:val="none" w:sz="0" w:space="0" w:color="auto"/>
            <w:right w:val="none" w:sz="0" w:space="0" w:color="auto"/>
          </w:divBdr>
        </w:div>
        <w:div w:id="886406443">
          <w:marLeft w:val="0"/>
          <w:marRight w:val="0"/>
          <w:marTop w:val="0"/>
          <w:marBottom w:val="0"/>
          <w:divBdr>
            <w:top w:val="none" w:sz="0" w:space="0" w:color="auto"/>
            <w:left w:val="none" w:sz="0" w:space="0" w:color="auto"/>
            <w:bottom w:val="none" w:sz="0" w:space="0" w:color="auto"/>
            <w:right w:val="none" w:sz="0" w:space="0" w:color="auto"/>
          </w:divBdr>
        </w:div>
        <w:div w:id="331496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image" Target="media/image15.emf"/><Relationship Id="rId42" Type="http://schemas.openxmlformats.org/officeDocument/2006/relationships/fontTable" Target="fontTable.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41"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theme" Target="theme/theme1.xml"/><Relationship Id="rId8" Type="http://schemas.openxmlformats.org/officeDocument/2006/relationships/oleObject" Target="embeddings/oleObject2.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5.bin"/><Relationship Id="rId38" Type="http://schemas.openxmlformats.org/officeDocument/2006/relationships/oleObject" Target="embeddings/oleObject1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8872</Words>
  <Characters>50573</Characters>
  <Application>Microsoft Office Word</Application>
  <DocSecurity>0</DocSecurity>
  <Lines>421</Lines>
  <Paragraphs>118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Zaiss</dc:creator>
  <cp:keywords/>
  <dc:description/>
  <cp:lastModifiedBy>Moritz Zaiss</cp:lastModifiedBy>
  <cp:revision>1</cp:revision>
  <dcterms:created xsi:type="dcterms:W3CDTF">2016-06-07T09:14:00Z</dcterms:created>
  <dcterms:modified xsi:type="dcterms:W3CDTF">2016-06-07T10:42:00Z</dcterms:modified>
</cp:coreProperties>
</file>