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28E" w:rsidRPr="006437D7" w:rsidRDefault="00AC028E" w:rsidP="009F13A0">
      <w:pPr>
        <w:jc w:val="center"/>
        <w:rPr>
          <w:rFonts w:ascii="Times New Roman" w:hAnsi="Times New Roman" w:cs="Times New Roman"/>
          <w:b/>
          <w:sz w:val="24"/>
          <w:lang w:val="en-US"/>
        </w:rPr>
      </w:pPr>
      <w:r w:rsidRPr="006437D7">
        <w:rPr>
          <w:rFonts w:ascii="Times New Roman" w:hAnsi="Times New Roman" w:cs="Times New Roman"/>
          <w:b/>
          <w:sz w:val="24"/>
          <w:lang w:val="en-US"/>
        </w:rPr>
        <w:t xml:space="preserve">Installation and </w:t>
      </w:r>
      <w:r w:rsidR="009F13A0" w:rsidRPr="006437D7">
        <w:rPr>
          <w:rFonts w:ascii="Times New Roman" w:hAnsi="Times New Roman" w:cs="Times New Roman"/>
          <w:b/>
          <w:sz w:val="24"/>
          <w:lang w:val="en-US"/>
        </w:rPr>
        <w:t>user’s manual</w:t>
      </w:r>
      <w:r w:rsidRPr="006437D7">
        <w:rPr>
          <w:rFonts w:ascii="Times New Roman" w:hAnsi="Times New Roman" w:cs="Times New Roman"/>
          <w:b/>
          <w:sz w:val="24"/>
          <w:lang w:val="en-US"/>
        </w:rPr>
        <w:t xml:space="preserve"> for the Free Waveform Encoding (FWF) sequence</w:t>
      </w:r>
      <w:r w:rsidR="009F13A0" w:rsidRPr="006437D7">
        <w:rPr>
          <w:rFonts w:ascii="Times New Roman" w:hAnsi="Times New Roman" w:cs="Times New Roman"/>
          <w:b/>
          <w:sz w:val="24"/>
          <w:lang w:val="en-US"/>
        </w:rPr>
        <w:t xml:space="preserve"> (s)</w:t>
      </w:r>
    </w:p>
    <w:p w:rsidR="00AC028E" w:rsidRPr="006437D7" w:rsidRDefault="00AC028E" w:rsidP="009F13A0">
      <w:pPr>
        <w:jc w:val="center"/>
        <w:rPr>
          <w:rFonts w:ascii="Times New Roman" w:hAnsi="Times New Roman" w:cs="Times New Roman"/>
          <w:sz w:val="20"/>
          <w:szCs w:val="20"/>
          <w:lang w:val="en-US"/>
        </w:rPr>
      </w:pPr>
      <w:r w:rsidRPr="006437D7">
        <w:rPr>
          <w:rFonts w:ascii="Times New Roman" w:hAnsi="Times New Roman" w:cs="Times New Roman"/>
          <w:sz w:val="20"/>
          <w:szCs w:val="20"/>
          <w:lang w:val="en-US"/>
        </w:rPr>
        <w:t>Filip Szczepankiewicz (fszczepankiewicz@bwh.harvard.edu)</w:t>
      </w:r>
    </w:p>
    <w:p w:rsidR="00AC028E" w:rsidRPr="006437D7" w:rsidRDefault="00AC028E" w:rsidP="009F13A0">
      <w:pPr>
        <w:jc w:val="both"/>
        <w:rPr>
          <w:rFonts w:ascii="Times New Roman" w:hAnsi="Times New Roman" w:cs="Times New Roman"/>
          <w:i/>
          <w:lang w:val="en-US"/>
        </w:rPr>
      </w:pPr>
      <w:r w:rsidRPr="006437D7">
        <w:rPr>
          <w:rFonts w:ascii="Times New Roman" w:hAnsi="Times New Roman" w:cs="Times New Roman"/>
          <w:i/>
          <w:lang w:val="en-US"/>
        </w:rPr>
        <w:t>Scope</w:t>
      </w:r>
    </w:p>
    <w:p w:rsidR="00AC028E" w:rsidRPr="006437D7" w:rsidRDefault="00AC028E" w:rsidP="009F13A0">
      <w:pPr>
        <w:jc w:val="both"/>
        <w:rPr>
          <w:rFonts w:ascii="Times New Roman" w:hAnsi="Times New Roman" w:cs="Times New Roman"/>
          <w:lang w:val="en-US"/>
        </w:rPr>
      </w:pPr>
      <w:r w:rsidRPr="006437D7">
        <w:rPr>
          <w:rFonts w:ascii="Times New Roman" w:hAnsi="Times New Roman" w:cs="Times New Roman"/>
          <w:lang w:val="en-US"/>
        </w:rPr>
        <w:t>This document provides a very brief user manual to the FWF patch/sequence. For detailed information, please contact the author.</w:t>
      </w:r>
    </w:p>
    <w:p w:rsidR="00AC028E" w:rsidRPr="006437D7" w:rsidRDefault="00AC028E" w:rsidP="009F13A0">
      <w:pPr>
        <w:jc w:val="both"/>
        <w:rPr>
          <w:rFonts w:ascii="Times New Roman" w:hAnsi="Times New Roman" w:cs="Times New Roman"/>
          <w:i/>
          <w:lang w:val="en-US"/>
        </w:rPr>
      </w:pPr>
      <w:r w:rsidRPr="006437D7">
        <w:rPr>
          <w:rFonts w:ascii="Times New Roman" w:hAnsi="Times New Roman" w:cs="Times New Roman"/>
          <w:i/>
          <w:lang w:val="en-US"/>
        </w:rPr>
        <w:t>Introduction</w:t>
      </w:r>
    </w:p>
    <w:p w:rsidR="00AC028E" w:rsidRPr="006437D7" w:rsidRDefault="00AC028E" w:rsidP="009F13A0">
      <w:pPr>
        <w:jc w:val="both"/>
        <w:rPr>
          <w:rFonts w:ascii="Times New Roman" w:hAnsi="Times New Roman" w:cs="Times New Roman"/>
          <w:lang w:val="en-US"/>
        </w:rPr>
      </w:pPr>
      <w:r w:rsidRPr="006437D7">
        <w:rPr>
          <w:rFonts w:ascii="Times New Roman" w:hAnsi="Times New Roman" w:cs="Times New Roman"/>
          <w:lang w:val="en-US"/>
        </w:rPr>
        <w:t xml:space="preserve">The FWF sequence </w:t>
      </w:r>
      <w:r w:rsidR="00531A2A" w:rsidRPr="006437D7">
        <w:rPr>
          <w:rFonts w:ascii="Times New Roman" w:hAnsi="Times New Roman" w:cs="Times New Roman"/>
          <w:lang w:val="en-US"/>
        </w:rPr>
        <w:t>is</w:t>
      </w:r>
      <w:r w:rsidRPr="006437D7">
        <w:rPr>
          <w:rFonts w:ascii="Times New Roman" w:hAnsi="Times New Roman" w:cs="Times New Roman"/>
          <w:lang w:val="en-US"/>
        </w:rPr>
        <w:t xml:space="preserve"> based on the monopolar spin-echo diffusion encoding sequence. It removes the trapezoidal diffusion encoding </w:t>
      </w:r>
      <w:r w:rsidR="00531A2A" w:rsidRPr="006437D7">
        <w:rPr>
          <w:rFonts w:ascii="Times New Roman" w:hAnsi="Times New Roman" w:cs="Times New Roman"/>
          <w:lang w:val="en-US"/>
        </w:rPr>
        <w:t>waveforms and</w:t>
      </w:r>
      <w:r w:rsidRPr="006437D7">
        <w:rPr>
          <w:rFonts w:ascii="Times New Roman" w:hAnsi="Times New Roman" w:cs="Times New Roman"/>
          <w:lang w:val="en-US"/>
        </w:rPr>
        <w:t xml:space="preserve"> replaces them with an arbitrary waveform. The waveforms are </w:t>
      </w:r>
      <w:r w:rsidRPr="006437D7">
        <w:rPr>
          <w:rFonts w:ascii="Times New Roman" w:hAnsi="Times New Roman" w:cs="Times New Roman"/>
          <w:lang w:val="en-US"/>
        </w:rPr>
        <w:t>compiled into the sequence and cannot be modified by the user.</w:t>
      </w:r>
    </w:p>
    <w:p w:rsidR="00531A2A" w:rsidRPr="006437D7" w:rsidRDefault="00531A2A" w:rsidP="009F13A0">
      <w:pPr>
        <w:jc w:val="center"/>
        <w:rPr>
          <w:rFonts w:ascii="Times New Roman" w:hAnsi="Times New Roman" w:cs="Times New Roman"/>
          <w:lang w:val="en-US"/>
        </w:rPr>
      </w:pPr>
      <w:r w:rsidRPr="006437D7">
        <w:rPr>
          <w:rFonts w:ascii="Times New Roman" w:hAnsi="Times New Roman" w:cs="Times New Roman"/>
          <w:lang w:val="en-US"/>
        </w:rPr>
        <w:drawing>
          <wp:inline distT="0" distB="0" distL="0" distR="0" wp14:anchorId="4EBCAB51" wp14:editId="50FF51AC">
            <wp:extent cx="4840556" cy="2208443"/>
            <wp:effectExtent l="0" t="0" r="0" b="190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6410" cy="2211114"/>
                    </a:xfrm>
                    <a:prstGeom prst="rect">
                      <a:avLst/>
                    </a:prstGeom>
                  </pic:spPr>
                </pic:pic>
              </a:graphicData>
            </a:graphic>
          </wp:inline>
        </w:drawing>
      </w:r>
    </w:p>
    <w:p w:rsidR="009F13A0" w:rsidRPr="006437D7" w:rsidRDefault="00531A2A" w:rsidP="009F13A0">
      <w:pPr>
        <w:jc w:val="both"/>
        <w:rPr>
          <w:rFonts w:ascii="Times New Roman" w:hAnsi="Times New Roman" w:cs="Times New Roman"/>
          <w:lang w:val="en-US"/>
        </w:rPr>
      </w:pPr>
      <w:r w:rsidRPr="006437D7">
        <w:rPr>
          <w:rFonts w:ascii="Times New Roman" w:hAnsi="Times New Roman" w:cs="Times New Roman"/>
          <w:lang w:val="en-US"/>
        </w:rPr>
        <w:t xml:space="preserve">Fig. 1 </w:t>
      </w:r>
      <w:r w:rsidR="00CE7D1A" w:rsidRPr="006437D7">
        <w:rPr>
          <w:rFonts w:ascii="Times New Roman" w:hAnsi="Times New Roman" w:cs="Times New Roman"/>
          <w:lang w:val="en-US"/>
        </w:rPr>
        <w:t>–</w:t>
      </w:r>
      <w:r w:rsidR="009F13A0" w:rsidRPr="006437D7">
        <w:rPr>
          <w:rFonts w:ascii="Times New Roman" w:hAnsi="Times New Roman" w:cs="Times New Roman"/>
          <w:lang w:val="en-US"/>
        </w:rPr>
        <w:t xml:space="preserve"> </w:t>
      </w:r>
      <w:r w:rsidRPr="006437D7">
        <w:rPr>
          <w:rFonts w:ascii="Times New Roman" w:hAnsi="Times New Roman" w:cs="Times New Roman"/>
          <w:lang w:val="en-US"/>
        </w:rPr>
        <w:t>Schematic spin-echo sequence and its timing variables. The gradient waveforms are executed between the excitation pulse, refocusing pulse, and echo-planar</w:t>
      </w:r>
      <w:r w:rsidRPr="006437D7">
        <w:rPr>
          <w:rFonts w:ascii="Times New Roman" w:hAnsi="Times New Roman" w:cs="Times New Roman"/>
          <w:lang w:val="en-US"/>
        </w:rPr>
        <w:t xml:space="preserve"> </w:t>
      </w:r>
      <w:r w:rsidRPr="006437D7">
        <w:rPr>
          <w:rFonts w:ascii="Times New Roman" w:hAnsi="Times New Roman" w:cs="Times New Roman"/>
          <w:lang w:val="en-US"/>
        </w:rPr>
        <w:t>readout. The timing variables show the maximal time available for encoding (</w:t>
      </w:r>
      <w:proofErr w:type="spellStart"/>
      <w:r w:rsidRPr="006437D7">
        <w:rPr>
          <w:rFonts w:ascii="Times New Roman" w:hAnsi="Times New Roman" w:cs="Times New Roman"/>
          <w:lang w:val="en-US"/>
        </w:rPr>
        <w:t>T</w:t>
      </w:r>
      <w:r w:rsidRPr="00CE7D1A">
        <w:rPr>
          <w:rFonts w:ascii="Times New Roman" w:hAnsi="Times New Roman" w:cs="Times New Roman"/>
          <w:vertAlign w:val="subscript"/>
          <w:lang w:val="en-US"/>
        </w:rPr>
        <w:t>pre</w:t>
      </w:r>
      <w:proofErr w:type="spellEnd"/>
      <w:r w:rsidRPr="006437D7">
        <w:rPr>
          <w:rFonts w:ascii="Times New Roman" w:hAnsi="Times New Roman" w:cs="Times New Roman"/>
          <w:lang w:val="en-US"/>
        </w:rPr>
        <w:t xml:space="preserve"> and </w:t>
      </w:r>
      <w:proofErr w:type="spellStart"/>
      <w:r w:rsidRPr="006437D7">
        <w:rPr>
          <w:rFonts w:ascii="Times New Roman" w:hAnsi="Times New Roman" w:cs="Times New Roman"/>
          <w:lang w:val="en-US"/>
        </w:rPr>
        <w:t>T</w:t>
      </w:r>
      <w:r w:rsidRPr="00CE7D1A">
        <w:rPr>
          <w:rFonts w:ascii="Times New Roman" w:hAnsi="Times New Roman" w:cs="Times New Roman"/>
          <w:vertAlign w:val="subscript"/>
          <w:lang w:val="en-US"/>
        </w:rPr>
        <w:t>post</w:t>
      </w:r>
      <w:proofErr w:type="spellEnd"/>
      <w:r w:rsidRPr="006437D7">
        <w:rPr>
          <w:rFonts w:ascii="Times New Roman" w:hAnsi="Times New Roman" w:cs="Times New Roman"/>
          <w:lang w:val="en-US"/>
        </w:rPr>
        <w:t>), the</w:t>
      </w:r>
      <w:r w:rsidRPr="006437D7">
        <w:rPr>
          <w:rFonts w:ascii="Times New Roman" w:hAnsi="Times New Roman" w:cs="Times New Roman"/>
          <w:lang w:val="en-US"/>
        </w:rPr>
        <w:t xml:space="preserve"> </w:t>
      </w:r>
      <w:r w:rsidRPr="006437D7">
        <w:rPr>
          <w:rFonts w:ascii="Times New Roman" w:hAnsi="Times New Roman" w:cs="Times New Roman"/>
          <w:lang w:val="en-US"/>
        </w:rPr>
        <w:t>duration of each gradient waveform (δ</w:t>
      </w:r>
      <w:r w:rsidRPr="00CE7D1A">
        <w:rPr>
          <w:rFonts w:ascii="Times New Roman" w:hAnsi="Times New Roman" w:cs="Times New Roman"/>
          <w:vertAlign w:val="subscript"/>
          <w:lang w:val="en-US"/>
        </w:rPr>
        <w:t>1</w:t>
      </w:r>
      <w:r w:rsidRPr="006437D7">
        <w:rPr>
          <w:rFonts w:ascii="Times New Roman" w:hAnsi="Times New Roman" w:cs="Times New Roman"/>
          <w:lang w:val="en-US"/>
        </w:rPr>
        <w:t xml:space="preserve"> and δ</w:t>
      </w:r>
      <w:r w:rsidRPr="00CE7D1A">
        <w:rPr>
          <w:rFonts w:ascii="Times New Roman" w:hAnsi="Times New Roman" w:cs="Times New Roman"/>
          <w:vertAlign w:val="subscript"/>
          <w:lang w:val="en-US"/>
        </w:rPr>
        <w:t>2</w:t>
      </w:r>
      <w:r w:rsidRPr="006437D7">
        <w:rPr>
          <w:rFonts w:ascii="Times New Roman" w:hAnsi="Times New Roman" w:cs="Times New Roman"/>
          <w:lang w:val="en-US"/>
        </w:rPr>
        <w:t>), the gradient waveform separation (Δ), the duration of the</w:t>
      </w:r>
      <w:r w:rsidRPr="006437D7">
        <w:rPr>
          <w:rFonts w:ascii="Times New Roman" w:hAnsi="Times New Roman" w:cs="Times New Roman"/>
          <w:lang w:val="en-US"/>
        </w:rPr>
        <w:t xml:space="preserve"> </w:t>
      </w:r>
      <w:r w:rsidRPr="006437D7">
        <w:rPr>
          <w:rFonts w:ascii="Times New Roman" w:hAnsi="Times New Roman" w:cs="Times New Roman"/>
          <w:lang w:val="en-US"/>
        </w:rPr>
        <w:t>refocusing block including the crushers (T</w:t>
      </w:r>
      <w:r w:rsidRPr="00CE7D1A">
        <w:rPr>
          <w:rFonts w:ascii="Times New Roman" w:hAnsi="Times New Roman" w:cs="Times New Roman"/>
          <w:vertAlign w:val="subscript"/>
          <w:lang w:val="en-US"/>
        </w:rPr>
        <w:t>180</w:t>
      </w:r>
      <w:r w:rsidRPr="006437D7">
        <w:rPr>
          <w:rFonts w:ascii="Times New Roman" w:hAnsi="Times New Roman" w:cs="Times New Roman"/>
          <w:lang w:val="en-US"/>
        </w:rPr>
        <w:t>), the total encoding time (</w:t>
      </w:r>
      <w:proofErr w:type="spellStart"/>
      <w:r w:rsidRPr="006437D7">
        <w:rPr>
          <w:rFonts w:ascii="Times New Roman" w:hAnsi="Times New Roman" w:cs="Times New Roman"/>
          <w:lang w:val="en-US"/>
        </w:rPr>
        <w:t>T</w:t>
      </w:r>
      <w:r w:rsidRPr="00CE7D1A">
        <w:rPr>
          <w:rFonts w:ascii="Times New Roman" w:hAnsi="Times New Roman" w:cs="Times New Roman"/>
          <w:vertAlign w:val="subscript"/>
          <w:lang w:val="en-US"/>
        </w:rPr>
        <w:t>enc</w:t>
      </w:r>
      <w:proofErr w:type="spellEnd"/>
      <w:r w:rsidRPr="006437D7">
        <w:rPr>
          <w:rFonts w:ascii="Times New Roman" w:hAnsi="Times New Roman" w:cs="Times New Roman"/>
          <w:lang w:val="en-US"/>
        </w:rPr>
        <w:t>), and the echo time (TE). The</w:t>
      </w:r>
      <w:r w:rsidRPr="006437D7">
        <w:rPr>
          <w:rFonts w:ascii="Times New Roman" w:hAnsi="Times New Roman" w:cs="Times New Roman"/>
          <w:lang w:val="en-US"/>
        </w:rPr>
        <w:t xml:space="preserve"> </w:t>
      </w:r>
      <w:r w:rsidRPr="006437D7">
        <w:rPr>
          <w:rFonts w:ascii="Times New Roman" w:hAnsi="Times New Roman" w:cs="Times New Roman"/>
          <w:lang w:val="en-US"/>
        </w:rPr>
        <w:t>balance gradient (red) is executed at the same time as the first crusher. Note that the Stejskal-Tanner</w:t>
      </w:r>
      <w:r w:rsidRPr="006437D7">
        <w:rPr>
          <w:rFonts w:ascii="Times New Roman" w:hAnsi="Times New Roman" w:cs="Times New Roman"/>
          <w:lang w:val="en-US"/>
        </w:rPr>
        <w:t xml:space="preserve"> </w:t>
      </w:r>
      <w:r w:rsidRPr="006437D7">
        <w:rPr>
          <w:rFonts w:ascii="Times New Roman" w:hAnsi="Times New Roman" w:cs="Times New Roman"/>
          <w:lang w:val="en-US"/>
        </w:rPr>
        <w:t xml:space="preserve">and q-space trajectory encoding gradients are shown together for visual </w:t>
      </w:r>
      <w:r w:rsidR="009F13A0" w:rsidRPr="006437D7">
        <w:rPr>
          <w:rFonts w:ascii="Times New Roman" w:hAnsi="Times New Roman" w:cs="Times New Roman"/>
          <w:lang w:val="en-US"/>
        </w:rPr>
        <w:t>reference but</w:t>
      </w:r>
      <w:r w:rsidRPr="006437D7">
        <w:rPr>
          <w:rFonts w:ascii="Times New Roman" w:hAnsi="Times New Roman" w:cs="Times New Roman"/>
          <w:lang w:val="en-US"/>
        </w:rPr>
        <w:t xml:space="preserve"> are not executed</w:t>
      </w:r>
      <w:r w:rsidRPr="006437D7">
        <w:rPr>
          <w:rFonts w:ascii="Times New Roman" w:hAnsi="Times New Roman" w:cs="Times New Roman"/>
          <w:lang w:val="en-US"/>
        </w:rPr>
        <w:t xml:space="preserve"> </w:t>
      </w:r>
      <w:r w:rsidRPr="006437D7">
        <w:rPr>
          <w:rFonts w:ascii="Times New Roman" w:hAnsi="Times New Roman" w:cs="Times New Roman"/>
          <w:lang w:val="en-US"/>
        </w:rPr>
        <w:t>simultaneously</w:t>
      </w:r>
      <w:r w:rsidR="009F13A0" w:rsidRPr="006437D7">
        <w:rPr>
          <w:rFonts w:ascii="Times New Roman" w:hAnsi="Times New Roman" w:cs="Times New Roman"/>
          <w:lang w:val="en-US"/>
        </w:rPr>
        <w:t xml:space="preserve"> in practice</w:t>
      </w:r>
      <w:r w:rsidRPr="006437D7">
        <w:rPr>
          <w:rFonts w:ascii="Times New Roman" w:hAnsi="Times New Roman" w:cs="Times New Roman"/>
          <w:lang w:val="en-US"/>
        </w:rPr>
        <w:t>.</w:t>
      </w:r>
      <w:r w:rsidR="009F13A0" w:rsidRPr="006437D7">
        <w:rPr>
          <w:rFonts w:ascii="Times New Roman" w:hAnsi="Times New Roman" w:cs="Times New Roman"/>
          <w:lang w:val="en-US"/>
        </w:rPr>
        <w:t xml:space="preserve"> Image adapted from </w:t>
      </w:r>
      <w:r w:rsidR="009F13A0" w:rsidRPr="006437D7">
        <w:rPr>
          <w:rFonts w:ascii="Times New Roman" w:hAnsi="Times New Roman" w:cs="Times New Roman"/>
          <w:lang w:val="en-US"/>
        </w:rPr>
        <w:fldChar w:fldCharType="begin"/>
      </w:r>
      <w:r w:rsidR="009F13A0" w:rsidRPr="006437D7">
        <w:rPr>
          <w:rFonts w:ascii="Times New Roman" w:hAnsi="Times New Roman" w:cs="Times New Roman"/>
          <w:lang w:val="en-US"/>
        </w:rPr>
        <w:instrText xml:space="preserve"> ADDIN EN.CITE &lt;EndNote&gt;&lt;Cite&gt;&lt;Author&gt;Szczepankiewicz&lt;/Author&gt;&lt;Year&gt;2016&lt;/Year&gt;&lt;RecNum&gt;949&lt;/RecNum&gt;&lt;DisplayText&gt;[1]&lt;/DisplayText&gt;&lt;record&gt;&lt;rec-number&gt;949&lt;/rec-number&gt;&lt;foreign-keys&gt;&lt;key app="EN" db-id="a900tvtfuwwpa3eaewx5dzf8xed9dta59fd0" timestamp="1490692149"&gt;949&lt;/key&gt;&lt;key app="ENWeb" db-id=""&gt;0&lt;/key&gt;&lt;/foreign-keys&gt;&lt;ref-type name="Thesis"&gt;32&lt;/ref-type&gt;&lt;contributors&gt;&lt;authors&gt;&lt;author&gt;Szczepankiewicz, F.&lt;/author&gt;&lt;/authors&gt;&lt;tertiary-authors&gt;&lt;author&gt;Nilsson, Markus&lt;/author&gt;&lt;/tertiary-authors&gt;&lt;/contributors&gt;&lt;titles&gt;&lt;title&gt;Imaging diffusional variance by MRI: The role of tensor-valued diffusion encoding and tissue heterogeneity&lt;/title&gt;&lt;secondary-title&gt;Department of Medical Radiation Physics&lt;/secondary-title&gt;&lt;/titles&gt;&lt;volume&gt;Ph.D. Thesis&lt;/volume&gt;&lt;dates&gt;&lt;year&gt;2016&lt;/year&gt;&lt;/dates&gt;&lt;publisher&gt;Lund University&lt;/publisher&gt;&lt;isbn&gt;978-91-7753-034-3&lt;/isbn&gt;&lt;urls&gt;&lt;/urls&gt;&lt;/record&gt;&lt;/Cite&gt;&lt;/EndNote&gt;</w:instrText>
      </w:r>
      <w:r w:rsidR="009F13A0" w:rsidRPr="006437D7">
        <w:rPr>
          <w:rFonts w:ascii="Times New Roman" w:hAnsi="Times New Roman" w:cs="Times New Roman"/>
          <w:lang w:val="en-US"/>
        </w:rPr>
        <w:fldChar w:fldCharType="separate"/>
      </w:r>
      <w:r w:rsidR="009F13A0" w:rsidRPr="006437D7">
        <w:rPr>
          <w:rFonts w:ascii="Times New Roman" w:hAnsi="Times New Roman" w:cs="Times New Roman"/>
          <w:noProof/>
          <w:lang w:val="en-US"/>
        </w:rPr>
        <w:t>[1]</w:t>
      </w:r>
      <w:r w:rsidR="009F13A0" w:rsidRPr="006437D7">
        <w:rPr>
          <w:rFonts w:ascii="Times New Roman" w:hAnsi="Times New Roman" w:cs="Times New Roman"/>
          <w:lang w:val="en-US"/>
        </w:rPr>
        <w:fldChar w:fldCharType="end"/>
      </w:r>
      <w:r w:rsidR="009F13A0" w:rsidRPr="006437D7">
        <w:rPr>
          <w:rFonts w:ascii="Times New Roman" w:hAnsi="Times New Roman" w:cs="Times New Roman"/>
          <w:lang w:val="en-US"/>
        </w:rPr>
        <w:t>.</w:t>
      </w:r>
    </w:p>
    <w:p w:rsidR="00CD26FE" w:rsidRPr="006437D7" w:rsidRDefault="00CD26FE" w:rsidP="009F13A0">
      <w:pPr>
        <w:jc w:val="both"/>
        <w:rPr>
          <w:rFonts w:ascii="Times New Roman" w:hAnsi="Times New Roman" w:cs="Times New Roman"/>
          <w:lang w:val="en-US"/>
        </w:rPr>
      </w:pPr>
    </w:p>
    <w:p w:rsidR="00AC028E" w:rsidRPr="006437D7" w:rsidRDefault="00AC028E" w:rsidP="009F13A0">
      <w:pPr>
        <w:jc w:val="both"/>
        <w:rPr>
          <w:rFonts w:ascii="Times New Roman" w:hAnsi="Times New Roman" w:cs="Times New Roman"/>
          <w:i/>
          <w:lang w:val="en-US"/>
        </w:rPr>
      </w:pPr>
      <w:r w:rsidRPr="006437D7">
        <w:rPr>
          <w:rFonts w:ascii="Times New Roman" w:hAnsi="Times New Roman" w:cs="Times New Roman"/>
          <w:i/>
          <w:lang w:val="en-US"/>
        </w:rPr>
        <w:t>Installation of sequence</w:t>
      </w:r>
    </w:p>
    <w:p w:rsidR="00AC028E" w:rsidRPr="006437D7" w:rsidRDefault="00AC028E" w:rsidP="009F13A0">
      <w:pPr>
        <w:pStyle w:val="Liststycke"/>
        <w:numPr>
          <w:ilvl w:val="0"/>
          <w:numId w:val="1"/>
        </w:numPr>
        <w:jc w:val="both"/>
        <w:rPr>
          <w:rFonts w:ascii="Times New Roman" w:hAnsi="Times New Roman" w:cs="Times New Roman"/>
        </w:rPr>
      </w:pPr>
      <w:r w:rsidRPr="006437D7">
        <w:rPr>
          <w:rFonts w:ascii="Times New Roman" w:hAnsi="Times New Roman" w:cs="Times New Roman"/>
        </w:rPr>
        <w:t>Transfer the provided .</w:t>
      </w:r>
      <w:proofErr w:type="spellStart"/>
      <w:r w:rsidRPr="006437D7">
        <w:rPr>
          <w:rFonts w:ascii="Times New Roman" w:hAnsi="Times New Roman" w:cs="Times New Roman"/>
        </w:rPr>
        <w:t>dll</w:t>
      </w:r>
      <w:proofErr w:type="spellEnd"/>
      <w:r w:rsidRPr="006437D7">
        <w:rPr>
          <w:rFonts w:ascii="Times New Roman" w:hAnsi="Times New Roman" w:cs="Times New Roman"/>
        </w:rPr>
        <w:t xml:space="preserve"> and .so file to the customer sequence folder. </w:t>
      </w:r>
      <w:r w:rsidRPr="006437D7">
        <w:rPr>
          <w:rFonts w:ascii="Times New Roman" w:hAnsi="Times New Roman" w:cs="Times New Roman"/>
        </w:rPr>
        <w:t>This folder can be reached by writing %</w:t>
      </w:r>
      <w:proofErr w:type="spellStart"/>
      <w:r w:rsidRPr="006437D7">
        <w:rPr>
          <w:rFonts w:ascii="Times New Roman" w:hAnsi="Times New Roman" w:cs="Times New Roman"/>
        </w:rPr>
        <w:t>CustomerSeq</w:t>
      </w:r>
      <w:proofErr w:type="spellEnd"/>
      <w:r w:rsidRPr="006437D7">
        <w:rPr>
          <w:rFonts w:ascii="Times New Roman" w:hAnsi="Times New Roman" w:cs="Times New Roman"/>
        </w:rPr>
        <w:t>% in the explorer</w:t>
      </w:r>
      <w:r w:rsidRPr="006437D7">
        <w:rPr>
          <w:rFonts w:ascii="Times New Roman" w:hAnsi="Times New Roman" w:cs="Times New Roman"/>
        </w:rPr>
        <w:t xml:space="preserve"> window</w:t>
      </w:r>
      <w:r w:rsidRPr="006437D7">
        <w:rPr>
          <w:rFonts w:ascii="Times New Roman" w:hAnsi="Times New Roman" w:cs="Times New Roman"/>
        </w:rPr>
        <w:t>, and pressing enter, and may have a different absolute address on different systems.</w:t>
      </w:r>
    </w:p>
    <w:p w:rsidR="007427E8" w:rsidRPr="006437D7" w:rsidRDefault="00AC028E" w:rsidP="007427E8">
      <w:pPr>
        <w:pStyle w:val="Liststycke"/>
        <w:numPr>
          <w:ilvl w:val="0"/>
          <w:numId w:val="1"/>
        </w:numPr>
        <w:jc w:val="both"/>
        <w:rPr>
          <w:rFonts w:ascii="Times New Roman" w:hAnsi="Times New Roman" w:cs="Times New Roman"/>
        </w:rPr>
      </w:pPr>
      <w:r w:rsidRPr="006437D7">
        <w:rPr>
          <w:rFonts w:ascii="Times New Roman" w:hAnsi="Times New Roman" w:cs="Times New Roman"/>
        </w:rPr>
        <w:t>Import the sequence into the DOT editor (main interface on host computer) by dragging it from the default customer sequence “folder”. Please see the separate manual for this step.</w:t>
      </w:r>
    </w:p>
    <w:p w:rsidR="00AC028E" w:rsidRPr="006437D7" w:rsidRDefault="00AC028E" w:rsidP="009F13A0">
      <w:pPr>
        <w:jc w:val="both"/>
        <w:rPr>
          <w:rFonts w:ascii="Times New Roman" w:hAnsi="Times New Roman" w:cs="Times New Roman"/>
          <w:i/>
          <w:lang w:val="en-US"/>
        </w:rPr>
      </w:pPr>
      <w:r w:rsidRPr="006437D7">
        <w:rPr>
          <w:rFonts w:ascii="Times New Roman" w:hAnsi="Times New Roman" w:cs="Times New Roman"/>
          <w:i/>
          <w:lang w:val="en-US"/>
        </w:rPr>
        <w:t>First use of FWF sequence</w:t>
      </w:r>
    </w:p>
    <w:p w:rsidR="00AC028E" w:rsidRPr="006437D7" w:rsidRDefault="00AC028E" w:rsidP="009F13A0">
      <w:pPr>
        <w:pStyle w:val="Liststycke"/>
        <w:numPr>
          <w:ilvl w:val="0"/>
          <w:numId w:val="2"/>
        </w:numPr>
        <w:jc w:val="both"/>
        <w:rPr>
          <w:rFonts w:ascii="Times New Roman" w:hAnsi="Times New Roman" w:cs="Times New Roman"/>
        </w:rPr>
      </w:pPr>
      <w:r w:rsidRPr="006437D7">
        <w:rPr>
          <w:rFonts w:ascii="Times New Roman" w:hAnsi="Times New Roman" w:cs="Times New Roman"/>
        </w:rPr>
        <w:t>Load the sequence into the sequence editor. Check that the loaded sequence states that ‘a_ep2d_diff_fwf</w:t>
      </w:r>
      <w:r w:rsidRPr="006437D7">
        <w:rPr>
          <w:rFonts w:ascii="Times New Roman" w:hAnsi="Times New Roman" w:cs="Times New Roman"/>
        </w:rPr>
        <w:t>_simple</w:t>
      </w:r>
      <w:r w:rsidRPr="006437D7">
        <w:rPr>
          <w:rFonts w:ascii="Times New Roman" w:hAnsi="Times New Roman" w:cs="Times New Roman"/>
        </w:rPr>
        <w:t>’ is running by hoovering the cursor over the sequence type (normally seen as the string ‘</w:t>
      </w:r>
      <w:proofErr w:type="spellStart"/>
      <w:r w:rsidRPr="006437D7">
        <w:rPr>
          <w:rFonts w:ascii="Times New Roman" w:hAnsi="Times New Roman" w:cs="Times New Roman"/>
        </w:rPr>
        <w:t>epse</w:t>
      </w:r>
      <w:proofErr w:type="spellEnd"/>
      <w:r w:rsidRPr="006437D7">
        <w:rPr>
          <w:rFonts w:ascii="Times New Roman" w:hAnsi="Times New Roman" w:cs="Times New Roman"/>
        </w:rPr>
        <w:t>’ in the upper right corner, see red square in Figure 1).</w:t>
      </w:r>
    </w:p>
    <w:p w:rsidR="00AC028E" w:rsidRPr="006437D7" w:rsidRDefault="00AC028E" w:rsidP="009F13A0">
      <w:pPr>
        <w:pStyle w:val="Liststycke"/>
        <w:numPr>
          <w:ilvl w:val="0"/>
          <w:numId w:val="2"/>
        </w:numPr>
        <w:jc w:val="both"/>
        <w:rPr>
          <w:rFonts w:ascii="Times New Roman" w:hAnsi="Times New Roman" w:cs="Times New Roman"/>
        </w:rPr>
      </w:pPr>
      <w:r w:rsidRPr="006437D7">
        <w:rPr>
          <w:rFonts w:ascii="Times New Roman" w:hAnsi="Times New Roman" w:cs="Times New Roman"/>
        </w:rPr>
        <w:t>To engage the additional FWF functions, select the [Diff]-tab, and set the ‘Diffusion Scheme’ to ‘Monopolar’, instead of ‘Bipolar’</w:t>
      </w:r>
      <w:r w:rsidR="009F13A0" w:rsidRPr="006437D7">
        <w:rPr>
          <w:rFonts w:ascii="Times New Roman" w:hAnsi="Times New Roman" w:cs="Times New Roman"/>
        </w:rPr>
        <w:t xml:space="preserve"> (see Fig. 2)</w:t>
      </w:r>
      <w:r w:rsidRPr="006437D7">
        <w:rPr>
          <w:rFonts w:ascii="Times New Roman" w:hAnsi="Times New Roman" w:cs="Times New Roman"/>
        </w:rPr>
        <w:t xml:space="preserve">. When the ‘Monopolar’ encoding type is </w:t>
      </w:r>
      <w:r w:rsidRPr="006437D7">
        <w:rPr>
          <w:rFonts w:ascii="Times New Roman" w:hAnsi="Times New Roman" w:cs="Times New Roman"/>
        </w:rPr>
        <w:lastRenderedPageBreak/>
        <w:t xml:space="preserve">selected, </w:t>
      </w:r>
      <w:r w:rsidR="00531A2A" w:rsidRPr="006437D7">
        <w:rPr>
          <w:rFonts w:ascii="Times New Roman" w:hAnsi="Times New Roman" w:cs="Times New Roman"/>
        </w:rPr>
        <w:t xml:space="preserve">the FWF sequence replaces </w:t>
      </w:r>
      <w:r w:rsidRPr="006437D7">
        <w:rPr>
          <w:rFonts w:ascii="Times New Roman" w:hAnsi="Times New Roman" w:cs="Times New Roman"/>
        </w:rPr>
        <w:t xml:space="preserve">the monopolar Stejskal-Tanner experiment. To run the </w:t>
      </w:r>
      <w:r w:rsidR="00531A2A" w:rsidRPr="006437D7">
        <w:rPr>
          <w:rFonts w:ascii="Times New Roman" w:hAnsi="Times New Roman" w:cs="Times New Roman"/>
        </w:rPr>
        <w:t xml:space="preserve">original </w:t>
      </w:r>
      <w:r w:rsidRPr="006437D7">
        <w:rPr>
          <w:rFonts w:ascii="Times New Roman" w:hAnsi="Times New Roman" w:cs="Times New Roman"/>
        </w:rPr>
        <w:t>monopolar version, please use the standard sequence</w:t>
      </w:r>
      <w:r w:rsidR="00531A2A" w:rsidRPr="006437D7">
        <w:rPr>
          <w:rFonts w:ascii="Times New Roman" w:hAnsi="Times New Roman" w:cs="Times New Roman"/>
        </w:rPr>
        <w:t xml:space="preserve"> from the sequence library.</w:t>
      </w:r>
    </w:p>
    <w:p w:rsidR="00AC028E" w:rsidRPr="006437D7" w:rsidRDefault="00AC028E" w:rsidP="009F13A0">
      <w:pPr>
        <w:pStyle w:val="Liststycke"/>
        <w:numPr>
          <w:ilvl w:val="0"/>
          <w:numId w:val="2"/>
        </w:numPr>
        <w:jc w:val="both"/>
        <w:rPr>
          <w:rFonts w:ascii="Times New Roman" w:hAnsi="Times New Roman" w:cs="Times New Roman"/>
        </w:rPr>
      </w:pPr>
      <w:r w:rsidRPr="006437D7">
        <w:rPr>
          <w:rFonts w:ascii="Times New Roman" w:hAnsi="Times New Roman" w:cs="Times New Roman"/>
        </w:rPr>
        <w:t>Go to [Sequence] – [Special] – tab. All FWF functionality is controlled from this tab. Conventional controls, such as setting the b-values, are unchanged. The special tab should look as that presented in Figure 1. If the parameter ‘</w:t>
      </w:r>
      <w:proofErr w:type="spellStart"/>
      <w:r w:rsidRPr="006437D7">
        <w:rPr>
          <w:rFonts w:ascii="Times New Roman" w:hAnsi="Times New Roman" w:cs="Times New Roman"/>
        </w:rPr>
        <w:t>MaxBVal</w:t>
      </w:r>
      <w:proofErr w:type="spellEnd"/>
      <w:r w:rsidRPr="006437D7">
        <w:rPr>
          <w:rFonts w:ascii="Times New Roman" w:hAnsi="Times New Roman" w:cs="Times New Roman"/>
        </w:rPr>
        <w:t xml:space="preserve">’ is zero, something is </w:t>
      </w:r>
      <w:proofErr w:type="gramStart"/>
      <w:r w:rsidRPr="006437D7">
        <w:rPr>
          <w:rFonts w:ascii="Times New Roman" w:hAnsi="Times New Roman" w:cs="Times New Roman"/>
        </w:rPr>
        <w:t>wrong</w:t>
      </w:r>
      <w:proofErr w:type="gramEnd"/>
      <w:r w:rsidRPr="006437D7">
        <w:rPr>
          <w:rFonts w:ascii="Times New Roman" w:hAnsi="Times New Roman" w:cs="Times New Roman"/>
        </w:rPr>
        <w:t xml:space="preserve"> and the sequence should not be executed.</w:t>
      </w:r>
    </w:p>
    <w:p w:rsidR="00531A2A" w:rsidRPr="006437D7" w:rsidRDefault="00AC028E" w:rsidP="009F13A0">
      <w:pPr>
        <w:pStyle w:val="Liststycke"/>
        <w:numPr>
          <w:ilvl w:val="0"/>
          <w:numId w:val="2"/>
        </w:numPr>
        <w:jc w:val="both"/>
        <w:rPr>
          <w:rFonts w:ascii="Times New Roman" w:hAnsi="Times New Roman" w:cs="Times New Roman"/>
        </w:rPr>
      </w:pPr>
      <w:r w:rsidRPr="006437D7">
        <w:rPr>
          <w:rFonts w:ascii="Times New Roman" w:hAnsi="Times New Roman" w:cs="Times New Roman"/>
        </w:rPr>
        <w:t>Change the preset b-value (normally zero) and test the sequence on a water phantom. It is a good idea to start slow, and to validate that the sequence measures the correct ADC in water.</w:t>
      </w:r>
      <w:r w:rsidR="00531A2A" w:rsidRPr="006437D7">
        <w:rPr>
          <w:rFonts w:ascii="Times New Roman" w:hAnsi="Times New Roman" w:cs="Times New Roman"/>
        </w:rPr>
        <w:t xml:space="preserve"> Also test the sequence in oil and note if any signal is lost (it should not be).</w:t>
      </w:r>
    </w:p>
    <w:p w:rsidR="00AC028E" w:rsidRPr="006437D7" w:rsidRDefault="00AC028E" w:rsidP="009F13A0">
      <w:pPr>
        <w:jc w:val="both"/>
        <w:rPr>
          <w:rFonts w:ascii="Times New Roman" w:hAnsi="Times New Roman" w:cs="Times New Roman"/>
          <w:lang w:val="en-US"/>
        </w:rPr>
      </w:pPr>
    </w:p>
    <w:p w:rsidR="009F13A0" w:rsidRPr="006437D7" w:rsidRDefault="009F13A0" w:rsidP="009F13A0">
      <w:pPr>
        <w:jc w:val="center"/>
        <w:rPr>
          <w:rFonts w:ascii="Times New Roman" w:hAnsi="Times New Roman" w:cs="Times New Roman"/>
          <w:lang w:val="en-US"/>
        </w:rPr>
      </w:pPr>
      <w:r w:rsidRPr="006437D7">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1588087</wp:posOffset>
                </wp:positionH>
                <wp:positionV relativeFrom="paragraph">
                  <wp:posOffset>971062</wp:posOffset>
                </wp:positionV>
                <wp:extent cx="937846" cy="228600"/>
                <wp:effectExtent l="19050" t="19050" r="15240" b="19050"/>
                <wp:wrapNone/>
                <wp:docPr id="2" name="Rektangel 2"/>
                <wp:cNvGraphicFramePr/>
                <a:graphic xmlns:a="http://schemas.openxmlformats.org/drawingml/2006/main">
                  <a:graphicData uri="http://schemas.microsoft.com/office/word/2010/wordprocessingShape">
                    <wps:wsp>
                      <wps:cNvSpPr/>
                      <wps:spPr>
                        <a:xfrm>
                          <a:off x="0" y="0"/>
                          <a:ext cx="937846" cy="228600"/>
                        </a:xfrm>
                        <a:prstGeom prst="rect">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FCF6F" id="Rektangel 2" o:spid="_x0000_s1026" style="position:absolute;margin-left:125.05pt;margin-top:76.45pt;width:73.8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" filled="f" strokecolor="red" strokeweight="2.5pt"/>
            </w:pict>
          </mc:Fallback>
        </mc:AlternateContent>
      </w:r>
      <w:r w:rsidRPr="006437D7">
        <w:rPr>
          <w:rFonts w:ascii="Times New Roman" w:hAnsi="Times New Roman" w:cs="Times New Roman"/>
        </w:rPr>
        <w:drawing>
          <wp:inline distT="0" distB="0" distL="0" distR="0" wp14:anchorId="3D05DB83" wp14:editId="67B0A3EF">
            <wp:extent cx="4179277" cy="24810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4194574" cy="2490131"/>
                    </a:xfrm>
                    <a:prstGeom prst="rect">
                      <a:avLst/>
                    </a:prstGeom>
                  </pic:spPr>
                </pic:pic>
              </a:graphicData>
            </a:graphic>
          </wp:inline>
        </w:drawing>
      </w:r>
    </w:p>
    <w:p w:rsidR="00667D5E" w:rsidRPr="006437D7" w:rsidRDefault="009F13A0" w:rsidP="009F13A0">
      <w:pPr>
        <w:jc w:val="both"/>
        <w:rPr>
          <w:rFonts w:ascii="Times New Roman" w:hAnsi="Times New Roman" w:cs="Times New Roman"/>
          <w:lang w:val="en-US"/>
        </w:rPr>
      </w:pPr>
      <w:r w:rsidRPr="006437D7">
        <w:rPr>
          <w:rFonts w:ascii="Times New Roman" w:hAnsi="Times New Roman" w:cs="Times New Roman"/>
          <w:lang w:val="en-US"/>
        </w:rPr>
        <w:t>Fig. 2 – Select the “monopolar” diffusion scheme to engage the FWF sequence.</w:t>
      </w:r>
    </w:p>
    <w:p w:rsidR="00667D5E" w:rsidRPr="006437D7" w:rsidRDefault="00667D5E" w:rsidP="009F13A0">
      <w:pPr>
        <w:jc w:val="both"/>
        <w:rPr>
          <w:rFonts w:ascii="Times New Roman" w:hAnsi="Times New Roman" w:cs="Times New Roman"/>
          <w:i/>
          <w:lang w:val="en-US"/>
        </w:rPr>
      </w:pPr>
    </w:p>
    <w:p w:rsidR="00AC028E" w:rsidRPr="006437D7" w:rsidRDefault="00AC028E" w:rsidP="009F13A0">
      <w:pPr>
        <w:jc w:val="both"/>
        <w:rPr>
          <w:rFonts w:ascii="Times New Roman" w:hAnsi="Times New Roman" w:cs="Times New Roman"/>
          <w:lang w:val="en-US"/>
        </w:rPr>
      </w:pPr>
      <w:r w:rsidRPr="006437D7">
        <w:rPr>
          <w:rFonts w:ascii="Times New Roman" w:hAnsi="Times New Roman" w:cs="Times New Roman"/>
          <w:i/>
          <w:lang w:val="en-US"/>
        </w:rPr>
        <w:t xml:space="preserve">The </w:t>
      </w:r>
      <w:r w:rsidRPr="006437D7">
        <w:rPr>
          <w:rFonts w:ascii="Times New Roman" w:hAnsi="Times New Roman" w:cs="Times New Roman"/>
          <w:lang w:val="en-US"/>
        </w:rPr>
        <w:t>[Special]-</w:t>
      </w:r>
      <w:r w:rsidRPr="006437D7">
        <w:rPr>
          <w:rFonts w:ascii="Times New Roman" w:hAnsi="Times New Roman" w:cs="Times New Roman"/>
          <w:i/>
          <w:lang w:val="en-US"/>
        </w:rPr>
        <w:t>tab</w:t>
      </w:r>
    </w:p>
    <w:p w:rsidR="00AC028E" w:rsidRPr="006437D7" w:rsidRDefault="00AC028E" w:rsidP="009F13A0">
      <w:pPr>
        <w:jc w:val="both"/>
        <w:rPr>
          <w:rFonts w:ascii="Times New Roman" w:hAnsi="Times New Roman" w:cs="Times New Roman"/>
          <w:lang w:val="en-US"/>
        </w:rPr>
      </w:pPr>
      <w:r w:rsidRPr="006437D7">
        <w:rPr>
          <w:rFonts w:ascii="Times New Roman" w:hAnsi="Times New Roman" w:cs="Times New Roman"/>
          <w:lang w:val="en-US"/>
        </w:rPr>
        <w:t>All new functions are modified in the [Sequence] – [Special] – tab</w:t>
      </w:r>
      <w:r w:rsidR="007427E8" w:rsidRPr="006437D7">
        <w:rPr>
          <w:rFonts w:ascii="Times New Roman" w:hAnsi="Times New Roman" w:cs="Times New Roman"/>
          <w:lang w:val="en-US"/>
        </w:rPr>
        <w:t xml:space="preserve"> (Fig. 3)</w:t>
      </w:r>
      <w:r w:rsidR="00CD26FE" w:rsidRPr="006437D7">
        <w:rPr>
          <w:rFonts w:ascii="Times New Roman" w:hAnsi="Times New Roman" w:cs="Times New Roman"/>
          <w:lang w:val="en-US"/>
        </w:rPr>
        <w:t>;</w:t>
      </w:r>
      <w:r w:rsidRPr="006437D7">
        <w:rPr>
          <w:rFonts w:ascii="Times New Roman" w:hAnsi="Times New Roman" w:cs="Times New Roman"/>
          <w:lang w:val="en-US"/>
        </w:rPr>
        <w:t xml:space="preserve"> standard functions are unaltered. NOTE: additional information is available in the help pop-ups that appear when hovering over the parameter selectors. Figure </w:t>
      </w:r>
      <w:r w:rsidR="007427E8" w:rsidRPr="006437D7">
        <w:rPr>
          <w:rFonts w:ascii="Times New Roman" w:hAnsi="Times New Roman" w:cs="Times New Roman"/>
          <w:lang w:val="en-US"/>
        </w:rPr>
        <w:t>3</w:t>
      </w:r>
      <w:r w:rsidRPr="006437D7">
        <w:rPr>
          <w:rFonts w:ascii="Times New Roman" w:hAnsi="Times New Roman" w:cs="Times New Roman"/>
          <w:lang w:val="en-US"/>
        </w:rPr>
        <w:t xml:space="preserve"> shows an example of the interface that is used to control the FWF function</w:t>
      </w:r>
      <w:r w:rsidR="007427E8" w:rsidRPr="006437D7">
        <w:rPr>
          <w:rFonts w:ascii="Times New Roman" w:hAnsi="Times New Roman" w:cs="Times New Roman"/>
          <w:lang w:val="en-US"/>
        </w:rPr>
        <w:t xml:space="preserve">s. Hover over the </w:t>
      </w:r>
      <w:r w:rsidRPr="006437D7">
        <w:rPr>
          <w:rFonts w:ascii="Times New Roman" w:hAnsi="Times New Roman" w:cs="Times New Roman"/>
          <w:lang w:val="en-US"/>
        </w:rPr>
        <w:t>‘</w:t>
      </w:r>
      <w:proofErr w:type="spellStart"/>
      <w:r w:rsidRPr="006437D7">
        <w:rPr>
          <w:rFonts w:ascii="Times New Roman" w:hAnsi="Times New Roman" w:cs="Times New Roman"/>
          <w:lang w:val="en-US"/>
        </w:rPr>
        <w:t>MaxBVal</w:t>
      </w:r>
      <w:proofErr w:type="spellEnd"/>
      <w:r w:rsidRPr="006437D7">
        <w:rPr>
          <w:rFonts w:ascii="Times New Roman" w:hAnsi="Times New Roman" w:cs="Times New Roman"/>
          <w:lang w:val="en-US"/>
        </w:rPr>
        <w:t>’</w:t>
      </w:r>
      <w:r w:rsidR="007427E8" w:rsidRPr="006437D7">
        <w:rPr>
          <w:rFonts w:ascii="Times New Roman" w:hAnsi="Times New Roman" w:cs="Times New Roman"/>
          <w:lang w:val="en-US"/>
        </w:rPr>
        <w:t xml:space="preserve"> value to get comprehensive sequence info, and hover over either of the ‘Dur’ values to see the timing of the sequence</w:t>
      </w:r>
      <w:r w:rsidRPr="006437D7">
        <w:rPr>
          <w:rFonts w:ascii="Times New Roman" w:hAnsi="Times New Roman" w:cs="Times New Roman"/>
          <w:lang w:val="en-US"/>
        </w:rPr>
        <w:t>.</w:t>
      </w:r>
    </w:p>
    <w:p w:rsidR="00CD26FE" w:rsidRPr="006437D7" w:rsidRDefault="00CD26FE" w:rsidP="009F13A0">
      <w:pPr>
        <w:jc w:val="both"/>
        <w:rPr>
          <w:rFonts w:ascii="Times New Roman" w:hAnsi="Times New Roman" w:cs="Times New Roman"/>
          <w:lang w:val="en-US"/>
        </w:rPr>
      </w:pPr>
      <w:r w:rsidRPr="006437D7">
        <w:rPr>
          <w:rFonts w:ascii="Times New Roman" w:hAnsi="Times New Roman" w:cs="Times New Roman"/>
          <w:lang w:val="en-US"/>
        </w:rPr>
        <w:t xml:space="preserve">In the “simple” variant of the FWF sequence, the only parameter that can be changed is the shape of the b-tensor. The </w:t>
      </w:r>
      <w:r w:rsidR="007427E8" w:rsidRPr="006437D7">
        <w:rPr>
          <w:rFonts w:ascii="Times New Roman" w:hAnsi="Times New Roman" w:cs="Times New Roman"/>
          <w:lang w:val="en-US"/>
        </w:rPr>
        <w:t>drop-down</w:t>
      </w:r>
      <w:r w:rsidRPr="006437D7">
        <w:rPr>
          <w:rFonts w:ascii="Times New Roman" w:hAnsi="Times New Roman" w:cs="Times New Roman"/>
          <w:lang w:val="en-US"/>
        </w:rPr>
        <w:t xml:space="preserve"> menu allows for selection of linear, planar or spherical encoding (LTE, PTE, STE). Note that these are not equally efficient, an may require that other parameters be set based on the least efficient waveform (usually STE).</w:t>
      </w:r>
    </w:p>
    <w:p w:rsidR="00AC028E" w:rsidRPr="006437D7" w:rsidRDefault="00531A2A" w:rsidP="009F13A0">
      <w:pPr>
        <w:jc w:val="both"/>
        <w:rPr>
          <w:rFonts w:ascii="Times New Roman" w:hAnsi="Times New Roman" w:cs="Times New Roman"/>
          <w:i/>
          <w:lang w:val="en-US"/>
        </w:rPr>
      </w:pPr>
      <w:r w:rsidRPr="006437D7">
        <w:rPr>
          <w:rFonts w:ascii="Times New Roman" w:hAnsi="Times New Roman" w:cs="Times New Roman"/>
          <w:i/>
          <w:lang w:val="en-US"/>
        </w:rPr>
        <w:t>Hints</w:t>
      </w:r>
    </w:p>
    <w:p w:rsidR="00AC028E" w:rsidRPr="006437D7" w:rsidRDefault="00AC028E" w:rsidP="009F13A0">
      <w:pPr>
        <w:pStyle w:val="Liststycke"/>
        <w:numPr>
          <w:ilvl w:val="0"/>
          <w:numId w:val="3"/>
        </w:numPr>
        <w:jc w:val="both"/>
        <w:rPr>
          <w:rFonts w:ascii="Times New Roman" w:hAnsi="Times New Roman" w:cs="Times New Roman"/>
        </w:rPr>
      </w:pPr>
      <w:r w:rsidRPr="006437D7">
        <w:rPr>
          <w:rFonts w:ascii="Times New Roman" w:hAnsi="Times New Roman" w:cs="Times New Roman"/>
        </w:rPr>
        <w:t xml:space="preserve">To get some useful information about the sequence, its timing, and the hardware specifications, you can hoover the cursor over the </w:t>
      </w:r>
      <w:r w:rsidR="009F13A0" w:rsidRPr="006437D7">
        <w:rPr>
          <w:rFonts w:ascii="Times New Roman" w:hAnsi="Times New Roman" w:cs="Times New Roman"/>
        </w:rPr>
        <w:t>parameters in the special tab</w:t>
      </w:r>
      <w:r w:rsidRPr="006437D7">
        <w:rPr>
          <w:rFonts w:ascii="Times New Roman" w:hAnsi="Times New Roman" w:cs="Times New Roman"/>
        </w:rPr>
        <w:t>.</w:t>
      </w:r>
    </w:p>
    <w:p w:rsidR="00667D5E" w:rsidRPr="006437D7" w:rsidRDefault="00667D5E" w:rsidP="009F13A0">
      <w:pPr>
        <w:pStyle w:val="Liststycke"/>
        <w:numPr>
          <w:ilvl w:val="0"/>
          <w:numId w:val="3"/>
        </w:numPr>
        <w:jc w:val="both"/>
        <w:rPr>
          <w:rFonts w:ascii="Times New Roman" w:hAnsi="Times New Roman" w:cs="Times New Roman"/>
        </w:rPr>
      </w:pPr>
      <w:r w:rsidRPr="006437D7">
        <w:rPr>
          <w:rFonts w:ascii="Times New Roman" w:hAnsi="Times New Roman" w:cs="Times New Roman"/>
        </w:rPr>
        <w:t xml:space="preserve">Do not run the waveforms at a maximal gradient amplitude (max possible b-value). Try to leave approximately 5 </w:t>
      </w:r>
      <w:proofErr w:type="spellStart"/>
      <w:r w:rsidRPr="006437D7">
        <w:rPr>
          <w:rFonts w:ascii="Times New Roman" w:hAnsi="Times New Roman" w:cs="Times New Roman"/>
        </w:rPr>
        <w:t>mT</w:t>
      </w:r>
      <w:proofErr w:type="spellEnd"/>
      <w:r w:rsidRPr="006437D7">
        <w:rPr>
          <w:rFonts w:ascii="Times New Roman" w:hAnsi="Times New Roman" w:cs="Times New Roman"/>
        </w:rPr>
        <w:t>/m headroom.</w:t>
      </w:r>
    </w:p>
    <w:p w:rsidR="00667D5E" w:rsidRPr="006437D7" w:rsidRDefault="00667D5E" w:rsidP="009F13A0">
      <w:pPr>
        <w:pStyle w:val="Liststycke"/>
        <w:numPr>
          <w:ilvl w:val="0"/>
          <w:numId w:val="3"/>
        </w:numPr>
        <w:jc w:val="both"/>
        <w:rPr>
          <w:rFonts w:ascii="Times New Roman" w:hAnsi="Times New Roman" w:cs="Times New Roman"/>
        </w:rPr>
      </w:pPr>
      <w:r w:rsidRPr="006437D7">
        <w:rPr>
          <w:rFonts w:ascii="Times New Roman" w:hAnsi="Times New Roman" w:cs="Times New Roman"/>
        </w:rPr>
        <w:t>Do not set the TE or TR at their minimal values since future software updates may change these slightly and force a change in an ongoing study.</w:t>
      </w:r>
    </w:p>
    <w:p w:rsidR="00667D5E" w:rsidRPr="006437D7" w:rsidRDefault="00AC028E" w:rsidP="00667D5E">
      <w:pPr>
        <w:pStyle w:val="Liststycke"/>
        <w:numPr>
          <w:ilvl w:val="0"/>
          <w:numId w:val="3"/>
        </w:numPr>
        <w:jc w:val="both"/>
        <w:rPr>
          <w:rFonts w:ascii="Times New Roman" w:hAnsi="Times New Roman" w:cs="Times New Roman"/>
        </w:rPr>
      </w:pPr>
      <w:r w:rsidRPr="006437D7">
        <w:rPr>
          <w:rFonts w:ascii="Times New Roman" w:hAnsi="Times New Roman" w:cs="Times New Roman"/>
        </w:rPr>
        <w:t>Comprehensive information about the sequence is available in the real-time logging of the system.</w:t>
      </w:r>
    </w:p>
    <w:p w:rsidR="00CE7D1A" w:rsidRDefault="00CE7D1A" w:rsidP="00667D5E">
      <w:pPr>
        <w:jc w:val="both"/>
        <w:rPr>
          <w:rFonts w:ascii="Times New Roman" w:hAnsi="Times New Roman" w:cs="Times New Roman"/>
          <w:i/>
          <w:lang w:val="en-US"/>
        </w:rPr>
      </w:pPr>
    </w:p>
    <w:p w:rsidR="00CE7D1A" w:rsidRPr="006437D7" w:rsidRDefault="00CE7D1A" w:rsidP="00CE7D1A">
      <w:pPr>
        <w:jc w:val="center"/>
        <w:rPr>
          <w:rFonts w:ascii="Times New Roman" w:hAnsi="Times New Roman" w:cs="Times New Roman"/>
          <w:lang w:val="en-US"/>
        </w:rPr>
      </w:pPr>
      <w:r w:rsidRPr="006437D7">
        <w:rPr>
          <w:rFonts w:ascii="Times New Roman" w:hAnsi="Times New Roman" w:cs="Times New Roman"/>
          <w:noProof/>
          <w:lang w:val="en-US"/>
        </w:rPr>
        <w:drawing>
          <wp:inline distT="0" distB="0" distL="0" distR="0" wp14:anchorId="26CA1942" wp14:editId="3237B1D9">
            <wp:extent cx="4886062" cy="2467708"/>
            <wp:effectExtent l="0" t="0" r="0" b="889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4535" r="13095" b="24660"/>
                    <a:stretch/>
                  </pic:blipFill>
                  <pic:spPr bwMode="auto">
                    <a:xfrm>
                      <a:off x="0" y="0"/>
                      <a:ext cx="4905423" cy="2477487"/>
                    </a:xfrm>
                    <a:prstGeom prst="rect">
                      <a:avLst/>
                    </a:prstGeom>
                    <a:noFill/>
                    <a:ln>
                      <a:noFill/>
                    </a:ln>
                    <a:extLst>
                      <a:ext uri="{53640926-AAD7-44D8-BBD7-CCE9431645EC}">
                        <a14:shadowObscured xmlns:a14="http://schemas.microsoft.com/office/drawing/2010/main"/>
                      </a:ext>
                    </a:extLst>
                  </pic:spPr>
                </pic:pic>
              </a:graphicData>
            </a:graphic>
          </wp:inline>
        </w:drawing>
      </w:r>
    </w:p>
    <w:p w:rsidR="00CE7D1A" w:rsidRDefault="00CE7D1A" w:rsidP="00667D5E">
      <w:pPr>
        <w:jc w:val="both"/>
        <w:rPr>
          <w:rFonts w:ascii="Times New Roman" w:hAnsi="Times New Roman" w:cs="Times New Roman"/>
          <w:lang w:val="en-US"/>
        </w:rPr>
      </w:pPr>
      <w:r w:rsidRPr="006437D7">
        <w:rPr>
          <w:rFonts w:ascii="Times New Roman" w:hAnsi="Times New Roman" w:cs="Times New Roman"/>
          <w:lang w:val="en-US"/>
        </w:rPr>
        <w:t xml:space="preserve">Fig. 3 – Example of the [Special]-tab in the simple </w:t>
      </w:r>
      <w:proofErr w:type="spellStart"/>
      <w:r w:rsidRPr="006437D7">
        <w:rPr>
          <w:rFonts w:ascii="Times New Roman" w:hAnsi="Times New Roman" w:cs="Times New Roman"/>
          <w:lang w:val="en-US"/>
        </w:rPr>
        <w:t>sequnce</w:t>
      </w:r>
      <w:proofErr w:type="spellEnd"/>
      <w:r w:rsidRPr="006437D7">
        <w:rPr>
          <w:rFonts w:ascii="Times New Roman" w:hAnsi="Times New Roman" w:cs="Times New Roman"/>
          <w:lang w:val="en-US"/>
        </w:rPr>
        <w:t>. When the sequence is set to ‘Monopolar’, this tab will be active and updated. The B-matrix is all zeros because the max requested b-value is zero. Note that the system falsely reports that the requested b-value is 1 s/mm2 to avoid division by zero.</w:t>
      </w:r>
    </w:p>
    <w:p w:rsidR="00CE7D1A" w:rsidRPr="00CE7D1A" w:rsidRDefault="00CE7D1A" w:rsidP="00667D5E">
      <w:pPr>
        <w:jc w:val="both"/>
        <w:rPr>
          <w:rFonts w:ascii="Times New Roman" w:hAnsi="Times New Roman" w:cs="Times New Roman"/>
          <w:lang w:val="en-US"/>
        </w:rPr>
      </w:pPr>
    </w:p>
    <w:p w:rsidR="007427E8" w:rsidRPr="006437D7" w:rsidRDefault="007427E8" w:rsidP="00667D5E">
      <w:pPr>
        <w:jc w:val="both"/>
        <w:rPr>
          <w:rFonts w:ascii="Times New Roman" w:hAnsi="Times New Roman" w:cs="Times New Roman"/>
          <w:i/>
          <w:lang w:val="en-US"/>
        </w:rPr>
      </w:pPr>
      <w:r w:rsidRPr="006437D7">
        <w:rPr>
          <w:rFonts w:ascii="Times New Roman" w:hAnsi="Times New Roman" w:cs="Times New Roman"/>
          <w:i/>
          <w:lang w:val="en-US"/>
        </w:rPr>
        <w:t>Example setup</w:t>
      </w:r>
    </w:p>
    <w:p w:rsidR="007427E8" w:rsidRPr="006437D7" w:rsidRDefault="007427E8" w:rsidP="007427E8">
      <w:pPr>
        <w:rPr>
          <w:rFonts w:ascii="Times New Roman" w:hAnsi="Times New Roman" w:cs="Times New Roman"/>
          <w:lang w:val="en-US"/>
        </w:rPr>
      </w:pPr>
      <w:r w:rsidRPr="006437D7">
        <w:rPr>
          <w:rFonts w:ascii="Times New Roman" w:hAnsi="Times New Roman" w:cs="Times New Roman"/>
          <w:lang w:val="en-US"/>
        </w:rPr>
        <w:t>Setup the imaging protocol (these are</w:t>
      </w:r>
      <w:r w:rsidR="006437D7" w:rsidRPr="006437D7">
        <w:rPr>
          <w:rFonts w:ascii="Times New Roman" w:hAnsi="Times New Roman" w:cs="Times New Roman"/>
          <w:lang w:val="en-US"/>
        </w:rPr>
        <w:t xml:space="preserve"> </w:t>
      </w:r>
      <w:r w:rsidR="006437D7">
        <w:rPr>
          <w:rFonts w:ascii="Times New Roman" w:hAnsi="Times New Roman" w:cs="Times New Roman"/>
          <w:lang w:val="en-US"/>
        </w:rPr>
        <w:t>a good starting point</w:t>
      </w:r>
      <w:r w:rsidRPr="006437D7">
        <w:rPr>
          <w:rFonts w:ascii="Times New Roman" w:hAnsi="Times New Roman" w:cs="Times New Roman"/>
          <w:lang w:val="en-US"/>
        </w:rPr>
        <w:t xml:space="preserve"> for whole-brain imaging).</w:t>
      </w:r>
    </w:p>
    <w:p w:rsidR="00000000" w:rsidRPr="006437D7" w:rsidRDefault="00CE7BA2" w:rsidP="006437D7">
      <w:pPr>
        <w:pStyle w:val="Liststycke"/>
        <w:numPr>
          <w:ilvl w:val="0"/>
          <w:numId w:val="6"/>
        </w:numPr>
        <w:rPr>
          <w:rFonts w:ascii="Times New Roman" w:hAnsi="Times New Roman" w:cs="Times New Roman"/>
          <w:lang w:val="sv-SE"/>
        </w:rPr>
      </w:pPr>
      <w:r w:rsidRPr="006437D7">
        <w:rPr>
          <w:rFonts w:ascii="Times New Roman" w:hAnsi="Times New Roman" w:cs="Times New Roman"/>
        </w:rPr>
        <w:t>FOV = 22</w:t>
      </w:r>
      <w:r w:rsidR="006437D7">
        <w:rPr>
          <w:rFonts w:ascii="Times New Roman" w:hAnsi="Times New Roman" w:cs="Times New Roman"/>
        </w:rPr>
        <w:t>0</w:t>
      </w:r>
      <w:r w:rsidRPr="006437D7">
        <w:rPr>
          <w:rFonts w:ascii="Times New Roman" w:hAnsi="Times New Roman" w:cs="Times New Roman"/>
        </w:rPr>
        <w:t>x22</w:t>
      </w:r>
      <w:r w:rsidR="006437D7">
        <w:rPr>
          <w:rFonts w:ascii="Times New Roman" w:hAnsi="Times New Roman" w:cs="Times New Roman"/>
        </w:rPr>
        <w:t>0</w:t>
      </w:r>
      <w:r w:rsidRPr="006437D7">
        <w:rPr>
          <w:rFonts w:ascii="Times New Roman" w:hAnsi="Times New Roman" w:cs="Times New Roman"/>
        </w:rPr>
        <w:t>x120 mm</w:t>
      </w:r>
      <w:r w:rsidRPr="006437D7">
        <w:rPr>
          <w:rFonts w:ascii="Times New Roman" w:hAnsi="Times New Roman" w:cs="Times New Roman"/>
          <w:vertAlign w:val="superscript"/>
        </w:rPr>
        <w:t>3</w:t>
      </w:r>
    </w:p>
    <w:p w:rsidR="00000000" w:rsidRPr="006437D7" w:rsidRDefault="00CE7BA2" w:rsidP="006437D7">
      <w:pPr>
        <w:pStyle w:val="Liststycke"/>
        <w:numPr>
          <w:ilvl w:val="0"/>
          <w:numId w:val="6"/>
        </w:numPr>
        <w:rPr>
          <w:rFonts w:ascii="Times New Roman" w:hAnsi="Times New Roman" w:cs="Times New Roman"/>
          <w:lang w:val="sv-SE"/>
        </w:rPr>
      </w:pPr>
      <w:r w:rsidRPr="006437D7">
        <w:rPr>
          <w:rFonts w:ascii="Times New Roman" w:hAnsi="Times New Roman" w:cs="Times New Roman"/>
        </w:rPr>
        <w:t>Matrix = 11</w:t>
      </w:r>
      <w:r w:rsidR="006437D7">
        <w:rPr>
          <w:rFonts w:ascii="Times New Roman" w:hAnsi="Times New Roman" w:cs="Times New Roman"/>
        </w:rPr>
        <w:t>0</w:t>
      </w:r>
      <w:r w:rsidRPr="006437D7">
        <w:rPr>
          <w:rFonts w:ascii="Times New Roman" w:hAnsi="Times New Roman" w:cs="Times New Roman"/>
        </w:rPr>
        <w:t>x11</w:t>
      </w:r>
      <w:r w:rsidR="006437D7">
        <w:rPr>
          <w:rFonts w:ascii="Times New Roman" w:hAnsi="Times New Roman" w:cs="Times New Roman"/>
        </w:rPr>
        <w:t>0</w:t>
      </w:r>
    </w:p>
    <w:p w:rsidR="00000000" w:rsidRPr="006437D7" w:rsidRDefault="00CE7BA2" w:rsidP="006437D7">
      <w:pPr>
        <w:pStyle w:val="Liststycke"/>
        <w:numPr>
          <w:ilvl w:val="0"/>
          <w:numId w:val="6"/>
        </w:numPr>
        <w:rPr>
          <w:rFonts w:ascii="Times New Roman" w:hAnsi="Times New Roman" w:cs="Times New Roman"/>
          <w:lang w:val="sv-SE"/>
        </w:rPr>
      </w:pPr>
      <w:r w:rsidRPr="006437D7">
        <w:rPr>
          <w:rFonts w:ascii="Times New Roman" w:hAnsi="Times New Roman" w:cs="Times New Roman"/>
        </w:rPr>
        <w:t>30</w:t>
      </w:r>
      <w:r w:rsidR="006437D7">
        <w:rPr>
          <w:rFonts w:ascii="Times New Roman" w:hAnsi="Times New Roman" w:cs="Times New Roman"/>
        </w:rPr>
        <w:t>-50</w:t>
      </w:r>
      <w:r w:rsidRPr="006437D7">
        <w:rPr>
          <w:rFonts w:ascii="Times New Roman" w:hAnsi="Times New Roman" w:cs="Times New Roman"/>
        </w:rPr>
        <w:t xml:space="preserve"> Slices</w:t>
      </w:r>
    </w:p>
    <w:p w:rsidR="006437D7" w:rsidRPr="006437D7" w:rsidRDefault="00CE7BA2" w:rsidP="006437D7">
      <w:pPr>
        <w:pStyle w:val="Liststycke"/>
        <w:numPr>
          <w:ilvl w:val="0"/>
          <w:numId w:val="6"/>
        </w:numPr>
        <w:rPr>
          <w:rFonts w:ascii="Times New Roman" w:hAnsi="Times New Roman" w:cs="Times New Roman"/>
          <w:lang w:val="sv-SE"/>
        </w:rPr>
      </w:pPr>
      <w:r w:rsidRPr="006437D7">
        <w:rPr>
          <w:rFonts w:ascii="Times New Roman" w:hAnsi="Times New Roman" w:cs="Times New Roman"/>
        </w:rPr>
        <w:t xml:space="preserve">Resolution </w:t>
      </w:r>
    </w:p>
    <w:p w:rsidR="00000000" w:rsidRPr="006437D7" w:rsidRDefault="00CE7BA2" w:rsidP="006437D7">
      <w:pPr>
        <w:pStyle w:val="Liststycke"/>
        <w:numPr>
          <w:ilvl w:val="1"/>
          <w:numId w:val="6"/>
        </w:numPr>
        <w:rPr>
          <w:rFonts w:ascii="Times New Roman" w:hAnsi="Times New Roman" w:cs="Times New Roman"/>
          <w:lang w:val="sv-SE"/>
        </w:rPr>
      </w:pPr>
      <w:r w:rsidRPr="006437D7">
        <w:rPr>
          <w:rFonts w:ascii="Times New Roman" w:hAnsi="Times New Roman" w:cs="Times New Roman"/>
        </w:rPr>
        <w:t>2</w:t>
      </w:r>
      <w:r w:rsidR="006437D7">
        <w:rPr>
          <w:rFonts w:ascii="Times New Roman" w:hAnsi="Times New Roman" w:cs="Times New Roman"/>
        </w:rPr>
        <w:t>×</w:t>
      </w:r>
      <w:r w:rsidRPr="006437D7">
        <w:rPr>
          <w:rFonts w:ascii="Times New Roman" w:hAnsi="Times New Roman" w:cs="Times New Roman"/>
        </w:rPr>
        <w:t>2</w:t>
      </w:r>
      <w:r w:rsidR="006437D7">
        <w:rPr>
          <w:rFonts w:ascii="Times New Roman" w:hAnsi="Times New Roman" w:cs="Times New Roman"/>
        </w:rPr>
        <w:t>×</w:t>
      </w:r>
      <w:r w:rsidRPr="006437D7">
        <w:rPr>
          <w:rFonts w:ascii="Times New Roman" w:hAnsi="Times New Roman" w:cs="Times New Roman"/>
        </w:rPr>
        <w:t>4 mm</w:t>
      </w:r>
      <w:r w:rsidRPr="006437D7">
        <w:rPr>
          <w:rFonts w:ascii="Times New Roman" w:hAnsi="Times New Roman" w:cs="Times New Roman"/>
          <w:vertAlign w:val="superscript"/>
        </w:rPr>
        <w:t>3</w:t>
      </w:r>
    </w:p>
    <w:p w:rsidR="006437D7" w:rsidRPr="006437D7" w:rsidRDefault="006437D7" w:rsidP="006437D7">
      <w:pPr>
        <w:pStyle w:val="Liststycke"/>
        <w:numPr>
          <w:ilvl w:val="1"/>
          <w:numId w:val="6"/>
        </w:numPr>
        <w:rPr>
          <w:rFonts w:ascii="Times New Roman" w:hAnsi="Times New Roman" w:cs="Times New Roman"/>
          <w:lang w:val="sv-SE"/>
        </w:rPr>
      </w:pPr>
      <w:r>
        <w:rPr>
          <w:rFonts w:ascii="Times New Roman" w:hAnsi="Times New Roman" w:cs="Times New Roman"/>
          <w:lang w:val="sv-SE"/>
        </w:rPr>
        <w:t>2.3</w:t>
      </w:r>
      <w:r>
        <w:rPr>
          <w:rFonts w:ascii="Times New Roman" w:hAnsi="Times New Roman" w:cs="Times New Roman"/>
        </w:rPr>
        <w:t>×</w:t>
      </w:r>
      <w:r>
        <w:rPr>
          <w:rFonts w:ascii="Times New Roman" w:hAnsi="Times New Roman" w:cs="Times New Roman"/>
          <w:lang w:val="sv-SE"/>
        </w:rPr>
        <w:t>2.3</w:t>
      </w:r>
      <w:r>
        <w:rPr>
          <w:rFonts w:ascii="Times New Roman" w:hAnsi="Times New Roman" w:cs="Times New Roman"/>
        </w:rPr>
        <w:t>×</w:t>
      </w:r>
      <w:r>
        <w:rPr>
          <w:rFonts w:ascii="Times New Roman" w:hAnsi="Times New Roman" w:cs="Times New Roman"/>
          <w:lang w:val="sv-SE"/>
        </w:rPr>
        <w:t>2.3 mm</w:t>
      </w:r>
      <w:r w:rsidRPr="006437D7">
        <w:rPr>
          <w:rFonts w:ascii="Times New Roman" w:hAnsi="Times New Roman" w:cs="Times New Roman"/>
          <w:vertAlign w:val="superscript"/>
          <w:lang w:val="sv-SE"/>
        </w:rPr>
        <w:t>3</w:t>
      </w:r>
    </w:p>
    <w:p w:rsidR="00000000" w:rsidRPr="006437D7" w:rsidRDefault="00CE7BA2" w:rsidP="006437D7">
      <w:pPr>
        <w:pStyle w:val="Liststycke"/>
        <w:numPr>
          <w:ilvl w:val="0"/>
          <w:numId w:val="6"/>
        </w:numPr>
        <w:rPr>
          <w:rFonts w:ascii="Times New Roman" w:hAnsi="Times New Roman" w:cs="Times New Roman"/>
          <w:lang w:val="sv-SE"/>
        </w:rPr>
      </w:pPr>
      <w:r w:rsidRPr="006437D7">
        <w:rPr>
          <w:rFonts w:ascii="Times New Roman" w:hAnsi="Times New Roman" w:cs="Times New Roman"/>
        </w:rPr>
        <w:t>TE ≈ 85</w:t>
      </w:r>
    </w:p>
    <w:p w:rsidR="00000000" w:rsidRPr="006437D7" w:rsidRDefault="00CE7BA2" w:rsidP="006437D7">
      <w:pPr>
        <w:pStyle w:val="Liststycke"/>
        <w:numPr>
          <w:ilvl w:val="0"/>
          <w:numId w:val="6"/>
        </w:numPr>
        <w:rPr>
          <w:rFonts w:ascii="Times New Roman" w:hAnsi="Times New Roman" w:cs="Times New Roman"/>
          <w:lang w:val="sv-SE"/>
        </w:rPr>
      </w:pPr>
      <w:r w:rsidRPr="006437D7">
        <w:rPr>
          <w:rFonts w:ascii="Times New Roman" w:hAnsi="Times New Roman" w:cs="Times New Roman"/>
        </w:rPr>
        <w:t xml:space="preserve">Partial </w:t>
      </w:r>
      <w:r w:rsidRPr="006437D7">
        <w:rPr>
          <w:rFonts w:ascii="Times New Roman" w:hAnsi="Times New Roman" w:cs="Times New Roman"/>
        </w:rPr>
        <w:t xml:space="preserve">Fourier = </w:t>
      </w:r>
      <w:r w:rsidR="006437D7">
        <w:rPr>
          <w:rFonts w:ascii="Times New Roman" w:hAnsi="Times New Roman" w:cs="Times New Roman"/>
        </w:rPr>
        <w:t>6</w:t>
      </w:r>
      <w:r w:rsidRPr="006437D7">
        <w:rPr>
          <w:rFonts w:ascii="Times New Roman" w:hAnsi="Times New Roman" w:cs="Times New Roman"/>
        </w:rPr>
        <w:t>/8</w:t>
      </w:r>
    </w:p>
    <w:p w:rsidR="00000000" w:rsidRPr="006437D7" w:rsidRDefault="006437D7" w:rsidP="006437D7">
      <w:pPr>
        <w:pStyle w:val="Liststycke"/>
        <w:numPr>
          <w:ilvl w:val="0"/>
          <w:numId w:val="6"/>
        </w:numPr>
        <w:rPr>
          <w:rFonts w:ascii="Times New Roman" w:hAnsi="Times New Roman" w:cs="Times New Roman"/>
          <w:lang w:val="sv-SE"/>
        </w:rPr>
      </w:pPr>
      <w:proofErr w:type="spellStart"/>
      <w:r>
        <w:rPr>
          <w:rFonts w:ascii="Times New Roman" w:hAnsi="Times New Roman" w:cs="Times New Roman"/>
        </w:rPr>
        <w:t>iPAT</w:t>
      </w:r>
      <w:proofErr w:type="spellEnd"/>
      <w:r>
        <w:rPr>
          <w:rFonts w:ascii="Times New Roman" w:hAnsi="Times New Roman" w:cs="Times New Roman"/>
        </w:rPr>
        <w:t xml:space="preserve"> = 2 (GRAPPA)</w:t>
      </w:r>
    </w:p>
    <w:p w:rsidR="00000000" w:rsidRPr="006437D7" w:rsidRDefault="00CE7BA2" w:rsidP="006437D7">
      <w:pPr>
        <w:pStyle w:val="Liststycke"/>
        <w:numPr>
          <w:ilvl w:val="0"/>
          <w:numId w:val="6"/>
        </w:numPr>
        <w:rPr>
          <w:rFonts w:ascii="Times New Roman" w:hAnsi="Times New Roman" w:cs="Times New Roman"/>
        </w:rPr>
      </w:pPr>
      <w:r w:rsidRPr="006437D7">
        <w:rPr>
          <w:rFonts w:ascii="Times New Roman" w:hAnsi="Times New Roman" w:cs="Times New Roman"/>
        </w:rPr>
        <w:t>Bandwidth 1</w:t>
      </w:r>
      <w:r w:rsidR="006437D7">
        <w:rPr>
          <w:rFonts w:ascii="Times New Roman" w:hAnsi="Times New Roman" w:cs="Times New Roman"/>
        </w:rPr>
        <w:t xml:space="preserve">800 </w:t>
      </w:r>
      <w:r w:rsidRPr="006437D7">
        <w:rPr>
          <w:rFonts w:ascii="Times New Roman" w:hAnsi="Times New Roman" w:cs="Times New Roman"/>
        </w:rPr>
        <w:t>Hz/pix</w:t>
      </w:r>
    </w:p>
    <w:p w:rsidR="006437D7" w:rsidRDefault="006437D7" w:rsidP="006437D7">
      <w:pPr>
        <w:pStyle w:val="Liststycke"/>
        <w:numPr>
          <w:ilvl w:val="0"/>
          <w:numId w:val="6"/>
        </w:numPr>
        <w:rPr>
          <w:rFonts w:ascii="Times New Roman" w:hAnsi="Times New Roman" w:cs="Times New Roman"/>
        </w:rPr>
      </w:pPr>
      <w:r w:rsidRPr="006437D7">
        <w:rPr>
          <w:rFonts w:ascii="Times New Roman" w:hAnsi="Times New Roman" w:cs="Times New Roman"/>
          <w:i/>
        </w:rPr>
        <w:t>b</w:t>
      </w:r>
      <w:r w:rsidRPr="006437D7">
        <w:rPr>
          <w:rFonts w:ascii="Times New Roman" w:hAnsi="Times New Roman" w:cs="Times New Roman"/>
        </w:rPr>
        <w:t xml:space="preserve"> = .1, .7, 1.4, and 2 </w:t>
      </w:r>
      <w:proofErr w:type="spellStart"/>
      <w:r w:rsidRPr="006437D7">
        <w:rPr>
          <w:rFonts w:ascii="Times New Roman" w:hAnsi="Times New Roman" w:cs="Times New Roman"/>
        </w:rPr>
        <w:t>ms</w:t>
      </w:r>
      <w:proofErr w:type="spellEnd"/>
      <w:r w:rsidRPr="006437D7">
        <w:rPr>
          <w:rFonts w:ascii="Times New Roman" w:hAnsi="Times New Roman" w:cs="Times New Roman"/>
        </w:rPr>
        <w:t>/µm</w:t>
      </w:r>
      <w:r w:rsidRPr="006437D7">
        <w:rPr>
          <w:rFonts w:ascii="Times New Roman" w:hAnsi="Times New Roman" w:cs="Times New Roman"/>
          <w:vertAlign w:val="superscript"/>
        </w:rPr>
        <w:t>2</w:t>
      </w:r>
      <w:r>
        <w:rPr>
          <w:rFonts w:ascii="Times New Roman" w:hAnsi="Times New Roman" w:cs="Times New Roman"/>
          <w:vertAlign w:val="superscript"/>
        </w:rPr>
        <w:t xml:space="preserve"> </w:t>
      </w:r>
    </w:p>
    <w:p w:rsidR="006437D7" w:rsidRPr="006437D7" w:rsidRDefault="006437D7" w:rsidP="006437D7">
      <w:pPr>
        <w:pStyle w:val="Liststycke"/>
        <w:numPr>
          <w:ilvl w:val="1"/>
          <w:numId w:val="6"/>
        </w:numPr>
        <w:rPr>
          <w:rFonts w:ascii="Times New Roman" w:hAnsi="Times New Roman" w:cs="Times New Roman"/>
        </w:rPr>
      </w:pPr>
      <w:r>
        <w:rPr>
          <w:rFonts w:ascii="Times New Roman" w:hAnsi="Times New Roman" w:cs="Times New Roman"/>
        </w:rPr>
        <w:t>Avoid using b = 0 images in analysis</w:t>
      </w:r>
    </w:p>
    <w:p w:rsidR="006437D7" w:rsidRDefault="006437D7" w:rsidP="006437D7">
      <w:pPr>
        <w:pStyle w:val="Liststycke"/>
        <w:numPr>
          <w:ilvl w:val="0"/>
          <w:numId w:val="6"/>
        </w:numPr>
        <w:rPr>
          <w:rFonts w:ascii="Times New Roman" w:hAnsi="Times New Roman" w:cs="Times New Roman"/>
        </w:rPr>
      </w:pPr>
      <w:r w:rsidRPr="006437D7">
        <w:rPr>
          <w:rFonts w:ascii="Times New Roman" w:hAnsi="Times New Roman" w:cs="Times New Roman"/>
        </w:rPr>
        <w:t xml:space="preserve">Num. diff. </w:t>
      </w:r>
      <w:proofErr w:type="spellStart"/>
      <w:r w:rsidRPr="006437D7">
        <w:rPr>
          <w:rFonts w:ascii="Times New Roman" w:hAnsi="Times New Roman" w:cs="Times New Roman"/>
        </w:rPr>
        <w:t>dirs</w:t>
      </w:r>
      <w:proofErr w:type="spellEnd"/>
      <w:r w:rsidRPr="006437D7">
        <w:rPr>
          <w:rFonts w:ascii="Times New Roman" w:hAnsi="Times New Roman" w:cs="Times New Roman"/>
        </w:rPr>
        <w:t xml:space="preserve"> = 6, 6, 12, 16</w:t>
      </w:r>
      <w:r>
        <w:rPr>
          <w:rFonts w:ascii="Times New Roman" w:hAnsi="Times New Roman" w:cs="Times New Roman"/>
        </w:rPr>
        <w:t xml:space="preserve"> for linear encoding. </w:t>
      </w:r>
    </w:p>
    <w:p w:rsidR="006437D7" w:rsidRDefault="006437D7" w:rsidP="006437D7">
      <w:pPr>
        <w:pStyle w:val="Liststycke"/>
        <w:numPr>
          <w:ilvl w:val="1"/>
          <w:numId w:val="6"/>
        </w:numPr>
        <w:rPr>
          <w:rFonts w:ascii="Times New Roman" w:hAnsi="Times New Roman" w:cs="Times New Roman"/>
        </w:rPr>
      </w:pPr>
      <w:r>
        <w:rPr>
          <w:rFonts w:ascii="Times New Roman" w:hAnsi="Times New Roman" w:cs="Times New Roman"/>
        </w:rPr>
        <w:t>The same number of samples can be used for PTE or STE too</w:t>
      </w:r>
    </w:p>
    <w:p w:rsidR="006437D7" w:rsidRPr="006437D7" w:rsidRDefault="006437D7" w:rsidP="006437D7">
      <w:pPr>
        <w:pStyle w:val="Liststycke"/>
        <w:numPr>
          <w:ilvl w:val="1"/>
          <w:numId w:val="6"/>
        </w:numPr>
        <w:rPr>
          <w:rFonts w:ascii="Times New Roman" w:hAnsi="Times New Roman" w:cs="Times New Roman"/>
        </w:rPr>
      </w:pPr>
      <w:r>
        <w:rPr>
          <w:rFonts w:ascii="Times New Roman" w:hAnsi="Times New Roman" w:cs="Times New Roman"/>
        </w:rPr>
        <w:t>More directions can be added to outer shell</w:t>
      </w:r>
    </w:p>
    <w:p w:rsidR="007427E8" w:rsidRPr="006437D7" w:rsidRDefault="006437D7" w:rsidP="006437D7">
      <w:pPr>
        <w:pStyle w:val="Liststycke"/>
        <w:numPr>
          <w:ilvl w:val="0"/>
          <w:numId w:val="6"/>
        </w:numPr>
        <w:rPr>
          <w:rFonts w:ascii="Times New Roman" w:hAnsi="Times New Roman" w:cs="Times New Roman"/>
        </w:rPr>
      </w:pPr>
      <w:r w:rsidRPr="006437D7">
        <w:rPr>
          <w:rFonts w:ascii="Times New Roman" w:hAnsi="Times New Roman" w:cs="Times New Roman"/>
        </w:rPr>
        <w:t>Same sampling for spherical and linear encoding</w:t>
      </w:r>
    </w:p>
    <w:p w:rsidR="00667D5E" w:rsidRPr="006437D7" w:rsidRDefault="00667D5E" w:rsidP="00CE7D1A">
      <w:pPr>
        <w:rPr>
          <w:rFonts w:ascii="Times New Roman" w:hAnsi="Times New Roman" w:cs="Times New Roman"/>
          <w:i/>
          <w:lang w:val="en-US"/>
        </w:rPr>
      </w:pPr>
      <w:r w:rsidRPr="006437D7">
        <w:rPr>
          <w:rFonts w:ascii="Times New Roman" w:hAnsi="Times New Roman" w:cs="Times New Roman"/>
          <w:i/>
          <w:lang w:val="en-US"/>
        </w:rPr>
        <w:t>Resources</w:t>
      </w:r>
    </w:p>
    <w:p w:rsidR="00667D5E" w:rsidRPr="006437D7" w:rsidRDefault="00667D5E" w:rsidP="007427E8">
      <w:pPr>
        <w:spacing w:after="0" w:line="240" w:lineRule="auto"/>
        <w:jc w:val="both"/>
        <w:rPr>
          <w:rFonts w:ascii="Times New Roman" w:hAnsi="Times New Roman" w:cs="Times New Roman"/>
          <w:lang w:val="en-US"/>
        </w:rPr>
      </w:pPr>
      <w:r w:rsidRPr="006437D7">
        <w:rPr>
          <w:rFonts w:ascii="Times New Roman" w:hAnsi="Times New Roman" w:cs="Times New Roman"/>
          <w:lang w:val="en-US"/>
        </w:rPr>
        <w:t xml:space="preserve">Example protocols and sampling schemes from ref </w:t>
      </w:r>
      <w:r w:rsidRPr="006437D7">
        <w:rPr>
          <w:rFonts w:ascii="Times New Roman" w:hAnsi="Times New Roman" w:cs="Times New Roman"/>
          <w:lang w:val="en-US"/>
        </w:rPr>
        <w:fldChar w:fldCharType="begin"/>
      </w:r>
      <w:r w:rsidRPr="006437D7">
        <w:rPr>
          <w:rFonts w:ascii="Times New Roman" w:hAnsi="Times New Roman" w:cs="Times New Roman"/>
          <w:lang w:val="en-US"/>
        </w:rPr>
        <w:instrText xml:space="preserve"> ADDIN EN.CITE &lt;EndNote&gt;&lt;Cite&gt;&lt;Author&gt;Szczepankiewicz&lt;/Author&gt;&lt;Year&gt;2019&lt;/Year&gt;&lt;RecNum&gt;1248&lt;/RecNum&gt;&lt;DisplayText&gt;[2]&lt;/DisplayText&gt;&lt;record&gt;&lt;rec-number&gt;1248&lt;/rec-number&gt;&lt;foreign-keys&gt;&lt;key app="EN" db-id="a900tvtfuwwpa3eaewx5dzf8xed9dta59fd0" timestamp="1553111653"&gt;1248&lt;/key&gt;&lt;key app="ENWeb" db-id=""&gt;0&lt;/key&gt;&lt;/foreign-keys&gt;&lt;ref-type name="Journal Article"&gt;17&lt;/ref-type&gt;&lt;contributors&gt;&lt;authors&gt;&lt;author&gt;Szczepankiewicz, F.&lt;/author&gt;&lt;author&gt;Sjolund, J.&lt;/author&gt;&lt;author&gt;Stahlberg, F.&lt;/author&gt;&lt;author&gt;Latt, J.&lt;/author&gt;&lt;author&gt;Nilsson, M.&lt;/author&gt;&lt;/authors&gt;&lt;/contributors&gt;&lt;auth-address&gt;Lund University, Department of Clinical Sciences Lund, Medical Radiation Physics, Lund, Sweden.&amp;#xD;Elekta Instrument AB, Kungstensgatan 18, Stockholm, Sweden.&amp;#xD;Linkoping University, Department of Biomedical Engineering, Linkoping, Sweden.&amp;#xD;Linkoping University, Center for Medical Image Science and Visualization (CMIV), Linkoping, Sweden.&amp;#xD;Lund University, Department of Clinical Sciences Lund, Diagnostic Radiology, Lund, Sweden.&amp;#xD;Skane University Hospital, Department of Imaging and Function, Lund, Sweden.&amp;#xD;Lund University, Lund University Bioimaging Center, Lund, Sweden.&lt;/auth-address&gt;&lt;titles&gt;&lt;title&gt;Tensor-valued diffusion encoding for diffusional variance decomposition (DIVIDE): Technical feasibility in clinical MRI systems&lt;/title&gt;&lt;secondary-title&gt;PLoS One&lt;/secondary-title&gt;&lt;/titles&gt;&lt;periodical&gt;&lt;full-title&gt;PLoS ONE&lt;/full-title&gt;&lt;abbr-1&gt;PLoS ONE&lt;/abbr-1&gt;&lt;abbr-2&gt;PLoS ONE&lt;/abbr-2&gt;&lt;/periodical&gt;&lt;pages&gt;e0214238&lt;/pages&gt;&lt;volume&gt;14&lt;/volume&gt;&lt;number&gt;3&lt;/number&gt;&lt;edition&gt;2019/03/29&lt;/edition&gt;&lt;dates&gt;&lt;year&gt;2019&lt;/year&gt;&lt;/dates&gt;&lt;isbn&gt;1932-6203 (Electronic)&amp;#xD;1932-6203 (Linking)&lt;/isbn&gt;&lt;accession-num&gt;30921381&lt;/accession-num&gt;&lt;urls&gt;&lt;related-urls&gt;&lt;url&gt;https://www.ncbi.nlm.nih.gov/pubmed/30921381&lt;/url&gt;&lt;/related-urls&gt;&lt;/urls&gt;&lt;electronic-resource-num&gt;10.1371/journal.pone.0214238&lt;/electronic-resource-num&gt;&lt;/record&gt;&lt;/Cite&gt;&lt;/EndNote&gt;</w:instrText>
      </w:r>
      <w:r w:rsidRPr="006437D7">
        <w:rPr>
          <w:rFonts w:ascii="Times New Roman" w:hAnsi="Times New Roman" w:cs="Times New Roman"/>
          <w:lang w:val="en-US"/>
        </w:rPr>
        <w:fldChar w:fldCharType="separate"/>
      </w:r>
      <w:r w:rsidRPr="006437D7">
        <w:rPr>
          <w:rFonts w:ascii="Times New Roman" w:hAnsi="Times New Roman" w:cs="Times New Roman"/>
          <w:noProof/>
          <w:lang w:val="en-US"/>
        </w:rPr>
        <w:t>[2]</w:t>
      </w:r>
      <w:r w:rsidRPr="006437D7">
        <w:rPr>
          <w:rFonts w:ascii="Times New Roman" w:hAnsi="Times New Roman" w:cs="Times New Roman"/>
          <w:lang w:val="en-US"/>
        </w:rPr>
        <w:fldChar w:fldCharType="end"/>
      </w:r>
      <w:r w:rsidRPr="006437D7">
        <w:rPr>
          <w:rFonts w:ascii="Times New Roman" w:hAnsi="Times New Roman" w:cs="Times New Roman"/>
          <w:lang w:val="en-US"/>
        </w:rPr>
        <w:t>:</w:t>
      </w:r>
    </w:p>
    <w:p w:rsidR="00667D5E" w:rsidRPr="006437D7" w:rsidRDefault="00667D5E" w:rsidP="007427E8">
      <w:pPr>
        <w:spacing w:line="240" w:lineRule="auto"/>
        <w:jc w:val="both"/>
        <w:rPr>
          <w:rFonts w:ascii="Times New Roman" w:hAnsi="Times New Roman" w:cs="Times New Roman"/>
          <w:lang w:val="en-US"/>
        </w:rPr>
      </w:pPr>
      <w:hyperlink r:id="rId10" w:history="1">
        <w:r w:rsidRPr="006437D7">
          <w:rPr>
            <w:rStyle w:val="Hyperlnk"/>
            <w:rFonts w:ascii="Times New Roman" w:hAnsi="Times New Roman" w:cs="Times New Roman"/>
            <w:lang w:val="en-US"/>
          </w:rPr>
          <w:t>https://github.com/filip-szczepankiewicz/Szczepankiewicz_PONE_2019</w:t>
        </w:r>
      </w:hyperlink>
    </w:p>
    <w:p w:rsidR="00667D5E" w:rsidRPr="006437D7" w:rsidRDefault="00667D5E" w:rsidP="007427E8">
      <w:pPr>
        <w:spacing w:after="0"/>
        <w:jc w:val="both"/>
        <w:rPr>
          <w:rFonts w:ascii="Times New Roman" w:hAnsi="Times New Roman" w:cs="Times New Roman"/>
        </w:rPr>
      </w:pPr>
      <w:proofErr w:type="spellStart"/>
      <w:r w:rsidRPr="006437D7">
        <w:rPr>
          <w:rFonts w:ascii="Times New Roman" w:hAnsi="Times New Roman" w:cs="Times New Roman"/>
        </w:rPr>
        <w:t>Analysis</w:t>
      </w:r>
      <w:proofErr w:type="spellEnd"/>
      <w:r w:rsidRPr="006437D7">
        <w:rPr>
          <w:rFonts w:ascii="Times New Roman" w:hAnsi="Times New Roman" w:cs="Times New Roman"/>
        </w:rPr>
        <w:t xml:space="preserve"> software </w:t>
      </w:r>
      <w:r w:rsidRPr="006437D7">
        <w:rPr>
          <w:rFonts w:ascii="Times New Roman" w:hAnsi="Times New Roman" w:cs="Times New Roman"/>
        </w:rPr>
        <w:fldChar w:fldCharType="begin"/>
      </w:r>
      <w:r w:rsidRPr="006437D7">
        <w:rPr>
          <w:rFonts w:ascii="Times New Roman" w:hAnsi="Times New Roman" w:cs="Times New Roman"/>
        </w:rPr>
        <w:instrText xml:space="preserve"> ADDIN EN.CITE &lt;EndNote&gt;&lt;Cite&gt;&lt;Author&gt;Nilsson&lt;/Author&gt;&lt;Year&gt;2018&lt;/Year&gt;&lt;RecNum&gt;1136&lt;/RecNum&gt;&lt;DisplayText&gt;[3]&lt;/DisplayText&gt;&lt;record&gt;&lt;rec-number&gt;1136&lt;/rec-number&gt;&lt;foreign-keys&gt;&lt;key app="EN" db-id="a900tvtfuwwpa3eaewx5dzf8xed9dta59fd0" timestamp="1520018704"&gt;1136&lt;/key&gt;&lt;key app="ENWeb" db-id=""&gt;0&lt;/key&gt;&lt;/foreign-keys&gt;&lt;ref-type name="Conference Proceedings"&gt;10&lt;/ref-type&gt;&lt;contributors&gt;&lt;authors&gt;&lt;author&gt;Nilsson, M.&lt;/author&gt;&lt;author&gt;Szczepankiewicz, F.&lt;/author&gt;&lt;author&gt;Lampinen, B.&lt;/author&gt;&lt;author&gt;Ahlgren, A.&lt;/author&gt;&lt;author&gt;De Almeida Martins, J. P.&lt;/author&gt;&lt;author&gt;Lasic, S.&lt;/author&gt;&lt;author&gt;Westin, C. F.&lt;/author&gt;&lt;author&gt;Topgaard, D.&lt;/author&gt;&lt;/authors&gt;&lt;/contributors&gt;&lt;titles&gt;&lt;title&gt;An open-source framework for analysis of multidimensional diffusion MRI data implemented in MATLAB&lt;/title&gt;&lt;secondary-title&gt;Proc. Intl. Soc. Mag. Reson. Med. 26&lt;/secondary-title&gt;&lt;/titles&gt;&lt;dates&gt;&lt;year&gt;2018&lt;/year&gt;&lt;/dates&gt;&lt;pub-location&gt;Paris, France&lt;/pub-location&gt;&lt;urls&gt;&lt;/urls&gt;&lt;/record&gt;&lt;/Cite&gt;&lt;/EndNote&gt;</w:instrText>
      </w:r>
      <w:r w:rsidRPr="006437D7">
        <w:rPr>
          <w:rFonts w:ascii="Times New Roman" w:hAnsi="Times New Roman" w:cs="Times New Roman"/>
        </w:rPr>
        <w:fldChar w:fldCharType="separate"/>
      </w:r>
      <w:r w:rsidRPr="006437D7">
        <w:rPr>
          <w:rFonts w:ascii="Times New Roman" w:hAnsi="Times New Roman" w:cs="Times New Roman"/>
          <w:noProof/>
        </w:rPr>
        <w:t>[3]</w:t>
      </w:r>
      <w:r w:rsidRPr="006437D7">
        <w:rPr>
          <w:rFonts w:ascii="Times New Roman" w:hAnsi="Times New Roman" w:cs="Times New Roman"/>
        </w:rPr>
        <w:fldChar w:fldCharType="end"/>
      </w:r>
      <w:r w:rsidRPr="006437D7">
        <w:rPr>
          <w:rFonts w:ascii="Times New Roman" w:hAnsi="Times New Roman" w:cs="Times New Roman"/>
        </w:rPr>
        <w:t>:</w:t>
      </w:r>
    </w:p>
    <w:p w:rsidR="00667D5E" w:rsidRPr="006437D7" w:rsidRDefault="00667D5E" w:rsidP="00667D5E">
      <w:pPr>
        <w:jc w:val="both"/>
        <w:rPr>
          <w:rFonts w:ascii="Times New Roman" w:hAnsi="Times New Roman" w:cs="Times New Roman"/>
        </w:rPr>
      </w:pPr>
      <w:hyperlink r:id="rId11" w:history="1">
        <w:r w:rsidRPr="006437D7">
          <w:rPr>
            <w:rStyle w:val="Hyperlnk"/>
            <w:rFonts w:ascii="Times New Roman" w:hAnsi="Times New Roman" w:cs="Times New Roman"/>
          </w:rPr>
          <w:t>https://github.com/markus-nilsson/md-dmri</w:t>
        </w:r>
      </w:hyperlink>
    </w:p>
    <w:p w:rsidR="00667D5E" w:rsidRPr="006437D7" w:rsidRDefault="00667D5E" w:rsidP="007427E8">
      <w:pPr>
        <w:spacing w:after="0"/>
        <w:jc w:val="both"/>
        <w:rPr>
          <w:rFonts w:ascii="Times New Roman" w:hAnsi="Times New Roman" w:cs="Times New Roman"/>
          <w:lang w:val="en-US"/>
        </w:rPr>
      </w:pPr>
      <w:r w:rsidRPr="006437D7">
        <w:rPr>
          <w:rFonts w:ascii="Times New Roman" w:hAnsi="Times New Roman" w:cs="Times New Roman"/>
          <w:lang w:val="en-US"/>
        </w:rPr>
        <w:t>Extraction of FWF-specific header information from DICOM images:</w:t>
      </w:r>
    </w:p>
    <w:p w:rsidR="009F13A0" w:rsidRPr="006437D7" w:rsidRDefault="00667D5E" w:rsidP="009F13A0">
      <w:pPr>
        <w:jc w:val="both"/>
        <w:rPr>
          <w:rFonts w:ascii="Times New Roman" w:hAnsi="Times New Roman" w:cs="Times New Roman"/>
          <w:lang w:val="en-US"/>
        </w:rPr>
      </w:pPr>
      <w:hyperlink r:id="rId12" w:history="1">
        <w:r w:rsidRPr="006437D7">
          <w:rPr>
            <w:rStyle w:val="Hyperlnk"/>
            <w:rFonts w:ascii="Times New Roman" w:hAnsi="Times New Roman" w:cs="Times New Roman"/>
            <w:lang w:val="en-US"/>
          </w:rPr>
          <w:t>https://github.com/filip-szczepankiewicz/fwf_header_tools</w:t>
        </w:r>
      </w:hyperlink>
    </w:p>
    <w:p w:rsidR="009F13A0" w:rsidRPr="006437D7" w:rsidRDefault="009F13A0" w:rsidP="009F13A0">
      <w:pPr>
        <w:jc w:val="both"/>
        <w:rPr>
          <w:rFonts w:ascii="Times New Roman" w:hAnsi="Times New Roman" w:cs="Times New Roman"/>
          <w:i/>
          <w:lang w:val="en-US"/>
        </w:rPr>
      </w:pPr>
      <w:r w:rsidRPr="006437D7">
        <w:rPr>
          <w:rFonts w:ascii="Times New Roman" w:hAnsi="Times New Roman" w:cs="Times New Roman"/>
          <w:i/>
          <w:lang w:val="en-US"/>
        </w:rPr>
        <w:lastRenderedPageBreak/>
        <w:t>References</w:t>
      </w:r>
    </w:p>
    <w:p w:rsidR="00667D5E" w:rsidRPr="006437D7" w:rsidRDefault="009F13A0" w:rsidP="00667D5E">
      <w:pPr>
        <w:pStyle w:val="EndNoteBibliography"/>
        <w:spacing w:after="0"/>
        <w:ind w:left="720" w:hanging="720"/>
        <w:rPr>
          <w:rFonts w:ascii="Times New Roman" w:hAnsi="Times New Roman" w:cs="Times New Roman"/>
        </w:rPr>
      </w:pPr>
      <w:r w:rsidRPr="006437D7">
        <w:rPr>
          <w:rFonts w:ascii="Times New Roman" w:hAnsi="Times New Roman" w:cs="Times New Roman"/>
        </w:rPr>
        <w:fldChar w:fldCharType="begin"/>
      </w:r>
      <w:r w:rsidRPr="006437D7">
        <w:rPr>
          <w:rFonts w:ascii="Times New Roman" w:hAnsi="Times New Roman" w:cs="Times New Roman"/>
        </w:rPr>
        <w:instrText xml:space="preserve"> ADDIN EN.REFLIST </w:instrText>
      </w:r>
      <w:r w:rsidRPr="006437D7">
        <w:rPr>
          <w:rFonts w:ascii="Times New Roman" w:hAnsi="Times New Roman" w:cs="Times New Roman"/>
        </w:rPr>
        <w:fldChar w:fldCharType="separate"/>
      </w:r>
      <w:r w:rsidR="00667D5E" w:rsidRPr="006437D7">
        <w:rPr>
          <w:rFonts w:ascii="Times New Roman" w:hAnsi="Times New Roman" w:cs="Times New Roman"/>
        </w:rPr>
        <w:t>1.</w:t>
      </w:r>
      <w:r w:rsidR="00667D5E" w:rsidRPr="006437D7">
        <w:rPr>
          <w:rFonts w:ascii="Times New Roman" w:hAnsi="Times New Roman" w:cs="Times New Roman"/>
        </w:rPr>
        <w:tab/>
        <w:t xml:space="preserve">Szczepankiewicz, F., </w:t>
      </w:r>
      <w:r w:rsidR="00667D5E" w:rsidRPr="006437D7">
        <w:rPr>
          <w:rFonts w:ascii="Times New Roman" w:hAnsi="Times New Roman" w:cs="Times New Roman"/>
          <w:i/>
        </w:rPr>
        <w:t>Imaging diffusional variance by MRI: The role of tensor-valued diffusion encoding and tissue heterogeneity</w:t>
      </w:r>
      <w:r w:rsidR="00667D5E" w:rsidRPr="006437D7">
        <w:rPr>
          <w:rFonts w:ascii="Times New Roman" w:hAnsi="Times New Roman" w:cs="Times New Roman"/>
        </w:rPr>
        <w:t xml:space="preserve">, in </w:t>
      </w:r>
      <w:r w:rsidR="00667D5E" w:rsidRPr="006437D7">
        <w:rPr>
          <w:rFonts w:ascii="Times New Roman" w:hAnsi="Times New Roman" w:cs="Times New Roman"/>
          <w:i/>
        </w:rPr>
        <w:t>Department of Medical Radiation Physics</w:t>
      </w:r>
      <w:r w:rsidR="00667D5E" w:rsidRPr="006437D7">
        <w:rPr>
          <w:rFonts w:ascii="Times New Roman" w:hAnsi="Times New Roman" w:cs="Times New Roman"/>
        </w:rPr>
        <w:t>. 2016, Lund University.</w:t>
      </w:r>
    </w:p>
    <w:p w:rsidR="00667D5E" w:rsidRPr="006437D7" w:rsidRDefault="00667D5E" w:rsidP="00667D5E">
      <w:pPr>
        <w:pStyle w:val="EndNoteBibliography"/>
        <w:spacing w:after="0"/>
        <w:ind w:left="720" w:hanging="720"/>
        <w:rPr>
          <w:rFonts w:ascii="Times New Roman" w:hAnsi="Times New Roman" w:cs="Times New Roman"/>
        </w:rPr>
      </w:pPr>
      <w:r w:rsidRPr="006437D7">
        <w:rPr>
          <w:rFonts w:ascii="Times New Roman" w:hAnsi="Times New Roman" w:cs="Times New Roman"/>
        </w:rPr>
        <w:t>2.</w:t>
      </w:r>
      <w:r w:rsidRPr="006437D7">
        <w:rPr>
          <w:rFonts w:ascii="Times New Roman" w:hAnsi="Times New Roman" w:cs="Times New Roman"/>
        </w:rPr>
        <w:tab/>
        <w:t xml:space="preserve">Szczepankiewicz, F., et al., </w:t>
      </w:r>
      <w:r w:rsidRPr="006437D7">
        <w:rPr>
          <w:rFonts w:ascii="Times New Roman" w:hAnsi="Times New Roman" w:cs="Times New Roman"/>
          <w:i/>
        </w:rPr>
        <w:t>Tensor-valued diffusion encoding for diffusional variance decomposition (DIVIDE): Technical feasibility in clinical MRI systems.</w:t>
      </w:r>
      <w:r w:rsidRPr="006437D7">
        <w:rPr>
          <w:rFonts w:ascii="Times New Roman" w:hAnsi="Times New Roman" w:cs="Times New Roman"/>
        </w:rPr>
        <w:t xml:space="preserve"> PLoS One, 2019. </w:t>
      </w:r>
      <w:r w:rsidRPr="006437D7">
        <w:rPr>
          <w:rFonts w:ascii="Times New Roman" w:hAnsi="Times New Roman" w:cs="Times New Roman"/>
          <w:b/>
        </w:rPr>
        <w:t>14</w:t>
      </w:r>
      <w:r w:rsidRPr="006437D7">
        <w:rPr>
          <w:rFonts w:ascii="Times New Roman" w:hAnsi="Times New Roman" w:cs="Times New Roman"/>
        </w:rPr>
        <w:t>(3): p. e0214238.</w:t>
      </w:r>
    </w:p>
    <w:p w:rsidR="00667D5E" w:rsidRPr="006437D7" w:rsidRDefault="00667D5E" w:rsidP="00667D5E">
      <w:pPr>
        <w:pStyle w:val="EndNoteBibliography"/>
        <w:ind w:left="720" w:hanging="720"/>
        <w:rPr>
          <w:rFonts w:ascii="Times New Roman" w:hAnsi="Times New Roman" w:cs="Times New Roman"/>
        </w:rPr>
      </w:pPr>
      <w:r w:rsidRPr="006437D7">
        <w:rPr>
          <w:rFonts w:ascii="Times New Roman" w:hAnsi="Times New Roman" w:cs="Times New Roman"/>
        </w:rPr>
        <w:t>3.</w:t>
      </w:r>
      <w:r w:rsidRPr="006437D7">
        <w:rPr>
          <w:rFonts w:ascii="Times New Roman" w:hAnsi="Times New Roman" w:cs="Times New Roman"/>
        </w:rPr>
        <w:tab/>
        <w:t xml:space="preserve">Nilsson, M., et al. </w:t>
      </w:r>
      <w:r w:rsidRPr="006437D7">
        <w:rPr>
          <w:rFonts w:ascii="Times New Roman" w:hAnsi="Times New Roman" w:cs="Times New Roman"/>
          <w:i/>
        </w:rPr>
        <w:t>An open-source framework for analysis of multidimensional diffusion MRI data implemented in MATLAB</w:t>
      </w:r>
      <w:r w:rsidRPr="006437D7">
        <w:rPr>
          <w:rFonts w:ascii="Times New Roman" w:hAnsi="Times New Roman" w:cs="Times New Roman"/>
        </w:rPr>
        <w:t xml:space="preserve">. in </w:t>
      </w:r>
      <w:r w:rsidRPr="006437D7">
        <w:rPr>
          <w:rFonts w:ascii="Times New Roman" w:hAnsi="Times New Roman" w:cs="Times New Roman"/>
          <w:i/>
        </w:rPr>
        <w:t>Proc. Intl. Soc. Mag. Reson. Med. 26</w:t>
      </w:r>
      <w:r w:rsidRPr="006437D7">
        <w:rPr>
          <w:rFonts w:ascii="Times New Roman" w:hAnsi="Times New Roman" w:cs="Times New Roman"/>
        </w:rPr>
        <w:t>. 2018. Paris, France.</w:t>
      </w:r>
    </w:p>
    <w:p w:rsidR="00AC028E" w:rsidRPr="006437D7" w:rsidRDefault="009F13A0" w:rsidP="009F13A0">
      <w:pPr>
        <w:jc w:val="both"/>
        <w:rPr>
          <w:rFonts w:ascii="Times New Roman" w:hAnsi="Times New Roman" w:cs="Times New Roman"/>
          <w:lang w:val="en-US"/>
        </w:rPr>
      </w:pPr>
      <w:r w:rsidRPr="006437D7">
        <w:rPr>
          <w:rFonts w:ascii="Times New Roman" w:hAnsi="Times New Roman" w:cs="Times New Roman"/>
          <w:lang w:val="en-US"/>
        </w:rPr>
        <w:fldChar w:fldCharType="end"/>
      </w:r>
      <w:bookmarkStart w:id="0" w:name="_GoBack"/>
      <w:bookmarkEnd w:id="0"/>
    </w:p>
    <w:sectPr w:rsidR="00AC028E" w:rsidRPr="006437D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BA2" w:rsidRDefault="00CE7BA2" w:rsidP="006437D7">
      <w:pPr>
        <w:spacing w:after="0" w:line="240" w:lineRule="auto"/>
      </w:pPr>
      <w:r>
        <w:separator/>
      </w:r>
    </w:p>
  </w:endnote>
  <w:endnote w:type="continuationSeparator" w:id="0">
    <w:p w:rsidR="00CE7BA2" w:rsidRDefault="00CE7BA2" w:rsidP="0064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FDC" w:rsidRPr="00D11FDC" w:rsidRDefault="00D11FDC">
    <w:pPr>
      <w:pStyle w:val="Sidfot"/>
      <w:jc w:val="center"/>
      <w:rPr>
        <w:rFonts w:ascii="Times New Roman" w:hAnsi="Times New Roman" w:cs="Times New Roman"/>
        <w:caps/>
        <w:sz w:val="16"/>
        <w:szCs w:val="16"/>
      </w:rPr>
    </w:pPr>
    <w:r w:rsidRPr="00D11FDC">
      <w:rPr>
        <w:rFonts w:ascii="Times New Roman" w:hAnsi="Times New Roman" w:cs="Times New Roman"/>
        <w:caps/>
        <w:sz w:val="16"/>
        <w:szCs w:val="16"/>
      </w:rPr>
      <w:fldChar w:fldCharType="begin"/>
    </w:r>
    <w:r w:rsidRPr="00D11FDC">
      <w:rPr>
        <w:rFonts w:ascii="Times New Roman" w:hAnsi="Times New Roman" w:cs="Times New Roman"/>
        <w:caps/>
        <w:sz w:val="16"/>
        <w:szCs w:val="16"/>
      </w:rPr>
      <w:instrText>PAGE   \* MERGEFORMAT</w:instrText>
    </w:r>
    <w:r w:rsidRPr="00D11FDC">
      <w:rPr>
        <w:rFonts w:ascii="Times New Roman" w:hAnsi="Times New Roman" w:cs="Times New Roman"/>
        <w:caps/>
        <w:sz w:val="16"/>
        <w:szCs w:val="16"/>
      </w:rPr>
      <w:fldChar w:fldCharType="separate"/>
    </w:r>
    <w:r w:rsidRPr="00D11FDC">
      <w:rPr>
        <w:rFonts w:ascii="Times New Roman" w:hAnsi="Times New Roman" w:cs="Times New Roman"/>
        <w:caps/>
        <w:sz w:val="16"/>
        <w:szCs w:val="16"/>
      </w:rPr>
      <w:t>2</w:t>
    </w:r>
    <w:r w:rsidRPr="00D11FDC">
      <w:rPr>
        <w:rFonts w:ascii="Times New Roman" w:hAnsi="Times New Roman" w:cs="Times New Roman"/>
        <w:caps/>
        <w:sz w:val="16"/>
        <w:szCs w:val="16"/>
      </w:rPr>
      <w:fldChar w:fldCharType="end"/>
    </w:r>
  </w:p>
  <w:p w:rsidR="00D11FDC" w:rsidRDefault="00D11FD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BA2" w:rsidRDefault="00CE7BA2" w:rsidP="006437D7">
      <w:pPr>
        <w:spacing w:after="0" w:line="240" w:lineRule="auto"/>
      </w:pPr>
      <w:r>
        <w:separator/>
      </w:r>
    </w:p>
  </w:footnote>
  <w:footnote w:type="continuationSeparator" w:id="0">
    <w:p w:rsidR="00CE7BA2" w:rsidRDefault="00CE7BA2" w:rsidP="00643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37D7" w:rsidRPr="006437D7" w:rsidRDefault="006437D7" w:rsidP="006437D7">
    <w:pPr>
      <w:spacing w:after="0"/>
      <w:rPr>
        <w:rFonts w:ascii="Times New Roman" w:hAnsi="Times New Roman" w:cs="Times New Roman"/>
        <w:sz w:val="16"/>
        <w:szCs w:val="16"/>
        <w:lang w:val="en-US"/>
      </w:rPr>
    </w:pPr>
    <w:r w:rsidRPr="006437D7">
      <w:rPr>
        <w:rFonts w:ascii="Times New Roman" w:hAnsi="Times New Roman" w:cs="Times New Roman"/>
        <w:sz w:val="16"/>
        <w:szCs w:val="16"/>
        <w:lang w:val="en-US"/>
      </w:rPr>
      <w:t>Installation and user’s manual for the Free Waveform Encoding (FWF) sequence (s)</w:t>
    </w:r>
  </w:p>
  <w:p w:rsidR="006437D7" w:rsidRPr="006437D7" w:rsidRDefault="006437D7" w:rsidP="006437D7">
    <w:pPr>
      <w:spacing w:after="0"/>
      <w:rPr>
        <w:rFonts w:ascii="Times New Roman" w:hAnsi="Times New Roman" w:cs="Times New Roman"/>
        <w:sz w:val="16"/>
        <w:szCs w:val="16"/>
        <w:lang w:val="en-US"/>
      </w:rPr>
    </w:pPr>
    <w:r w:rsidRPr="006437D7">
      <w:rPr>
        <w:rFonts w:ascii="Times New Roman" w:hAnsi="Times New Roman" w:cs="Times New Roman"/>
        <w:sz w:val="16"/>
        <w:szCs w:val="16"/>
        <w:lang w:val="en-US"/>
      </w:rPr>
      <w:t>Sequence version 1.13s | Document version 1.0</w:t>
    </w:r>
  </w:p>
  <w:p w:rsidR="006437D7" w:rsidRPr="006437D7" w:rsidRDefault="006437D7" w:rsidP="006437D7">
    <w:pPr>
      <w:spacing w:after="0"/>
      <w:rPr>
        <w:rFonts w:ascii="Times New Roman" w:hAnsi="Times New Roman" w:cs="Times New Roman"/>
        <w:sz w:val="16"/>
        <w:szCs w:val="16"/>
        <w:lang w:val="en-US"/>
      </w:rPr>
    </w:pPr>
    <w:r w:rsidRPr="006437D7">
      <w:rPr>
        <w:rFonts w:ascii="Times New Roman" w:hAnsi="Times New Roman" w:cs="Times New Roman"/>
        <w:sz w:val="16"/>
        <w:szCs w:val="16"/>
        <w:lang w:val="en-US"/>
      </w:rPr>
      <w:t>Filip Szczepankiewicz (fszczepankiewicz@bwh.harvard.edu)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F4E3A"/>
    <w:multiLevelType w:val="hybridMultilevel"/>
    <w:tmpl w:val="8AF0A24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92B3C90"/>
    <w:multiLevelType w:val="hybridMultilevel"/>
    <w:tmpl w:val="4842834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06F0347"/>
    <w:multiLevelType w:val="hybridMultilevel"/>
    <w:tmpl w:val="C48CD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A7B74"/>
    <w:multiLevelType w:val="hybridMultilevel"/>
    <w:tmpl w:val="B36CCBE6"/>
    <w:lvl w:ilvl="0" w:tplc="D182E8B0">
      <w:start w:val="1"/>
      <w:numFmt w:val="bullet"/>
      <w:lvlText w:val="•"/>
      <w:lvlJc w:val="left"/>
      <w:pPr>
        <w:tabs>
          <w:tab w:val="num" w:pos="720"/>
        </w:tabs>
        <w:ind w:left="720" w:hanging="360"/>
      </w:pPr>
      <w:rPr>
        <w:rFonts w:ascii="Arial" w:hAnsi="Arial" w:hint="default"/>
      </w:rPr>
    </w:lvl>
    <w:lvl w:ilvl="1" w:tplc="5FCEB82C">
      <w:numFmt w:val="bullet"/>
      <w:lvlText w:val="•"/>
      <w:lvlJc w:val="left"/>
      <w:pPr>
        <w:tabs>
          <w:tab w:val="num" w:pos="1440"/>
        </w:tabs>
        <w:ind w:left="1440" w:hanging="360"/>
      </w:pPr>
      <w:rPr>
        <w:rFonts w:ascii="Arial" w:hAnsi="Arial" w:hint="default"/>
      </w:rPr>
    </w:lvl>
    <w:lvl w:ilvl="2" w:tplc="17AA129E" w:tentative="1">
      <w:start w:val="1"/>
      <w:numFmt w:val="bullet"/>
      <w:lvlText w:val="•"/>
      <w:lvlJc w:val="left"/>
      <w:pPr>
        <w:tabs>
          <w:tab w:val="num" w:pos="2160"/>
        </w:tabs>
        <w:ind w:left="2160" w:hanging="360"/>
      </w:pPr>
      <w:rPr>
        <w:rFonts w:ascii="Arial" w:hAnsi="Arial" w:hint="default"/>
      </w:rPr>
    </w:lvl>
    <w:lvl w:ilvl="3" w:tplc="BD8AE55E" w:tentative="1">
      <w:start w:val="1"/>
      <w:numFmt w:val="bullet"/>
      <w:lvlText w:val="•"/>
      <w:lvlJc w:val="left"/>
      <w:pPr>
        <w:tabs>
          <w:tab w:val="num" w:pos="2880"/>
        </w:tabs>
        <w:ind w:left="2880" w:hanging="360"/>
      </w:pPr>
      <w:rPr>
        <w:rFonts w:ascii="Arial" w:hAnsi="Arial" w:hint="default"/>
      </w:rPr>
    </w:lvl>
    <w:lvl w:ilvl="4" w:tplc="FE5E18E4" w:tentative="1">
      <w:start w:val="1"/>
      <w:numFmt w:val="bullet"/>
      <w:lvlText w:val="•"/>
      <w:lvlJc w:val="left"/>
      <w:pPr>
        <w:tabs>
          <w:tab w:val="num" w:pos="3600"/>
        </w:tabs>
        <w:ind w:left="3600" w:hanging="360"/>
      </w:pPr>
      <w:rPr>
        <w:rFonts w:ascii="Arial" w:hAnsi="Arial" w:hint="default"/>
      </w:rPr>
    </w:lvl>
    <w:lvl w:ilvl="5" w:tplc="4D7ACDEE" w:tentative="1">
      <w:start w:val="1"/>
      <w:numFmt w:val="bullet"/>
      <w:lvlText w:val="•"/>
      <w:lvlJc w:val="left"/>
      <w:pPr>
        <w:tabs>
          <w:tab w:val="num" w:pos="4320"/>
        </w:tabs>
        <w:ind w:left="4320" w:hanging="360"/>
      </w:pPr>
      <w:rPr>
        <w:rFonts w:ascii="Arial" w:hAnsi="Arial" w:hint="default"/>
      </w:rPr>
    </w:lvl>
    <w:lvl w:ilvl="6" w:tplc="D602B34C" w:tentative="1">
      <w:start w:val="1"/>
      <w:numFmt w:val="bullet"/>
      <w:lvlText w:val="•"/>
      <w:lvlJc w:val="left"/>
      <w:pPr>
        <w:tabs>
          <w:tab w:val="num" w:pos="5040"/>
        </w:tabs>
        <w:ind w:left="5040" w:hanging="360"/>
      </w:pPr>
      <w:rPr>
        <w:rFonts w:ascii="Arial" w:hAnsi="Arial" w:hint="default"/>
      </w:rPr>
    </w:lvl>
    <w:lvl w:ilvl="7" w:tplc="0CC2B996" w:tentative="1">
      <w:start w:val="1"/>
      <w:numFmt w:val="bullet"/>
      <w:lvlText w:val="•"/>
      <w:lvlJc w:val="left"/>
      <w:pPr>
        <w:tabs>
          <w:tab w:val="num" w:pos="5760"/>
        </w:tabs>
        <w:ind w:left="5760" w:hanging="360"/>
      </w:pPr>
      <w:rPr>
        <w:rFonts w:ascii="Arial" w:hAnsi="Arial" w:hint="default"/>
      </w:rPr>
    </w:lvl>
    <w:lvl w:ilvl="8" w:tplc="3BE64A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79B51D8"/>
    <w:multiLevelType w:val="hybridMultilevel"/>
    <w:tmpl w:val="27C6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5651F"/>
    <w:multiLevelType w:val="hybridMultilevel"/>
    <w:tmpl w:val="C48CD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00tvtfuwwpa3eaewx5dzf8xed9dta59fd0&quot;&gt;MainLibrary&lt;record-ids&gt;&lt;item&gt;949&lt;/item&gt;&lt;item&gt;1136&lt;/item&gt;&lt;item&gt;1248&lt;/item&gt;&lt;/record-ids&gt;&lt;/item&gt;&lt;/Libraries&gt;"/>
  </w:docVars>
  <w:rsids>
    <w:rsidRoot w:val="00AC028E"/>
    <w:rsid w:val="00531A2A"/>
    <w:rsid w:val="006437D7"/>
    <w:rsid w:val="00667D5E"/>
    <w:rsid w:val="007427E8"/>
    <w:rsid w:val="008447ED"/>
    <w:rsid w:val="009F13A0"/>
    <w:rsid w:val="00AC028E"/>
    <w:rsid w:val="00CD26FE"/>
    <w:rsid w:val="00CE7BA2"/>
    <w:rsid w:val="00CE7D1A"/>
    <w:rsid w:val="00D11F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E06B"/>
  <w15:chartTrackingRefBased/>
  <w15:docId w15:val="{F8F66A8F-5DC3-40FD-A8AB-516D8F00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ndNoteBibliographyTitle">
    <w:name w:val="EndNote Bibliography Title"/>
    <w:basedOn w:val="Normal"/>
    <w:link w:val="EndNoteBibliographyTitleChar"/>
    <w:rsid w:val="00AC028E"/>
    <w:pPr>
      <w:spacing w:after="0"/>
      <w:jc w:val="center"/>
    </w:pPr>
    <w:rPr>
      <w:rFonts w:ascii="Calibri" w:hAnsi="Calibri" w:cs="Calibri"/>
      <w:noProof/>
      <w:lang w:val="en-US"/>
    </w:rPr>
  </w:style>
  <w:style w:type="character" w:customStyle="1" w:styleId="EndNoteBibliographyTitleChar">
    <w:name w:val="EndNote Bibliography Title Char"/>
    <w:basedOn w:val="Standardstycketeckensnitt"/>
    <w:link w:val="EndNoteBibliographyTitle"/>
    <w:rsid w:val="00AC028E"/>
    <w:rPr>
      <w:rFonts w:ascii="Calibri" w:hAnsi="Calibri" w:cs="Calibri"/>
      <w:noProof/>
      <w:lang w:val="en-US"/>
    </w:rPr>
  </w:style>
  <w:style w:type="paragraph" w:customStyle="1" w:styleId="EndNoteBibliography">
    <w:name w:val="EndNote Bibliography"/>
    <w:basedOn w:val="Normal"/>
    <w:link w:val="EndNoteBibliographyChar"/>
    <w:rsid w:val="00AC028E"/>
    <w:pPr>
      <w:spacing w:line="240" w:lineRule="auto"/>
    </w:pPr>
    <w:rPr>
      <w:rFonts w:ascii="Calibri" w:hAnsi="Calibri" w:cs="Calibri"/>
      <w:noProof/>
      <w:lang w:val="en-US"/>
    </w:rPr>
  </w:style>
  <w:style w:type="character" w:customStyle="1" w:styleId="EndNoteBibliographyChar">
    <w:name w:val="EndNote Bibliography Char"/>
    <w:basedOn w:val="Standardstycketeckensnitt"/>
    <w:link w:val="EndNoteBibliography"/>
    <w:rsid w:val="00AC028E"/>
    <w:rPr>
      <w:rFonts w:ascii="Calibri" w:hAnsi="Calibri" w:cs="Calibri"/>
      <w:noProof/>
      <w:lang w:val="en-US"/>
    </w:rPr>
  </w:style>
  <w:style w:type="paragraph" w:styleId="Liststycke">
    <w:name w:val="List Paragraph"/>
    <w:basedOn w:val="Normal"/>
    <w:uiPriority w:val="34"/>
    <w:qFormat/>
    <w:rsid w:val="00AC028E"/>
    <w:pPr>
      <w:ind w:left="720"/>
      <w:contextualSpacing/>
    </w:pPr>
    <w:rPr>
      <w:lang w:val="en-US"/>
    </w:rPr>
  </w:style>
  <w:style w:type="table" w:styleId="Tabellrutnt">
    <w:name w:val="Table Grid"/>
    <w:basedOn w:val="Normaltabell"/>
    <w:uiPriority w:val="39"/>
    <w:rsid w:val="00AC028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667D5E"/>
    <w:rPr>
      <w:color w:val="0000FF"/>
      <w:u w:val="single"/>
    </w:rPr>
  </w:style>
  <w:style w:type="character" w:styleId="Olstomnmnande">
    <w:name w:val="Unresolved Mention"/>
    <w:basedOn w:val="Standardstycketeckensnitt"/>
    <w:uiPriority w:val="99"/>
    <w:semiHidden/>
    <w:unhideWhenUsed/>
    <w:rsid w:val="00667D5E"/>
    <w:rPr>
      <w:color w:val="605E5C"/>
      <w:shd w:val="clear" w:color="auto" w:fill="E1DFDD"/>
    </w:rPr>
  </w:style>
  <w:style w:type="paragraph" w:styleId="Sidhuvud">
    <w:name w:val="header"/>
    <w:basedOn w:val="Normal"/>
    <w:link w:val="SidhuvudChar"/>
    <w:uiPriority w:val="99"/>
    <w:unhideWhenUsed/>
    <w:rsid w:val="006437D7"/>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6437D7"/>
  </w:style>
  <w:style w:type="paragraph" w:styleId="Sidfot">
    <w:name w:val="footer"/>
    <w:basedOn w:val="Normal"/>
    <w:link w:val="SidfotChar"/>
    <w:uiPriority w:val="99"/>
    <w:unhideWhenUsed/>
    <w:rsid w:val="006437D7"/>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643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383956">
      <w:bodyDiv w:val="1"/>
      <w:marLeft w:val="0"/>
      <w:marRight w:val="0"/>
      <w:marTop w:val="0"/>
      <w:marBottom w:val="0"/>
      <w:divBdr>
        <w:top w:val="none" w:sz="0" w:space="0" w:color="auto"/>
        <w:left w:val="none" w:sz="0" w:space="0" w:color="auto"/>
        <w:bottom w:val="none" w:sz="0" w:space="0" w:color="auto"/>
        <w:right w:val="none" w:sz="0" w:space="0" w:color="auto"/>
      </w:divBdr>
      <w:divsChild>
        <w:div w:id="1189950057">
          <w:marLeft w:val="360"/>
          <w:marRight w:val="0"/>
          <w:marTop w:val="360"/>
          <w:marBottom w:val="0"/>
          <w:divBdr>
            <w:top w:val="none" w:sz="0" w:space="0" w:color="auto"/>
            <w:left w:val="none" w:sz="0" w:space="0" w:color="auto"/>
            <w:bottom w:val="none" w:sz="0" w:space="0" w:color="auto"/>
            <w:right w:val="none" w:sz="0" w:space="0" w:color="auto"/>
          </w:divBdr>
        </w:div>
        <w:div w:id="1417358741">
          <w:marLeft w:val="1080"/>
          <w:marRight w:val="0"/>
          <w:marTop w:val="100"/>
          <w:marBottom w:val="0"/>
          <w:divBdr>
            <w:top w:val="none" w:sz="0" w:space="0" w:color="auto"/>
            <w:left w:val="none" w:sz="0" w:space="0" w:color="auto"/>
            <w:bottom w:val="none" w:sz="0" w:space="0" w:color="auto"/>
            <w:right w:val="none" w:sz="0" w:space="0" w:color="auto"/>
          </w:divBdr>
        </w:div>
        <w:div w:id="804159442">
          <w:marLeft w:val="1080"/>
          <w:marRight w:val="0"/>
          <w:marTop w:val="100"/>
          <w:marBottom w:val="0"/>
          <w:divBdr>
            <w:top w:val="none" w:sz="0" w:space="0" w:color="auto"/>
            <w:left w:val="none" w:sz="0" w:space="0" w:color="auto"/>
            <w:bottom w:val="none" w:sz="0" w:space="0" w:color="auto"/>
            <w:right w:val="none" w:sz="0" w:space="0" w:color="auto"/>
          </w:divBdr>
        </w:div>
        <w:div w:id="2043823636">
          <w:marLeft w:val="1080"/>
          <w:marRight w:val="0"/>
          <w:marTop w:val="100"/>
          <w:marBottom w:val="0"/>
          <w:divBdr>
            <w:top w:val="none" w:sz="0" w:space="0" w:color="auto"/>
            <w:left w:val="none" w:sz="0" w:space="0" w:color="auto"/>
            <w:bottom w:val="none" w:sz="0" w:space="0" w:color="auto"/>
            <w:right w:val="none" w:sz="0" w:space="0" w:color="auto"/>
          </w:divBdr>
        </w:div>
        <w:div w:id="1095829230">
          <w:marLeft w:val="360"/>
          <w:marRight w:val="0"/>
          <w:marTop w:val="360"/>
          <w:marBottom w:val="0"/>
          <w:divBdr>
            <w:top w:val="none" w:sz="0" w:space="0" w:color="auto"/>
            <w:left w:val="none" w:sz="0" w:space="0" w:color="auto"/>
            <w:bottom w:val="none" w:sz="0" w:space="0" w:color="auto"/>
            <w:right w:val="none" w:sz="0" w:space="0" w:color="auto"/>
          </w:divBdr>
        </w:div>
        <w:div w:id="84232393">
          <w:marLeft w:val="360"/>
          <w:marRight w:val="0"/>
          <w:marTop w:val="360"/>
          <w:marBottom w:val="0"/>
          <w:divBdr>
            <w:top w:val="none" w:sz="0" w:space="0" w:color="auto"/>
            <w:left w:val="none" w:sz="0" w:space="0" w:color="auto"/>
            <w:bottom w:val="none" w:sz="0" w:space="0" w:color="auto"/>
            <w:right w:val="none" w:sz="0" w:space="0" w:color="auto"/>
          </w:divBdr>
        </w:div>
        <w:div w:id="1714698409">
          <w:marLeft w:val="360"/>
          <w:marRight w:val="0"/>
          <w:marTop w:val="360"/>
          <w:marBottom w:val="0"/>
          <w:divBdr>
            <w:top w:val="none" w:sz="0" w:space="0" w:color="auto"/>
            <w:left w:val="none" w:sz="0" w:space="0" w:color="auto"/>
            <w:bottom w:val="none" w:sz="0" w:space="0" w:color="auto"/>
            <w:right w:val="none" w:sz="0" w:space="0" w:color="auto"/>
          </w:divBdr>
        </w:div>
        <w:div w:id="627782801">
          <w:marLeft w:val="360"/>
          <w:marRight w:val="0"/>
          <w:marTop w:val="360"/>
          <w:marBottom w:val="0"/>
          <w:divBdr>
            <w:top w:val="none" w:sz="0" w:space="0" w:color="auto"/>
            <w:left w:val="none" w:sz="0" w:space="0" w:color="auto"/>
            <w:bottom w:val="none" w:sz="0" w:space="0" w:color="auto"/>
            <w:right w:val="none" w:sz="0" w:space="0" w:color="auto"/>
          </w:divBdr>
        </w:div>
        <w:div w:id="1917591303">
          <w:marLeft w:val="360"/>
          <w:marRight w:val="0"/>
          <w:marTop w:val="360"/>
          <w:marBottom w:val="0"/>
          <w:divBdr>
            <w:top w:val="none" w:sz="0" w:space="0" w:color="auto"/>
            <w:left w:val="none" w:sz="0" w:space="0" w:color="auto"/>
            <w:bottom w:val="none" w:sz="0" w:space="0" w:color="auto"/>
            <w:right w:val="none" w:sz="0" w:space="0" w:color="auto"/>
          </w:divBdr>
        </w:div>
      </w:divsChild>
    </w:div>
    <w:div w:id="198449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Relationship Id="rId12" Type="http://schemas.openxmlformats.org/officeDocument/2006/relationships/hyperlink" Target="https://github.com/filip-szczepankiewicz/fwf_header_too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rkus-nilsson/md-dmr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filip-szczepankiewicz/Szczepankiewicz_PONE_20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1614</Words>
  <Characters>8560</Characters>
  <Application>Microsoft Office Word</Application>
  <DocSecurity>0</DocSecurity>
  <Lines>71</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Szczepankiewicz, Filip Adam,Ph.D.</dc:creator>
  <cp:keywords/>
  <dc:description/>
  <cp:lastModifiedBy>Szczepankiewicz, Filip Adam,Ph.D.</cp:lastModifiedBy>
  <cp:revision>4</cp:revision>
  <dcterms:created xsi:type="dcterms:W3CDTF">2019-04-30T16:21:00Z</dcterms:created>
  <dcterms:modified xsi:type="dcterms:W3CDTF">2019-04-30T19:03:00Z</dcterms:modified>
</cp:coreProperties>
</file>