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2: Big Data Analytics Project</w:t>
      </w:r>
    </w:p>
    <w:p w:rsidR="00000000" w:rsidDel="00000000" w:rsidP="00000000" w:rsidRDefault="00000000" w:rsidRPr="00000000" w14:paraId="00000002">
      <w:pPr>
        <w:rPr/>
      </w:pPr>
      <w:r w:rsidDel="00000000" w:rsidR="00000000" w:rsidRPr="00000000">
        <w:rPr>
          <w:rtl w:val="0"/>
        </w:rPr>
        <w:t xml:space="preserve">The final project challenges students to demonstrate mastery of big data analytics applied to public policy.</w:t>
      </w:r>
    </w:p>
    <w:p w:rsidR="00000000" w:rsidDel="00000000" w:rsidP="00000000" w:rsidRDefault="00000000" w:rsidRPr="00000000" w14:paraId="00000003">
      <w:pPr>
        <w:rPr/>
      </w:pPr>
      <w:r w:rsidDel="00000000" w:rsidR="00000000" w:rsidRPr="00000000">
        <w:rPr>
          <w:rtl w:val="0"/>
        </w:rPr>
        <w:t xml:space="preserve">Working in teams of up to four, students will select a policy area of interest, identify relevant datasets, and conduct an initial analysis using cloud infrastructure and scalable techniques.</w:t>
      </w:r>
    </w:p>
    <w:p w:rsidR="00000000" w:rsidDel="00000000" w:rsidP="00000000" w:rsidRDefault="00000000" w:rsidRPr="00000000" w14:paraId="00000004">
      <w:pPr>
        <w:rPr/>
      </w:pPr>
      <w:r w:rsidDel="00000000" w:rsidR="00000000" w:rsidRPr="00000000">
        <w:rPr>
          <w:rtl w:val="0"/>
        </w:rPr>
        <w:t xml:space="preserve">The emphasis is on methods, not dataset size. Students should apply the tools and approaches covered throughout the semester (cloud platforms, distributed computing, data pipelines, and appropriate analytical techniques) even when working with datasets that could technically fit on a single machine. The goal is to demonstrate fluency with scalable infrastructure and to produce a proof-of-concept analysis that lays the groundwork for future research or funding opportunities.</w:t>
      </w:r>
    </w:p>
    <w:p w:rsidR="00000000" w:rsidDel="00000000" w:rsidP="00000000" w:rsidRDefault="00000000" w:rsidRPr="00000000" w14:paraId="00000005">
      <w:pPr>
        <w:rPr/>
      </w:pPr>
      <w:r w:rsidDel="00000000" w:rsidR="00000000" w:rsidRPr="00000000">
        <w:rPr>
          <w:rtl w:val="0"/>
        </w:rPr>
        <w:t xml:space="preserve">The framing for this project is a pitch to a grant funder or policy board. Teams will explain why their policy question matters, present their initial analysis and findings, and propose a path forward for larger-scale investigation.</w:t>
      </w:r>
    </w:p>
    <w:p w:rsidR="00000000" w:rsidDel="00000000" w:rsidP="00000000" w:rsidRDefault="00000000" w:rsidRPr="00000000" w14:paraId="00000006">
      <w:pPr>
        <w:rPr/>
      </w:pPr>
      <w:r w:rsidDel="00000000" w:rsidR="00000000" w:rsidRPr="00000000">
        <w:rPr>
          <w:rtl w:val="0"/>
        </w:rPr>
        <w:t xml:space="preserve">Deliverables: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Project website (e.g., GitHub Pages) showcasing the analysis, working code, and visualizations</w:t>
      </w:r>
    </w:p>
    <w:p w:rsidR="00000000" w:rsidDel="00000000" w:rsidP="00000000" w:rsidRDefault="00000000" w:rsidRPr="00000000" w14:paraId="00000009">
      <w:pPr>
        <w:rPr/>
      </w:pPr>
      <w:r w:rsidDel="00000000" w:rsidR="00000000" w:rsidRPr="00000000">
        <w:rPr>
          <w:rtl w:val="0"/>
        </w:rPr>
        <w:t xml:space="preserve">• In-class presentation simulating a grant funding pitch</w:t>
      </w:r>
    </w:p>
    <w:p w:rsidR="00000000" w:rsidDel="00000000" w:rsidP="00000000" w:rsidRDefault="00000000" w:rsidRPr="00000000" w14:paraId="0000000A">
      <w:pPr>
        <w:rPr/>
      </w:pPr>
      <w:r w:rsidDel="00000000" w:rsidR="00000000" w:rsidRPr="00000000">
        <w:rPr>
          <w:rtl w:val="0"/>
        </w:rPr>
        <w:t xml:space="preserve">• Policy research paper (under 3,000 words) providing deeper context, methodology, and</w:t>
      </w:r>
    </w:p>
    <w:p w:rsidR="00000000" w:rsidDel="00000000" w:rsidP="00000000" w:rsidRDefault="00000000" w:rsidRPr="00000000" w14:paraId="0000000B">
      <w:pPr>
        <w:rPr/>
      </w:pPr>
      <w:r w:rsidDel="00000000" w:rsidR="00000000" w:rsidRPr="00000000">
        <w:rPr>
          <w:rtl w:val="0"/>
        </w:rPr>
        <w:t xml:space="preserve">Implications </w:t>
      </w:r>
    </w:p>
    <w:p w:rsidR="00000000" w:rsidDel="00000000" w:rsidP="00000000" w:rsidRDefault="00000000" w:rsidRPr="00000000" w14:paraId="0000000C">
      <w:pPr>
        <w:rPr/>
      </w:pPr>
      <w:r w:rsidDel="00000000" w:rsidR="00000000" w:rsidRPr="00000000">
        <w:rPr>
          <w:rtl w:val="0"/>
        </w:rPr>
        <w:t xml:space="preserve">Concise, directed writing is preferred over length. The paper should make a focused argument rather than fill space.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Milestones:</w:t>
      </w:r>
    </w:p>
    <w:p w:rsidR="00000000" w:rsidDel="00000000" w:rsidP="00000000" w:rsidRDefault="00000000" w:rsidRPr="00000000" w14:paraId="0000000F">
      <w:pPr>
        <w:rPr/>
      </w:pPr>
      <w:r w:rsidDel="00000000" w:rsidR="00000000" w:rsidRPr="00000000">
        <w:rPr>
          <w:rtl w:val="0"/>
        </w:rPr>
        <w:t xml:space="preserve">• Topic selection: March 8 (end of Spring Break)</w:t>
      </w:r>
    </w:p>
    <w:p w:rsidR="00000000" w:rsidDel="00000000" w:rsidP="00000000" w:rsidRDefault="00000000" w:rsidRPr="00000000" w14:paraId="00000010">
      <w:pPr>
        <w:rPr/>
      </w:pPr>
      <w:r w:rsidDel="00000000" w:rsidR="00000000" w:rsidRPr="00000000">
        <w:rPr>
          <w:rtl w:val="0"/>
        </w:rPr>
        <w:t xml:space="preserve">• Dataset identification: March 19 (Class 10)</w:t>
      </w:r>
    </w:p>
    <w:p w:rsidR="00000000" w:rsidDel="00000000" w:rsidP="00000000" w:rsidRDefault="00000000" w:rsidRPr="00000000" w14:paraId="00000011">
      <w:pPr>
        <w:rPr/>
      </w:pPr>
      <w:r w:rsidDel="00000000" w:rsidR="00000000" w:rsidRPr="00000000">
        <w:rPr>
          <w:rtl w:val="0"/>
        </w:rPr>
        <w:t xml:space="preserve">• Outline/methodology: April 5 (end of Easter Break)</w:t>
      </w:r>
    </w:p>
    <w:p w:rsidR="00000000" w:rsidDel="00000000" w:rsidP="00000000" w:rsidRDefault="00000000" w:rsidRPr="00000000" w14:paraId="00000012">
      <w:pPr>
        <w:rPr/>
      </w:pPr>
      <w:r w:rsidDel="00000000" w:rsidR="00000000" w:rsidRPr="00000000">
        <w:rPr>
          <w:rtl w:val="0"/>
        </w:rPr>
        <w:t xml:space="preserve">• Draft for feedback (optional): April 16 (Class 13)</w:t>
      </w:r>
    </w:p>
    <w:p w:rsidR="00000000" w:rsidDel="00000000" w:rsidP="00000000" w:rsidRDefault="00000000" w:rsidRPr="00000000" w14:paraId="00000013">
      <w:pPr>
        <w:rPr/>
      </w:pPr>
      <w:r w:rsidDel="00000000" w:rsidR="00000000" w:rsidRPr="00000000">
        <w:rPr>
          <w:rtl w:val="0"/>
        </w:rPr>
        <w:t xml:space="preserve">• Website and presentation: April 23 (Class 14)</w:t>
      </w:r>
    </w:p>
    <w:p w:rsidR="00000000" w:rsidDel="00000000" w:rsidP="00000000" w:rsidRDefault="00000000" w:rsidRPr="00000000" w14:paraId="00000014">
      <w:pPr>
        <w:rPr/>
      </w:pPr>
      <w:r w:rsidDel="00000000" w:rsidR="00000000" w:rsidRPr="00000000">
        <w:rPr>
          <w:rtl w:val="0"/>
        </w:rPr>
        <w:t xml:space="preserve">• Final paper and project revisions: May 1 (first day of finals)</w:t>
      </w:r>
    </w:p>
    <w:p w:rsidR="00000000" w:rsidDel="00000000" w:rsidP="00000000" w:rsidRDefault="00000000" w:rsidRPr="00000000" w14:paraId="00000015">
      <w:pPr>
        <w:rPr/>
      </w:pPr>
      <w:r w:rsidDel="00000000" w:rsidR="00000000" w:rsidRPr="00000000">
        <w:rPr>
          <w:rtl w:val="0"/>
        </w:rPr>
        <w:t xml:space="preserve">Milestones are graded for completion. Their purpose is to provide guidance and identify potential issues</w:t>
      </w:r>
    </w:p>
    <w:p w:rsidR="00000000" w:rsidDel="00000000" w:rsidP="00000000" w:rsidRDefault="00000000" w:rsidRPr="00000000" w14:paraId="00000016">
      <w:pPr>
        <w:rPr/>
      </w:pPr>
      <w:r w:rsidDel="00000000" w:rsidR="00000000" w:rsidRPr="00000000">
        <w:rPr>
          <w:rtl w:val="0"/>
        </w:rPr>
        <w:t xml:space="preserve">early. Schedule a meeting with me if you're stuck.</w:t>
      </w:r>
    </w:p>
    <w:p w:rsidR="00000000" w:rsidDel="00000000" w:rsidP="00000000" w:rsidRDefault="00000000" w:rsidRPr="00000000" w14:paraId="00000017">
      <w:pPr>
        <w:rPr/>
      </w:pPr>
      <w:r w:rsidDel="00000000" w:rsidR="00000000" w:rsidRPr="00000000">
        <w:rPr>
          <w:rtl w:val="0"/>
        </w:rPr>
        <w:t xml:space="preserve">Teams: Students form their own teams. If you're having difficulty finding a team, please let me know and</w:t>
      </w:r>
    </w:p>
    <w:p w:rsidR="00000000" w:rsidDel="00000000" w:rsidP="00000000" w:rsidRDefault="00000000" w:rsidRPr="00000000" w14:paraId="00000018">
      <w:pPr>
        <w:rPr/>
      </w:pPr>
      <w:r w:rsidDel="00000000" w:rsidR="00000000" w:rsidRPr="00000000">
        <w:rPr>
          <w:rtl w:val="0"/>
        </w:rPr>
        <w:t xml:space="preserve">I'll help coordinate.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Building a Scalable Policy Monitoring Framework for H-1B Visa Approvals</w:t>
      </w:r>
    </w:p>
    <w:p w:rsidR="00000000" w:rsidDel="00000000" w:rsidP="00000000" w:rsidRDefault="00000000" w:rsidRPr="00000000" w14:paraId="0000002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2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Introduction / Policy Motivation</w:t>
      </w:r>
    </w:p>
    <w:p w:rsidR="00000000" w:rsidDel="00000000" w:rsidP="00000000" w:rsidRDefault="00000000" w:rsidRPr="00000000" w14:paraId="0000002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the continuous tightening of immigration policies in the United States in recent years, the H-1B visa program remains one of the core pillars of its skilled-immigration system(Congressional Research Service, 2024). This program authorizes U.S. employers to hire foreign workers with advanced degrees and professional qualifications to fill positions that require highly specialized knowledge or the application of theoretical expertise, provided the statutory conditions are met. Knowledge-intensive industries such as information technology, engineering, biomedicine, financial services, and higher education have long relied on the H-1B channel to fill key vacancies, which not only alleviates the structural shortage of high-skilled labor domestically but also supports the country's innovation position and productivity advantage in the global value chain.(Kerr &amp; Lincoln, 2010; Peri et al., 2015) </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of its pivotal role in resource allocation, the H-1B system is one of important national strategic agendas. It shapes the vitality of the technology innovation ecosystem and the intensity of corporate R&amp;D. It directly affects total factor productivity growth and medium and long-term economic potential. For many technology firms, reliable access to compliant, high-quality H-1B labor has become a key institutional variable to support the expansion, the progress of frontier research, and the resilience of cross-border operations. At the same time, the system sits at the intersection of multiple policy tensions . It is simultaneously a window onto the effectiveness of immigration governance, an implementation interface for labor, market protection, and a micro-level vehicle of national technology. This effect gives it considerable political sensitivity and policy complexity.</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Although we cannot deny its significance, the currently available public data is insufficient to support a systematic empirical test of the H-1B approval decision-making mechanism. Specifically, there is widespread institutional uncertainty on the part of employers and applicants， especially opaque adjudication standards and ambiguous discretionary factors. On the research and policy side, the constraint is insufficient data granularity — the summary statistics released by USCIS lack case-level information.(USCIS, 2024) The OFLC LCA database contains wage and position data but is not directly linked to approval outcomes. Macro indicators such as ACS cannot capture the dynamic matching efficiency of regional labor markets.(U.S. Department of Labor, 2024) This points to an important question: what is the boundary of explainability for H-1B approval outcomes? In other words, the question is not "which model achieves the highest predictive accuracy?", but rather what factors meaningfully explain approval outcomes. </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study draws on the raw USCIS H-1B petition dataset for FY2024, integrates job level, wage percentile, work location, and employer industry codes from the OFLC Labor Condition Application (LCA), and links them to fine-grained economic indicators from the U.S. Census Bureau's American Community Survey (ACS) — county-level employment structure, education levels, and wage distributions. On this foundation, it constructs a reproducible, scalable, and causal-inference-oriented analytical framework. The core objective of this framework is not to optimize predictive performance, but to rigorously bound the extent to which public data can explain the variance in approval outcomes, thereby anchoring an empirical benchmark for institutional transparency. Beyond directly addressing the explainability question above, the framework also provides a methodological prototype for the next generation of dynamic immigration-policy monitoring systems, and establishes a robust, comparable, and defensible empirical baseline for any subsequent case-level H-1B impact studies.</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Research Question / Project Objective</w:t>
      </w:r>
    </w:p>
    <w:p w:rsidR="00000000" w:rsidDel="00000000" w:rsidP="00000000" w:rsidRDefault="00000000" w:rsidRPr="00000000" w14:paraId="0000002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study addresses three main research questions.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of all, using the wage data (LCA) from the Department of Labor and the city data from the census (population, density, rent, employment situation), we want to see: Just by looking at the economic situation of a city, can we predict the volume of H-1B applications based solely on local economic conditions? Without looking at any visa data, just by looking at what the city itself looks like, can we predict whether "there will be many H-1B applications in this place" or "there aren't many in this place"?</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Secondly, USCIS has disclosed a set of employer-level data, which contains only a few items: which state the company is in, what industry it is in, its size, how many of the applications are new and how many are renewals.We would like to ask: Can these few pieces of information alone explain why "Company A has a high pass rate while Company B has a low pass rate"?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answer is "It cannot be explained", it indicates that the data disclosed by the government is far from sufficient for policy assessment. No matter how powerful the model you use is, it won't work because the information itself is insufficient.</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we aggregated the USCIS data by city, and then combined the salary data and census data into the same table to compare the two scenarios: The simple version only uses a few USCIS variables (state, region, proportion of STEM industries, renewal proportion, number of applications). The detailed version, based on the simple version, adds factors such as wages, population, density, rent, employment, and the number of LCA applications. Then we compare: After adding so many variables, has the model's explanatory power improved?</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the significance of this contrast? If the addition is of no use, it indicates that the information that truly determines whether to approve or not is not in any public data, but is hidden in the details of each specific case, such as the quality of personal materials, the level of lawyers, the judgment of interviewers, and so on. If useful explanations are added, there is still room for mining in public data, but it has not been well integrated yet.</w:t>
      </w:r>
    </w:p>
    <w:p w:rsidR="00000000" w:rsidDel="00000000" w:rsidP="00000000" w:rsidRDefault="00000000" w:rsidRPr="00000000" w14:paraId="0000003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Data and Infrastructure</w:t>
      </w:r>
    </w:p>
    <w:p w:rsidR="00000000" w:rsidDel="00000000" w:rsidP="00000000" w:rsidRDefault="00000000" w:rsidRPr="00000000" w14:paraId="0000003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database is the USCIS Employer Data Hub from fiscal year 2024.(USCIS, 2024) This contains 61,452 employer-level filings across 57 U.S. states and territories and 21 NAICS industries. Each line of the report contains the counts of initial approvals, initial rejections, continuing approvals and continuing rejections, as well as the employer's name, NAICS code, state, city and postal code. The mean approval rate is 96.6%, with 82% of rows sitting at or above 99.9% - the target variable is heavily concentrated near one and is therefore near-degenerate at coarse group levels.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USCIS data on its own is too thin, so we pulled in two more data sources and joined them together. One is LCA data from the Department of Labor (average annual wage, LCA application count). The other is ACS data from the Census, which provides population, density, median rent, and employment and unemployment indicators.(U.S. Census Bureau, 2024) Finally, the enrichment file has 9,866 rows; inner-joining on STATE + CITY yields 3,968 cities covering 96.7% of USCIS petition volume. We hope to build the architecture so it can scale up to big data in the future.</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support reproducibility and future expansion, the project is organized as a multi-stage product. Each stage reads previous upstream results and writes one downstream, allowing any stage to be rerun independently.</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Ingestion and Standardization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CSV files provided by USCIS are encoded in UTF-16 (which is unusual — most CSVs are UTF-8), so the encoding needs to be specified when reading them; otherwise, the characters come out garbled.</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file is loaded, we standardize the column names, categorical fields, and ID formats. There is a column called "Approval Rate" in the USCIS table itself, but it can't be used directly. That's because when USCIS computed this ratio, they added a tiny perturbation (on the order of 10⁻⁶) precisely to prevent values that are exactly equal to 0 or 1. So we just recompute it ourselves using the original "how many were approved / how many were applied for".</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wage field in the LCA data has its own issue: the units are inconsistent. Our approach is straightforward: all records with an annual wage exceeding $500,000 are dropped before computing the city-level average. This keeps extreme values from skewing the average for the entire city. Real H-1B wages basically all fall below this threshold, and anything above it is almost always a data error — so this threshold is reasonable.</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Lastly, ZIP codes are coerced to 5-digit strings, and employer names are standardized by uppercasing them and trimming leading and trailing whitespace.</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Feature Engineering Layer</w:t>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derived variables are constructed to support modeling:</w:t>
      </w:r>
    </w:p>
    <w:p w:rsidR="00000000" w:rsidDel="00000000" w:rsidP="00000000" w:rsidRDefault="00000000" w:rsidRPr="00000000" w14:paraId="0000003E">
      <w:pPr>
        <w:numPr>
          <w:ilvl w:val="0"/>
          <w:numId w:val="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Petition mix indicators distinguishing initial from continuing petitions, with associated approval-share and log-count features</w:t>
      </w:r>
    </w:p>
    <w:p w:rsidR="00000000" w:rsidDel="00000000" w:rsidP="00000000" w:rsidRDefault="00000000" w:rsidRPr="00000000" w14:paraId="0000003F">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STEM industry indicators based on NAICS classifications (51, 54, 61, and related codes)</w:t>
      </w:r>
    </w:p>
    <w:p w:rsidR="00000000" w:rsidDel="00000000" w:rsidP="00000000" w:rsidRDefault="00000000" w:rsidRPr="00000000" w14:paraId="00000040">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Geographic features including petitioner state, Census region (Northeast, Midwest, South, West, Other), and a ZIP-prefix region proxy</w:t>
      </w:r>
    </w:p>
    <w:p w:rsidR="00000000" w:rsidDel="00000000" w:rsidP="00000000" w:rsidRDefault="00000000" w:rsidRPr="00000000" w14:paraId="00000041">
      <w:pPr>
        <w:numPr>
          <w:ilvl w:val="0"/>
          <w:numId w:val="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Employer-level identifiers and size buckets (single, small, medium, large, mega), log-transformed petition and employer counts, and city-level aggregations used in Layer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Analysis Layer</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The cleaned data is saved as a parquet file, and there are two parallel modeling lines downstream reading from it: One is the employer level (Layer 2), using only USCIS data. The other is the city level (Layer 3), which combines the USCIS, LCA and Census tables together. In addition to these two modeling lines, there is also a separate analysis stage where all charts and descriptive statistics are deterministically regenerated from the same batch of parquet files. Hence, the results will be exactly the same whenever it run.</w:t>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Cloud Readiness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dataset isn't large. But the architecture is designed to be cloud-ready from the start, not patched together as a one-off script.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heaviest step in the entire pipeline — joining USCIS, LCA, and Census at the city level — has been ported to PySpark 3.5 (</w:t>
      </w:r>
      <w:r w:rsidDel="00000000" w:rsidR="00000000" w:rsidRPr="00000000">
        <w:rPr>
          <w:rFonts w:ascii="Times New Roman" w:cs="Times New Roman" w:eastAsia="Times New Roman" w:hAnsi="Times New Roman"/>
          <w:color w:val="188038"/>
          <w:sz w:val="24"/>
          <w:szCs w:val="24"/>
          <w:rtl w:val="0"/>
        </w:rPr>
        <w:t xml:space="preserve">scripts/merge_external_spark.py</w:t>
      </w:r>
      <w:r w:rsidDel="00000000" w:rsidR="00000000" w:rsidRPr="00000000">
        <w:rPr>
          <w:rFonts w:ascii="Times New Roman" w:cs="Times New Roman" w:eastAsia="Times New Roman" w:hAnsi="Times New Roman"/>
          <w:sz w:val="24"/>
          <w:szCs w:val="24"/>
          <w:rtl w:val="0"/>
        </w:rPr>
        <w:t xml:space="preserve">). We verified that the Spark output matches the pandas output exactly: both produce 3,968 rows and the approval rates are identical. The largest difference in mean wage is on the order of 8×10⁻¹³ . The floating-point roundoff, which is negligible.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Spark version already runs locally in </w:t>
      </w:r>
      <w:r w:rsidDel="00000000" w:rsidR="00000000" w:rsidRPr="00000000">
        <w:rPr>
          <w:rFonts w:ascii="Times New Roman" w:cs="Times New Roman" w:eastAsia="Times New Roman" w:hAnsi="Times New Roman"/>
          <w:color w:val="188038"/>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mode without any changes. To move it to a managed cloud cluster (Dataproc, EMR, or Databricks), only one line needs to change: replace the final </w:t>
      </w:r>
      <w:r w:rsidDel="00000000" w:rsidR="00000000" w:rsidRPr="00000000">
        <w:rPr>
          <w:rFonts w:ascii="Times New Roman" w:cs="Times New Roman" w:eastAsia="Times New Roman" w:hAnsi="Times New Roman"/>
          <w:color w:val="188038"/>
          <w:sz w:val="24"/>
          <w:szCs w:val="24"/>
          <w:rtl w:val="0"/>
        </w:rPr>
        <w:t xml:space="preserve">.toPandas().to_parquet(...)</w:t>
      </w:r>
      <w:r w:rsidDel="00000000" w:rsidR="00000000" w:rsidRPr="00000000">
        <w:rPr>
          <w:rFonts w:ascii="Times New Roman" w:cs="Times New Roman" w:eastAsia="Times New Roman" w:hAnsi="Times New Roman"/>
          <w:sz w:val="24"/>
          <w:szCs w:val="24"/>
          <w:rtl w:val="0"/>
        </w:rPr>
        <w:t xml:space="preserve"> call with </w:t>
      </w:r>
      <w:r w:rsidDel="00000000" w:rsidR="00000000" w:rsidRPr="00000000">
        <w:rPr>
          <w:rFonts w:ascii="Times New Roman" w:cs="Times New Roman" w:eastAsia="Times New Roman" w:hAnsi="Times New Roman"/>
          <w:color w:val="188038"/>
          <w:sz w:val="24"/>
          <w:szCs w:val="24"/>
          <w:rtl w:val="0"/>
        </w:rPr>
        <w:t xml:space="preserve">.write.parquet(...)</w:t>
      </w:r>
      <w:r w:rsidDel="00000000" w:rsidR="00000000" w:rsidRPr="00000000">
        <w:rPr>
          <w:rFonts w:ascii="Times New Roman" w:cs="Times New Roman" w:eastAsia="Times New Roman" w:hAnsi="Times New Roman"/>
          <w:sz w:val="24"/>
          <w:szCs w:val="24"/>
          <w:rtl w:val="0"/>
        </w:rPr>
        <w:t xml:space="preserve">.A scaled version could integrate:</w:t>
      </w:r>
    </w:p>
    <w:p w:rsidR="00000000" w:rsidDel="00000000" w:rsidP="00000000" w:rsidRDefault="00000000" w:rsidRPr="00000000" w14:paraId="00000048">
      <w:pPr>
        <w:numPr>
          <w:ilvl w:val="0"/>
          <w:numId w:val="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Multi-year USCIS petition releases (5-10 years of history)</w:t>
      </w:r>
    </w:p>
    <w:p w:rsidR="00000000" w:rsidDel="00000000" w:rsidP="00000000" w:rsidRDefault="00000000" w:rsidRPr="00000000" w14:paraId="00000049">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OFLC LCA prevailing-wage tiers (I-IV) at petition grain</w:t>
      </w:r>
    </w:p>
    <w:p w:rsidR="00000000" w:rsidDel="00000000" w:rsidP="00000000" w:rsidRDefault="00000000" w:rsidRPr="00000000" w14:paraId="0000004A">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 occupation codes and worksite-level wage levels</w:t>
      </w:r>
    </w:p>
    <w:p w:rsidR="00000000" w:rsidDel="00000000" w:rsidP="00000000" w:rsidRDefault="00000000" w:rsidRPr="00000000" w14:paraId="0000004B">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Employer firmographic and financial characteristics</w:t>
      </w:r>
    </w:p>
    <w:p w:rsidR="00000000" w:rsidDel="00000000" w:rsidP="00000000" w:rsidRDefault="00000000" w:rsidRPr="00000000" w14:paraId="0000004C">
      <w:pPr>
        <w:numPr>
          <w:ilvl w:val="0"/>
          <w:numId w:val="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labor-demand indicators from BLS releases</w:t>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This makes the project valuable not only as a one-time analysis, but also as a prototype for an immigration analytics infrastructure that can ingest case-level data once it becomes available.</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F">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Methodology</w:t>
      </w:r>
    </w:p>
    <w:p w:rsidR="00000000" w:rsidDel="00000000" w:rsidP="00000000" w:rsidRDefault="00000000" w:rsidRPr="00000000" w14:paraId="00000050">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analyze H-1B approval outcomes, we run each of the three models at both levels of aggregation. The three models are OLS (a linear benchmark), Random Forest, and XGBoost. At the employer level, each row is a company and only USCIS data is used. At the city level, each row is a city, and two versions of the feature set are tested: a structural version using only USCIS-derived variables, and an enriched version that adds LCA and Census variables to the same row. The core idea is to hold the model and the rows fixed, so that the difference in test R² between the two versions cleanly isolates how much explanatory power the additional LCA and Census variables contribute.</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we ran OLS (Ordinary Linear Regression) as the benchmark to see if there was a minimum linear relationship between the public variables and the approval rate. If OLS cannot produce significant results, it indicates that these variables have no signal at all. No matter how complex the model is, it cannot be saved.</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OLS has another particular advantage: it does not overfit. It indicate that the ΔR² is the most conservative and reliable number. Conversely, tree models like Random Forest and XGBoost are prone to overfitting, although it capture nonlinear relationships. So even if the LCA and Census data carry no real signal, the tree models' ΔR² can still come out artificially high.</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we use Random Forest (</w:t>
      </w:r>
      <w:r w:rsidDel="00000000" w:rsidR="00000000" w:rsidRPr="00000000">
        <w:rPr>
          <w:rFonts w:ascii="Roboto Mono" w:cs="Roboto Mono" w:eastAsia="Roboto Mono" w:hAnsi="Roboto Mono"/>
          <w:color w:val="188038"/>
          <w:sz w:val="26"/>
          <w:szCs w:val="26"/>
          <w:rtl w:val="0"/>
        </w:rPr>
        <w:t xml:space="preserve">n_estimators=200–300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max_depth=12</w:t>
      </w:r>
      <w:r w:rsidDel="00000000" w:rsidR="00000000" w:rsidRPr="00000000">
        <w:rPr>
          <w:rFonts w:ascii="Times New Roman" w:cs="Times New Roman" w:eastAsia="Times New Roman" w:hAnsi="Times New Roman"/>
          <w:sz w:val="26"/>
          <w:szCs w:val="26"/>
          <w:rtl w:val="0"/>
        </w:rPr>
        <w:t xml:space="preserve">) and XGBoost (</w:t>
      </w:r>
      <w:r w:rsidDel="00000000" w:rsidR="00000000" w:rsidRPr="00000000">
        <w:rPr>
          <w:rFonts w:ascii="Roboto Mono" w:cs="Roboto Mono" w:eastAsia="Roboto Mono" w:hAnsi="Roboto Mono"/>
          <w:color w:val="188038"/>
          <w:sz w:val="26"/>
          <w:szCs w:val="26"/>
          <w:rtl w:val="0"/>
        </w:rPr>
        <w:t xml:space="preserve">n_estimators=400–500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max_depth=5–6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learning_rate=0.05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tree_method="hist"</w:t>
      </w:r>
      <w:r w:rsidDel="00000000" w:rsidR="00000000" w:rsidRPr="00000000">
        <w:rPr>
          <w:rFonts w:ascii="Times New Roman" w:cs="Times New Roman" w:eastAsia="Times New Roman" w:hAnsi="Times New Roman"/>
          <w:sz w:val="26"/>
          <w:szCs w:val="26"/>
          <w:rtl w:val="0"/>
        </w:rPr>
        <w:t xml:space="preserve">). These two tree-based ensemble models are designed to capture potential nonlinear dependencies and higher-order interactions among the predictors. Compared with linear models such as logistic regression and linear SVM, they handle complex decision boundaries and non-additive feature combinations much better. Their best generalization performance on a given feature set can be treated as the information ceiling that feature space carries, which makes them a useful benchmark for evaluating the representational capacity of simpler models.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engineering produces several derived variables shared across specifications:</w:t>
      </w:r>
    </w:p>
    <w:p w:rsidR="00000000" w:rsidDel="00000000" w:rsidP="00000000" w:rsidRDefault="00000000" w:rsidRPr="00000000" w14:paraId="00000056">
      <w:pPr>
        <w:numPr>
          <w:ilvl w:val="0"/>
          <w:numId w:val="1"/>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Petition mix variables distinguishing initial and continuing applications and their respective approval shares;</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STEM industry classifications based on NAICS codes;</w:t>
      </w:r>
    </w:p>
    <w:p w:rsidR="00000000" w:rsidDel="00000000" w:rsidP="00000000" w:rsidRDefault="00000000" w:rsidRPr="00000000" w14:paraId="00000058">
      <w:pPr>
        <w:numPr>
          <w:ilvl w:val="0"/>
          <w:numId w:val="1"/>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Geographic regional proxies using petitioner state, Census region, and ZIP-prefix groupings.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evaluation follows the standard process: the data is randomly divided into an 80/20 training set and a test set (random_state=42 to ensure reproducibility). Then, R² (explanatory power) and MAE (mean absolute error) are tested on the test set. The tree model also plays a role in outputting the importance of features, telling us which variables contribute the most.</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running the model, we do one more thing: we decompose the total variance into between-group and within-group components along four grouping variables — state, Census region, NAICS industry, and size bucket. This gives an upper bound: any model that uses only these groupings can achieve. The point of doing this before running the models is to set a ceiling on how much can be explained, so that the low R² we observe later isn't dismissed as "your model just isn't good enough."</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the approval variable is highly concentrated near one and denial-side mass is sparse, interpretation focuses on directional relationships, structural patterns, and how much of the variance the public record can explain - rather than on optimizing predictive accuracy.</w:t>
      </w:r>
    </w:p>
    <w:p w:rsidR="00000000" w:rsidDel="00000000" w:rsidP="00000000" w:rsidRDefault="00000000" w:rsidRPr="00000000" w14:paraId="0000005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5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Findings / Preliminary Results</w:t>
      </w:r>
    </w:p>
    <w:p w:rsidR="00000000" w:rsidDel="00000000" w:rsidP="00000000" w:rsidRDefault="00000000" w:rsidRPr="00000000" w14:paraId="0000005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Across all three model families, observable employer and geographic characteristics carry only marginal explanatory power for H-1B approval outcomes. At the employer level, OLS achieves a test R-squared of 0.006 (MAE 0.060), Random Forest 0.008 (MAE 0.059), and XGBoost 0.006 (MAE 0.059). It's all based on the same 80/20 split. It indicate that target is 0.966 with standard deviation 0.162. Hence, an MAE of approximately 0.06 represents about six percentage points of noise around an approval rate already near 100%. Petitioner state and NAICS industry surface as the most consistent contributors to feature importance. However, no single feature dominates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Variance decomposition makes the ceiling clear: state captured 0.33% of total variance across 57 groups, Census region captured 0.06% across 5 groups, NAICS code captured 0.30% across 21 groups, and size bucket captured 0.03% across 5 groups. 82% of the rows have an approval rate of 99.9% or higher. Hence, the target is close to degenerate at any publicly released grouping level. Aggregating to the city level and adding LCA wages and Census local-economy indicators does not reverse this. Among the 3,968 cities covering 96.7% of USCIS petitions, the structural specification produced test R² values of −0.022 (OLS), −0.222 (Random Forest), and −0.305 (XGBoost). The enriched specification produced −0.014, −0.055, and −0.164 respectively. All six results are below zero - every model performs worse on the test set than predicting the constant mean. The linear delta R-squared between specifications is +0.007, meaning the entire enrichment feature set adds less than one percentage point of explained linear variance. The much larger tree-model deltas (+0.167 for Random Forest, +0.141 for XGBoost) reflect the enrichment partially curing tree overfitting on the structural features rather than revealing new signal. All city-level specifications converge on MAE of about 0.04.</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a policy perspective, there is almost no explanatory power. We tried three model, two feature specifications, and two levels of aggregation. The result is none of them outperformed a constant-mean baseline. The changes required to distinguish an approved petition from a rejected one are not included in any publicly released summary at all. So where is this information? It include inside USCIS's own systems. For instance, how much above the prevailing SOC wage a given employer offered, whether the position was determined to be a specialty occupation. All of these data are stored digitally. As a result, outside observers can't make a substantive assessment. Even so, our scalable architecture still earns its keep. Even when explained variance is capped, a cloud-based pipeline lets policymakers compare approval-rate dynamics across regions and industries and surface descriptive trends. And once USCIS releases more granular administrative data, this framework can ingest it directly.</w:t>
      </w:r>
    </w:p>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Policy Implications / Future Work</w:t>
      </w:r>
    </w:p>
    <w:p w:rsidR="00000000" w:rsidDel="00000000" w:rsidP="00000000" w:rsidRDefault="00000000" w:rsidRPr="00000000" w14:paraId="0000006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findings have several implications for policymakers and immigration administrators.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Limits of public transparency. The near-zero ceiling identified across two scales and two specifications quantifies, rather than merely asserts, the limits of currently available public immigration data.The existing public releases do not provide sufficient information to assess the consistency or fairness of H-1B adjudication outcomes. Without case-level variables such as prevailing wage level (OES Level I–IV), SOC code and specialty-occupation determination, employer corporate status, and adjudication-specific details such as RFE issuance and denial reasons, policymakers cannot fully assess whether approvals reflect labor market demand or are applied evenly across applicants. Releasing these fields would also substantially expand the capacity for evidence-based H-1B policy analysis.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Work</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Building on the direction this paper identifies, future research should push toward case-level data. Three data sources are worth integrating:</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USCIS I-129 case-level records. The raw information on each H-1B petition: beneficiary nationality, SOC code, requested validity period, RFE history, and most importantly, the specific ground of denial. All of this exists in USCIS's internal systems, but it has never been released at the petition grain.</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OFLC LCA wage levels (Level I–IV). When filing an LCA, employers must specify a wage level. Level I is generally seen as more likely to draw a denial. OFLC publishes the level data, but it can't be linked to USCIS approval outcomes without access to internal data.</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attorney-of-record information from Form G-28, which law firm represented each H-1B petition. It is well known in the field that the choice of firm has a significant impact on approval rates, but this information has never appeared in public data.</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Phase 1 baseline established in this paper — employer-level R² of at most 0.01 and city-level R² of at most 0 — gives any future researcher working with case-level data a reference scale to compare against. Anyone who later achieves a higher R² can directly benchmark against these numbers and quantify how much explanatory power the restricted variables actually contribute.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More broadly, the cloud-compatible architecture of this project provides the foundation for a longer-running immigration monitoring system. The PySpark variant of the merge stage already runs on local and would move to a managed cluster with a single-line change, and the parquet-backed pipeline scales naturally to multi-year case-level releases of roughly 2-4 million rows over a 5-10 year horizon. Such a system could support federal agencies and independent researchers in identifying structural disparities, monitoring approval dynamics across industries, regions, and time, and increasing transparency in labor-based immigration decision-making.</w:t>
      </w:r>
    </w:p>
    <w:p w:rsidR="00000000" w:rsidDel="00000000" w:rsidP="00000000" w:rsidRDefault="00000000" w:rsidRPr="00000000" w14:paraId="0000006E">
      <w:pPr>
        <w:jc w:val="both"/>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[1] U.S. Citizenship and Immigration Services (USCIS). (2024). </w:t>
      </w:r>
      <w:r w:rsidDel="00000000" w:rsidR="00000000" w:rsidRPr="00000000">
        <w:rPr>
          <w:rFonts w:ascii="Times New Roman" w:cs="Times New Roman" w:eastAsia="Times New Roman" w:hAnsi="Times New Roman"/>
          <w:i w:val="1"/>
          <w:iCs w:val="1"/>
          <w:sz w:val="26"/>
          <w:szCs w:val="26"/>
          <w:rtl w:val="0"/>
        </w:rPr>
        <w:t xml:space="preserve">H-1B Employer Data Hub — Fiscal Year 2024 Employer Information Release</w:t>
      </w:r>
      <w:r w:rsidDel="00000000" w:rsidR="00000000" w:rsidRPr="00000000">
        <w:rPr>
          <w:rFonts w:ascii="Times New Roman" w:cs="Times New Roman" w:eastAsia="Times New Roman" w:hAnsi="Times New Roman"/>
          <w:sz w:val="26"/>
          <w:szCs w:val="26"/>
          <w:rtl w:val="0"/>
        </w:rPr>
        <w:t xml:space="preserve">. U.S. Department of Homeland Security.</w:t>
      </w:r>
      <w:hyperlink r:id="rId6">
        <w:r w:rsidDel="00000000" w:rsidR="00000000" w:rsidRPr="00000000">
          <w:rPr>
            <w:rFonts w:ascii="Times New Roman" w:cs="Times New Roman" w:eastAsia="Times New Roman" w:hAnsi="Times New Roman"/>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https://www.uscis.gov/tools/reports-and-studies/h-1b-employer-data-hub</w:t>
        </w:r>
      </w:hyperlink>
      <w:r w:rsidDel="00000000" w:rsidR="00000000" w:rsidRPr="00000000">
        <w:rPr>
          <w:rtl w:val="0"/>
        </w:rPr>
      </w:r>
    </w:p>
    <w:p w:rsidR="00000000" w:rsidDel="00000000" w:rsidP="00000000" w:rsidRDefault="00000000" w:rsidRPr="00000000" w14:paraId="00000072">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U.S. Department of Labor, Office of Foreign Labor Certification (OFLC). (2024). </w:t>
      </w:r>
      <w:r w:rsidDel="00000000" w:rsidR="00000000" w:rsidRPr="00000000">
        <w:rPr>
          <w:rFonts w:ascii="Times New Roman" w:cs="Times New Roman" w:eastAsia="Times New Roman" w:hAnsi="Times New Roman"/>
          <w:i w:val="1"/>
          <w:iCs w:val="1"/>
          <w:sz w:val="26"/>
          <w:szCs w:val="26"/>
          <w:rtl w:val="0"/>
        </w:rPr>
        <w:t xml:space="preserve">LCA disclosure data — Labor Condition Application for H-1B, H-1B1, and E-3 specialty occupations</w:t>
      </w:r>
      <w:r w:rsidDel="00000000" w:rsidR="00000000" w:rsidRPr="00000000">
        <w:rPr>
          <w:rFonts w:ascii="Times New Roman" w:cs="Times New Roman" w:eastAsia="Times New Roman" w:hAnsi="Times New Roman"/>
          <w:sz w:val="26"/>
          <w:szCs w:val="26"/>
          <w:rtl w:val="0"/>
        </w:rPr>
        <w:t xml:space="preserve">.</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https://www.dol.gov/agencies/eta/foreign-labor/performance</w:t>
        </w:r>
      </w:hyperlink>
      <w:r w:rsidDel="00000000" w:rsidR="00000000" w:rsidRPr="00000000">
        <w:rPr>
          <w:rtl w:val="0"/>
        </w:rPr>
      </w:r>
    </w:p>
    <w:p w:rsidR="00000000" w:rsidDel="00000000" w:rsidP="00000000" w:rsidRDefault="00000000" w:rsidRPr="00000000" w14:paraId="00000073">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sz w:val="26"/>
          <w:szCs w:val="26"/>
          <w:rtl w:val="0"/>
        </w:rPr>
        <w:t xml:space="preserve">U.S. Census Bureau. (2024). </w:t>
      </w:r>
      <w:r w:rsidDel="00000000" w:rsidR="00000000" w:rsidRPr="00000000">
        <w:rPr>
          <w:rFonts w:ascii="Times New Roman" w:cs="Times New Roman" w:eastAsia="Times New Roman" w:hAnsi="Times New Roman"/>
          <w:i w:val="1"/>
          <w:iCs w:val="1"/>
          <w:sz w:val="26"/>
          <w:szCs w:val="26"/>
          <w:rtl w:val="0"/>
        </w:rPr>
        <w:t xml:space="preserve">American Community Survey (ACS) 5-year estimates, 2019–2023</w:t>
      </w:r>
      <w:r w:rsidDel="00000000" w:rsidR="00000000" w:rsidRPr="00000000">
        <w:rPr>
          <w:rFonts w:ascii="Times New Roman" w:cs="Times New Roman" w:eastAsia="Times New Roman" w:hAnsi="Times New Roman"/>
          <w:sz w:val="26"/>
          <w:szCs w:val="26"/>
          <w:rtl w:val="0"/>
        </w:rPr>
        <w:t xml:space="preserve">.</w:t>
      </w:r>
      <w:hyperlink r:id="rId10">
        <w:r w:rsidDel="00000000" w:rsidR="00000000" w:rsidRPr="00000000">
          <w:rPr>
            <w:rFonts w:ascii="Times New Roman" w:cs="Times New Roman" w:eastAsia="Times New Roman" w:hAnsi="Times New Roman"/>
            <w:sz w:val="26"/>
            <w:szCs w:val="26"/>
            <w:rtl w:val="0"/>
          </w:rPr>
          <w:t xml:space="preserve"> </w:t>
        </w:r>
      </w:hyperlink>
      <w:hyperlink r:id="rId11">
        <w:r w:rsidDel="00000000" w:rsidR="00000000" w:rsidRPr="00000000">
          <w:rPr>
            <w:rFonts w:ascii="Times New Roman" w:cs="Times New Roman" w:eastAsia="Times New Roman" w:hAnsi="Times New Roman"/>
            <w:color w:val="1155cc"/>
            <w:sz w:val="26"/>
            <w:szCs w:val="26"/>
            <w:u w:val="single"/>
            <w:rtl w:val="0"/>
          </w:rPr>
          <w:t xml:space="preserve">https://www.census.gov/programs-surveys/acs/</w:t>
        </w:r>
      </w:hyperlink>
      <w:r w:rsidDel="00000000" w:rsidR="00000000" w:rsidRPr="00000000">
        <w:rPr>
          <w:rtl w:val="0"/>
        </w:rPr>
      </w:r>
    </w:p>
    <w:p w:rsidR="00000000" w:rsidDel="00000000" w:rsidP="00000000" w:rsidRDefault="00000000" w:rsidRPr="00000000" w14:paraId="00000074">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[4] B</w:t>
      </w:r>
      <w:r w:rsidDel="00000000" w:rsidR="00000000" w:rsidRPr="00000000">
        <w:rPr>
          <w:rFonts w:ascii="Times New Roman" w:cs="Times New Roman" w:eastAsia="Times New Roman" w:hAnsi="Times New Roman"/>
          <w:sz w:val="26"/>
          <w:szCs w:val="26"/>
          <w:rtl w:val="0"/>
        </w:rPr>
        <w:t xml:space="preserve">reiman, L. (2001). Random forests. </w:t>
      </w:r>
      <w:r w:rsidDel="00000000" w:rsidR="00000000" w:rsidRPr="00000000">
        <w:rPr>
          <w:rFonts w:ascii="Times New Roman" w:cs="Times New Roman" w:eastAsia="Times New Roman" w:hAnsi="Times New Roman"/>
          <w:i w:val="1"/>
          <w:iCs w:val="1"/>
          <w:sz w:val="26"/>
          <w:szCs w:val="26"/>
          <w:rtl w:val="0"/>
        </w:rPr>
        <w:t xml:space="preserve">Machine Learning, 45</w:t>
      </w:r>
      <w:r w:rsidDel="00000000" w:rsidR="00000000" w:rsidRPr="00000000">
        <w:rPr>
          <w:rFonts w:ascii="Times New Roman" w:cs="Times New Roman" w:eastAsia="Times New Roman" w:hAnsi="Times New Roman"/>
          <w:sz w:val="26"/>
          <w:szCs w:val="26"/>
          <w:rtl w:val="0"/>
        </w:rPr>
        <w:t xml:space="preserve">(1), 5–32.</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75">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[5] </w:t>
      </w:r>
      <w:r w:rsidDel="00000000" w:rsidR="00000000" w:rsidRPr="00000000">
        <w:rPr>
          <w:rFonts w:ascii="Times New Roman" w:cs="Times New Roman" w:eastAsia="Times New Roman" w:hAnsi="Times New Roman"/>
          <w:sz w:val="26"/>
          <w:szCs w:val="26"/>
          <w:rtl w:val="0"/>
        </w:rPr>
        <w:t xml:space="preserve">Chen, T., &amp; Guestrin, C. (2016). XGBoost: A scalable tree boosting system. In </w:t>
      </w:r>
      <w:r w:rsidDel="00000000" w:rsidR="00000000" w:rsidRPr="00000000">
        <w:rPr>
          <w:rFonts w:ascii="Times New Roman" w:cs="Times New Roman" w:eastAsia="Times New Roman" w:hAnsi="Times New Roman"/>
          <w:i w:val="1"/>
          <w:iCs w:val="1"/>
          <w:sz w:val="26"/>
          <w:szCs w:val="26"/>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sz w:val="26"/>
          <w:szCs w:val="26"/>
          <w:rtl w:val="0"/>
        </w:rPr>
        <w:t xml:space="preserve"> (pp. 785–794).</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076">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r w:rsidDel="00000000" w:rsidR="00000000" w:rsidRPr="00000000">
        <w:rPr>
          <w:rFonts w:ascii="Times New Roman" w:cs="Times New Roman" w:eastAsia="Times New Roman" w:hAnsi="Times New Roman"/>
          <w:sz w:val="26"/>
          <w:szCs w:val="26"/>
          <w:rtl w:val="0"/>
        </w:rPr>
        <w:t xml:space="preserve">Pedregosa, F., Varoquaux, G., Gramfort, A., Michel, V., Thirion, B., Grisel, O., et al. (2011). Scikit-learn: Machine learning in Python. </w:t>
      </w:r>
      <w:r w:rsidDel="00000000" w:rsidR="00000000" w:rsidRPr="00000000">
        <w:rPr>
          <w:rFonts w:ascii="Times New Roman" w:cs="Times New Roman" w:eastAsia="Times New Roman" w:hAnsi="Times New Roman"/>
          <w:i w:val="1"/>
          <w:iCs w:val="1"/>
          <w:sz w:val="26"/>
          <w:szCs w:val="26"/>
          <w:rtl w:val="0"/>
        </w:rPr>
        <w:t xml:space="preserve">Journal of Machine Learning Research, 12</w:t>
      </w:r>
      <w:r w:rsidDel="00000000" w:rsidR="00000000" w:rsidRPr="00000000">
        <w:rPr>
          <w:rFonts w:ascii="Times New Roman" w:cs="Times New Roman" w:eastAsia="Times New Roman" w:hAnsi="Times New Roman"/>
          <w:sz w:val="26"/>
          <w:szCs w:val="26"/>
          <w:rtl w:val="0"/>
        </w:rPr>
        <w:t xml:space="preserve">, 2825–2830.</w:t>
      </w:r>
    </w:p>
    <w:p w:rsidR="00000000" w:rsidDel="00000000" w:rsidP="00000000" w:rsidRDefault="00000000" w:rsidRPr="00000000" w14:paraId="00000077">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[7] Kerr, W. R., &amp; Lincoln, W. F. (2010). The supply side of innovation: H-1B visa reforms and U.S. ethnic invention. </w:t>
      </w:r>
      <w:r w:rsidDel="00000000" w:rsidR="00000000" w:rsidRPr="00000000">
        <w:rPr>
          <w:rFonts w:ascii="Times New Roman" w:cs="Times New Roman" w:eastAsia="Times New Roman" w:hAnsi="Times New Roman"/>
          <w:i w:val="1"/>
          <w:iCs w:val="1"/>
          <w:sz w:val="26"/>
          <w:szCs w:val="26"/>
          <w:rtl w:val="0"/>
        </w:rPr>
        <w:t xml:space="preserve">Journal of Labor Economics, 28</w:t>
      </w:r>
      <w:r w:rsidDel="00000000" w:rsidR="00000000" w:rsidRPr="00000000">
        <w:rPr>
          <w:rFonts w:ascii="Times New Roman" w:cs="Times New Roman" w:eastAsia="Times New Roman" w:hAnsi="Times New Roman"/>
          <w:sz w:val="26"/>
          <w:szCs w:val="26"/>
          <w:rtl w:val="0"/>
        </w:rPr>
        <w:t xml:space="preserve">(3), 473–508.</w:t>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https://doi.org/10.1086/651934</w:t>
        </w:r>
      </w:hyperlink>
      <w:r w:rsidDel="00000000" w:rsidR="00000000" w:rsidRPr="00000000">
        <w:rPr>
          <w:rtl w:val="0"/>
        </w:rPr>
      </w:r>
    </w:p>
    <w:p w:rsidR="00000000" w:rsidDel="00000000" w:rsidP="00000000" w:rsidRDefault="00000000" w:rsidRPr="00000000" w14:paraId="00000078">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[8] </w:t>
      </w:r>
      <w:r w:rsidDel="00000000" w:rsidR="00000000" w:rsidRPr="00000000">
        <w:rPr>
          <w:rFonts w:ascii="Times New Roman" w:cs="Times New Roman" w:eastAsia="Times New Roman" w:hAnsi="Times New Roman"/>
          <w:sz w:val="26"/>
          <w:szCs w:val="26"/>
          <w:rtl w:val="0"/>
        </w:rPr>
        <w:t xml:space="preserve">Doran, K., Gelber, A., &amp; Isen, A. (2022). The effects of high-skilled immigration policy on firms: Evidence from visa lotteries. </w:t>
      </w:r>
      <w:r w:rsidDel="00000000" w:rsidR="00000000" w:rsidRPr="00000000">
        <w:rPr>
          <w:rFonts w:ascii="Times New Roman" w:cs="Times New Roman" w:eastAsia="Times New Roman" w:hAnsi="Times New Roman"/>
          <w:i w:val="1"/>
          <w:iCs w:val="1"/>
          <w:sz w:val="26"/>
          <w:szCs w:val="26"/>
          <w:rtl w:val="0"/>
        </w:rPr>
        <w:t xml:space="preserve">Journal of Political Economy, 130</w:t>
      </w:r>
      <w:r w:rsidDel="00000000" w:rsidR="00000000" w:rsidRPr="00000000">
        <w:rPr>
          <w:rFonts w:ascii="Times New Roman" w:cs="Times New Roman" w:eastAsia="Times New Roman" w:hAnsi="Times New Roman"/>
          <w:sz w:val="26"/>
          <w:szCs w:val="26"/>
          <w:rtl w:val="0"/>
        </w:rPr>
        <w:t xml:space="preserve">(10), 2501–2533.</w:t>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https://doi.org/10.1086/720464</w:t>
        </w:r>
      </w:hyperlink>
      <w:r w:rsidDel="00000000" w:rsidR="00000000" w:rsidRPr="00000000">
        <w:rPr>
          <w:rtl w:val="0"/>
        </w:rPr>
      </w:r>
    </w:p>
    <w:p w:rsidR="00000000" w:rsidDel="00000000" w:rsidP="00000000" w:rsidRDefault="00000000" w:rsidRPr="00000000" w14:paraId="00000079">
      <w:pPr>
        <w:spacing w:after="0" w:before="0" w:line="276"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[9] </w:t>
      </w:r>
      <w:r w:rsidDel="00000000" w:rsidR="00000000" w:rsidRPr="00000000">
        <w:rPr>
          <w:rFonts w:ascii="Times New Roman" w:cs="Times New Roman" w:eastAsia="Times New Roman" w:hAnsi="Times New Roman"/>
          <w:sz w:val="26"/>
          <w:szCs w:val="26"/>
          <w:rtl w:val="0"/>
        </w:rPr>
        <w:t xml:space="preserve">Peri, G., Shih, K., &amp; Sparber, C. (2015). STEM workers, H-1B visas, and productivity in U.S. cities. </w:t>
      </w:r>
      <w:r w:rsidDel="00000000" w:rsidR="00000000" w:rsidRPr="00000000">
        <w:rPr>
          <w:rFonts w:ascii="Times New Roman" w:cs="Times New Roman" w:eastAsia="Times New Roman" w:hAnsi="Times New Roman"/>
          <w:i w:val="1"/>
          <w:iCs w:val="1"/>
          <w:sz w:val="26"/>
          <w:szCs w:val="26"/>
          <w:rtl w:val="0"/>
        </w:rPr>
        <w:t xml:space="preserve">Journal of Labor Economics, 33</w:t>
      </w:r>
      <w:r w:rsidDel="00000000" w:rsidR="00000000" w:rsidRPr="00000000">
        <w:rPr>
          <w:rFonts w:ascii="Times New Roman" w:cs="Times New Roman" w:eastAsia="Times New Roman" w:hAnsi="Times New Roman"/>
          <w:sz w:val="26"/>
          <w:szCs w:val="26"/>
          <w:rtl w:val="0"/>
        </w:rPr>
        <w:t xml:space="preserve">(S1), S225–S255.</w:t>
      </w:r>
      <w:hyperlink r:id="rId20">
        <w:r w:rsidDel="00000000" w:rsidR="00000000" w:rsidRPr="00000000">
          <w:rPr>
            <w:rFonts w:ascii="Times New Roman" w:cs="Times New Roman" w:eastAsia="Times New Roman" w:hAnsi="Times New Roman"/>
            <w:sz w:val="26"/>
            <w:szCs w:val="26"/>
            <w:rtl w:val="0"/>
          </w:rPr>
          <w:t xml:space="preserve"> </w:t>
        </w:r>
      </w:hyperlink>
      <w:hyperlink r:id="rId21">
        <w:r w:rsidDel="00000000" w:rsidR="00000000" w:rsidRPr="00000000">
          <w:rPr>
            <w:rFonts w:ascii="Times New Roman" w:cs="Times New Roman" w:eastAsia="Times New Roman" w:hAnsi="Times New Roman"/>
            <w:color w:val="1155cc"/>
            <w:sz w:val="26"/>
            <w:szCs w:val="26"/>
            <w:u w:val="single"/>
            <w:rtl w:val="0"/>
          </w:rPr>
          <w:t xml:space="preserve">https://doi.org/10.1086/679061</w:t>
        </w:r>
      </w:hyperlink>
      <w:r w:rsidDel="00000000" w:rsidR="00000000" w:rsidRPr="00000000">
        <w:rPr>
          <w:rtl w:val="0"/>
        </w:rPr>
      </w:r>
    </w:p>
    <w:p w:rsidR="00000000" w:rsidDel="00000000" w:rsidP="00000000" w:rsidRDefault="00000000" w:rsidRPr="00000000" w14:paraId="0000007A">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w:t>
      </w:r>
      <w:r w:rsidDel="00000000" w:rsidR="00000000" w:rsidRPr="00000000">
        <w:rPr>
          <w:rFonts w:ascii="Times New Roman" w:cs="Times New Roman" w:eastAsia="Times New Roman" w:hAnsi="Times New Roman"/>
          <w:sz w:val="26"/>
          <w:szCs w:val="26"/>
          <w:rtl w:val="0"/>
        </w:rPr>
        <w:t xml:space="preserve">Congressional Research Service (CRS). (2024). </w:t>
      </w:r>
      <w:r w:rsidDel="00000000" w:rsidR="00000000" w:rsidRPr="00000000">
        <w:rPr>
          <w:rFonts w:ascii="Times New Roman" w:cs="Times New Roman" w:eastAsia="Times New Roman" w:hAnsi="Times New Roman"/>
          <w:i w:val="1"/>
          <w:iCs w:val="1"/>
          <w:sz w:val="26"/>
          <w:szCs w:val="26"/>
          <w:rtl w:val="0"/>
        </w:rPr>
        <w:t xml:space="preserve">The H-1B visa for specialty occupation workers (IF12912)</w:t>
      </w:r>
      <w:r w:rsidDel="00000000" w:rsidR="00000000" w:rsidRPr="00000000">
        <w:rPr>
          <w:rFonts w:ascii="Times New Roman" w:cs="Times New Roman" w:eastAsia="Times New Roman" w:hAnsi="Times New Roman"/>
          <w:sz w:val="26"/>
          <w:szCs w:val="26"/>
          <w:rtl w:val="0"/>
        </w:rPr>
        <w:t xml:space="preserve">. Library of Congress.</w:t>
      </w:r>
      <w:hyperlink r:id="rId22">
        <w:r w:rsidDel="00000000" w:rsidR="00000000" w:rsidRPr="00000000">
          <w:rPr>
            <w:rFonts w:ascii="Times New Roman" w:cs="Times New Roman" w:eastAsia="Times New Roman" w:hAnsi="Times New Roman"/>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https://www.congress.gov/crs-product/IF12912</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6/679061" TargetMode="External"/><Relationship Id="rId11" Type="http://schemas.openxmlformats.org/officeDocument/2006/relationships/hyperlink" Target="https://www.census.gov/programs-surveys/acs/" TargetMode="External"/><Relationship Id="rId22" Type="http://schemas.openxmlformats.org/officeDocument/2006/relationships/hyperlink" Target="https://www.congress.gov/crs-product/IF12912" TargetMode="External"/><Relationship Id="rId10" Type="http://schemas.openxmlformats.org/officeDocument/2006/relationships/hyperlink" Target="https://www.census.gov/programs-surveys/acs/" TargetMode="External"/><Relationship Id="rId21" Type="http://schemas.openxmlformats.org/officeDocument/2006/relationships/hyperlink" Target="https://doi.org/10.1086/679061" TargetMode="External"/><Relationship Id="rId13" Type="http://schemas.openxmlformats.org/officeDocument/2006/relationships/hyperlink" Target="https://doi.org/10.1023/A:1010933404324" TargetMode="External"/><Relationship Id="rId12" Type="http://schemas.openxmlformats.org/officeDocument/2006/relationships/hyperlink" Target="https://doi.org/10.1023/A:1010933404324" TargetMode="External"/><Relationship Id="rId23" Type="http://schemas.openxmlformats.org/officeDocument/2006/relationships/hyperlink" Target="https://www.congress.gov/crs-product/IF129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l.gov/agencies/eta/foreign-labor/performance" TargetMode="External"/><Relationship Id="rId15" Type="http://schemas.openxmlformats.org/officeDocument/2006/relationships/hyperlink" Target="https://doi.org/10.1145/2939672.2939785" TargetMode="External"/><Relationship Id="rId14" Type="http://schemas.openxmlformats.org/officeDocument/2006/relationships/hyperlink" Target="https://doi.org/10.1145/2939672.2939785" TargetMode="External"/><Relationship Id="rId17" Type="http://schemas.openxmlformats.org/officeDocument/2006/relationships/hyperlink" Target="https://doi.org/10.1086/651934" TargetMode="External"/><Relationship Id="rId16" Type="http://schemas.openxmlformats.org/officeDocument/2006/relationships/hyperlink" Target="https://doi.org/10.1086/651934" TargetMode="External"/><Relationship Id="rId5" Type="http://schemas.openxmlformats.org/officeDocument/2006/relationships/styles" Target="styles.xml"/><Relationship Id="rId19" Type="http://schemas.openxmlformats.org/officeDocument/2006/relationships/hyperlink" Target="https://doi.org/10.1086/720464" TargetMode="External"/><Relationship Id="rId6" Type="http://schemas.openxmlformats.org/officeDocument/2006/relationships/hyperlink" Target="https://www.uscis.gov/tools/reports-and-studies/h-1b-employer-data-hub" TargetMode="External"/><Relationship Id="rId18" Type="http://schemas.openxmlformats.org/officeDocument/2006/relationships/hyperlink" Target="https://doi.org/10.1086/720464" TargetMode="External"/><Relationship Id="rId7" Type="http://schemas.openxmlformats.org/officeDocument/2006/relationships/hyperlink" Target="https://www.uscis.gov/tools/reports-and-studies/h-1b-employer-data-hub" TargetMode="External"/><Relationship Id="rId8" Type="http://schemas.openxmlformats.org/officeDocument/2006/relationships/hyperlink" Target="https://www.dol.gov/agencies/eta/foreign-labor/perform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