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213E" w14:textId="7F0BD8E7" w:rsidR="006F2405" w:rsidRPr="007101D5" w:rsidRDefault="00000000" w:rsidP="007101D5">
      <w:pPr>
        <w:jc w:val="center"/>
        <w:rPr>
          <w:rFonts w:eastAsia="宋体"/>
          <w:lang w:eastAsia="zh-CN"/>
        </w:rPr>
      </w:pPr>
      <w:r>
        <w:rPr>
          <w:b/>
          <w:color w:val="1E293B"/>
          <w:sz w:val="40"/>
        </w:rPr>
        <w:t>Presentation Script — Slides 6 to 15</w:t>
      </w:r>
    </w:p>
    <w:p w14:paraId="08D76380" w14:textId="77777777" w:rsidR="00643A2E" w:rsidRPr="00643A2E" w:rsidRDefault="00643A2E" w:rsidP="00643A2E">
      <w:pPr>
        <w:spacing w:before="240" w:after="80"/>
        <w:rPr>
          <w:b/>
          <w:bCs/>
          <w:color w:val="1C7293"/>
          <w:sz w:val="26"/>
        </w:rPr>
      </w:pPr>
      <w:r w:rsidRPr="00643A2E">
        <w:rPr>
          <w:b/>
          <w:bCs/>
          <w:color w:val="1C7293"/>
          <w:sz w:val="26"/>
        </w:rPr>
        <w:t>Slide 6 — Methods: Pipeline Architecture</w:t>
      </w:r>
    </w:p>
    <w:p w14:paraId="01CE529A" w14:textId="77777777" w:rsidR="00643A2E" w:rsidRPr="00643A2E" w:rsidRDefault="00643A2E" w:rsidP="00643A2E">
      <w:pPr>
        <w:spacing w:before="240" w:after="80"/>
        <w:rPr>
          <w:b/>
          <w:color w:val="1C7293"/>
          <w:sz w:val="26"/>
        </w:rPr>
      </w:pPr>
      <w:r w:rsidRPr="00643A2E">
        <w:rPr>
          <w:b/>
          <w:color w:val="1C7293"/>
          <w:sz w:val="26"/>
        </w:rPr>
        <w:t>“Now I’ll walk through our methodology, starting with the overall pipeline architecture.</w:t>
      </w:r>
    </w:p>
    <w:p w14:paraId="63439278" w14:textId="77777777" w:rsidR="00643A2E" w:rsidRPr="00643A2E" w:rsidRDefault="00643A2E" w:rsidP="00643A2E">
      <w:pPr>
        <w:spacing w:before="240" w:after="80"/>
        <w:rPr>
          <w:b/>
          <w:color w:val="1C7293"/>
          <w:sz w:val="26"/>
        </w:rPr>
      </w:pPr>
      <w:r w:rsidRPr="00643A2E">
        <w:rPr>
          <w:b/>
          <w:color w:val="1C7293"/>
          <w:sz w:val="26"/>
        </w:rPr>
        <w:t>We built this project as an end-to-end reproducible workflow with five stages: cleaning, feature engineering, external data merging, modeling, and analysis.</w:t>
      </w:r>
    </w:p>
    <w:p w14:paraId="3256EC19" w14:textId="0CE99DB1" w:rsidR="00643A2E" w:rsidRPr="00643A2E" w:rsidRDefault="00643A2E" w:rsidP="00643A2E">
      <w:pPr>
        <w:spacing w:before="240" w:after="80"/>
        <w:rPr>
          <w:b/>
          <w:color w:val="1C7293"/>
          <w:sz w:val="26"/>
        </w:rPr>
      </w:pPr>
      <w:r w:rsidRPr="00643A2E">
        <w:rPr>
          <w:b/>
          <w:color w:val="1C7293"/>
          <w:sz w:val="26"/>
        </w:rPr>
        <w:t xml:space="preserve">We begin with the USCIS 2024 employer-level release, which contains more than sixty-one thousand employer records. After standardizing and cleaning those records, we generate structural features, then merge them with LCA data and Census-based city-level indicators. That gives us a final merged dataset covering </w:t>
      </w:r>
      <w:r w:rsidR="009C18D9">
        <w:rPr>
          <w:rFonts w:ascii="宋体" w:eastAsia="宋体" w:hAnsi="宋体" w:hint="eastAsia"/>
          <w:b/>
          <w:color w:val="1C7293"/>
          <w:sz w:val="26"/>
          <w:lang w:eastAsia="zh-CN"/>
        </w:rPr>
        <w:t>around 4000</w:t>
      </w:r>
      <w:r w:rsidRPr="00643A2E">
        <w:rPr>
          <w:b/>
          <w:color w:val="1C7293"/>
          <w:sz w:val="26"/>
        </w:rPr>
        <w:t xml:space="preserve"> cities and about 96.7 percent of petition volume.</w:t>
      </w:r>
    </w:p>
    <w:p w14:paraId="4BAC5825" w14:textId="77777777" w:rsidR="00643A2E" w:rsidRPr="00643A2E" w:rsidRDefault="00643A2E" w:rsidP="00643A2E">
      <w:pPr>
        <w:spacing w:before="240" w:after="80"/>
        <w:rPr>
          <w:b/>
          <w:color w:val="1C7293"/>
          <w:sz w:val="26"/>
        </w:rPr>
      </w:pPr>
      <w:r w:rsidRPr="00643A2E">
        <w:rPr>
          <w:b/>
          <w:color w:val="1C7293"/>
          <w:sz w:val="26"/>
        </w:rPr>
        <w:t>A key design choice here is modularity. Each stage takes one input and produces one output, with parquet files used at every boundary. That makes the workflow easy to rerun, debug, and scale. In other words, this is not just a one-off analysis — it is a reusable data pipeline.”</w:t>
      </w:r>
    </w:p>
    <w:p w14:paraId="2DBE4DD9" w14:textId="77777777" w:rsidR="00643A2E" w:rsidRPr="00643A2E" w:rsidRDefault="00000000" w:rsidP="00643A2E">
      <w:pPr>
        <w:spacing w:before="240" w:after="80"/>
        <w:rPr>
          <w:b/>
          <w:color w:val="1C7293"/>
          <w:sz w:val="26"/>
        </w:rPr>
      </w:pPr>
      <w:r>
        <w:rPr>
          <w:b/>
          <w:color w:val="1C7293"/>
          <w:sz w:val="26"/>
        </w:rPr>
        <w:pict w14:anchorId="73C99208">
          <v:rect id="_x0000_i1025" style="width:0;height:1.5pt" o:hralign="center" o:hrstd="t" o:hr="t" fillcolor="#a0a0a0" stroked="f"/>
        </w:pict>
      </w:r>
    </w:p>
    <w:p w14:paraId="78BD3F77" w14:textId="77777777" w:rsidR="00643A2E" w:rsidRPr="00643A2E" w:rsidRDefault="00643A2E" w:rsidP="00643A2E">
      <w:pPr>
        <w:spacing w:before="240" w:after="80"/>
        <w:rPr>
          <w:b/>
          <w:bCs/>
          <w:color w:val="1C7293"/>
          <w:sz w:val="26"/>
        </w:rPr>
      </w:pPr>
      <w:r w:rsidRPr="00643A2E">
        <w:rPr>
          <w:b/>
          <w:bCs/>
          <w:color w:val="1C7293"/>
          <w:sz w:val="26"/>
        </w:rPr>
        <w:t>Slide 7 — Methods: Cleaning and Feature Engineering</w:t>
      </w:r>
    </w:p>
    <w:p w14:paraId="47DC0056" w14:textId="77777777" w:rsidR="00643A2E" w:rsidRPr="00643A2E" w:rsidRDefault="00643A2E" w:rsidP="00643A2E">
      <w:pPr>
        <w:spacing w:before="240" w:after="80"/>
        <w:rPr>
          <w:b/>
          <w:color w:val="1C7293"/>
          <w:sz w:val="26"/>
        </w:rPr>
      </w:pPr>
      <w:r w:rsidRPr="00643A2E">
        <w:rPr>
          <w:b/>
          <w:color w:val="1C7293"/>
          <w:sz w:val="26"/>
        </w:rPr>
        <w:t>In the cleaning stage, we handled several technical issues in the raw data, including encoding problems, NAICS formatting, ZIP code standardization, and small distortions in the published approval-rate values. We also capped extreme wage values in the LCA data, since some records appear to mix hourly and annual units.</w:t>
      </w:r>
    </w:p>
    <w:p w14:paraId="5E05C3D3" w14:textId="77777777" w:rsidR="00643A2E" w:rsidRPr="00643A2E" w:rsidRDefault="00643A2E" w:rsidP="00643A2E">
      <w:pPr>
        <w:spacing w:before="240" w:after="80"/>
        <w:rPr>
          <w:b/>
          <w:color w:val="1C7293"/>
          <w:sz w:val="26"/>
        </w:rPr>
      </w:pPr>
      <w:r w:rsidRPr="00643A2E">
        <w:rPr>
          <w:b/>
          <w:color w:val="1C7293"/>
          <w:sz w:val="26"/>
        </w:rPr>
        <w:t>Then we engineered two types of variables.</w:t>
      </w:r>
    </w:p>
    <w:p w14:paraId="1E3654AA" w14:textId="77777777" w:rsidR="00643A2E" w:rsidRPr="00643A2E" w:rsidRDefault="00643A2E" w:rsidP="00643A2E">
      <w:pPr>
        <w:spacing w:before="240" w:after="80"/>
        <w:rPr>
          <w:b/>
          <w:color w:val="1C7293"/>
          <w:sz w:val="26"/>
        </w:rPr>
      </w:pPr>
      <w:r w:rsidRPr="00643A2E">
        <w:rPr>
          <w:b/>
          <w:color w:val="1C7293"/>
          <w:sz w:val="26"/>
        </w:rPr>
        <w:t>The first group is structural variables based only on USCIS data, such as whether the employer is in a STEM-related industry, the employer size bucket, the share of continuing applications, and logged petition volume.</w:t>
      </w:r>
    </w:p>
    <w:p w14:paraId="255ABD86" w14:textId="77777777" w:rsidR="00643A2E" w:rsidRPr="00643A2E" w:rsidRDefault="00643A2E" w:rsidP="00643A2E">
      <w:pPr>
        <w:spacing w:before="240" w:after="80"/>
        <w:rPr>
          <w:b/>
          <w:color w:val="1C7293"/>
          <w:sz w:val="26"/>
        </w:rPr>
      </w:pPr>
      <w:r w:rsidRPr="00643A2E">
        <w:rPr>
          <w:b/>
          <w:color w:val="1C7293"/>
          <w:sz w:val="26"/>
        </w:rPr>
        <w:t>The second group is enrichment variables, which add external economic context at the city level, including wage, population, density, rent, employment conditions, and labor-market slack.</w:t>
      </w:r>
    </w:p>
    <w:p w14:paraId="25258743" w14:textId="7953398F" w:rsidR="00643A2E" w:rsidRPr="009C18D9" w:rsidRDefault="00643A2E" w:rsidP="00643A2E">
      <w:pPr>
        <w:spacing w:before="240" w:after="80"/>
        <w:rPr>
          <w:rFonts w:eastAsia="宋体" w:hint="eastAsia"/>
          <w:b/>
          <w:color w:val="1C7293"/>
          <w:sz w:val="26"/>
          <w:lang w:eastAsia="zh-CN"/>
        </w:rPr>
      </w:pPr>
      <w:r w:rsidRPr="00643A2E">
        <w:rPr>
          <w:b/>
          <w:color w:val="1C7293"/>
          <w:sz w:val="26"/>
        </w:rPr>
        <w:lastRenderedPageBreak/>
        <w:t>Importantly, all of these features are deliberately bounded to what public data actually exposes. We do not use any case-level information that could leak the outcome.</w:t>
      </w:r>
    </w:p>
    <w:p w14:paraId="2BC2D70E" w14:textId="77777777" w:rsidR="00643A2E" w:rsidRPr="00643A2E" w:rsidRDefault="00000000" w:rsidP="00643A2E">
      <w:pPr>
        <w:spacing w:before="240" w:after="80"/>
        <w:rPr>
          <w:b/>
          <w:color w:val="1C7293"/>
          <w:sz w:val="26"/>
        </w:rPr>
      </w:pPr>
      <w:r>
        <w:rPr>
          <w:b/>
          <w:color w:val="1C7293"/>
          <w:sz w:val="26"/>
        </w:rPr>
        <w:pict w14:anchorId="16F425CF">
          <v:rect id="_x0000_i1026" style="width:0;height:1.5pt" o:hralign="center" o:hrstd="t" o:hr="t" fillcolor="#a0a0a0" stroked="f"/>
        </w:pict>
      </w:r>
    </w:p>
    <w:p w14:paraId="6CC0F306" w14:textId="77777777" w:rsidR="00643A2E" w:rsidRPr="00643A2E" w:rsidRDefault="00643A2E" w:rsidP="00643A2E">
      <w:pPr>
        <w:spacing w:before="240" w:after="80"/>
        <w:rPr>
          <w:b/>
          <w:bCs/>
          <w:color w:val="1C7293"/>
          <w:sz w:val="26"/>
        </w:rPr>
      </w:pPr>
      <w:r w:rsidRPr="00643A2E">
        <w:rPr>
          <w:b/>
          <w:bCs/>
          <w:color w:val="1C7293"/>
          <w:sz w:val="26"/>
        </w:rPr>
        <w:t>Slide 8 — Scalability: Distributed Compute</w:t>
      </w:r>
    </w:p>
    <w:p w14:paraId="3F29104F" w14:textId="77777777" w:rsidR="00643A2E" w:rsidRPr="00643A2E" w:rsidRDefault="00643A2E" w:rsidP="00643A2E">
      <w:pPr>
        <w:spacing w:before="240" w:after="80"/>
        <w:rPr>
          <w:b/>
          <w:color w:val="1C7293"/>
          <w:sz w:val="26"/>
        </w:rPr>
      </w:pPr>
      <w:r w:rsidRPr="00643A2E">
        <w:rPr>
          <w:b/>
          <w:color w:val="1C7293"/>
          <w:sz w:val="26"/>
        </w:rPr>
        <w:t>Although our current dataset is still manageable on a laptop, we wanted to design the merge in a way that could scale to larger data volumes in the future. So we implemented the same external-data merge in both Pandas and PySpark.</w:t>
      </w:r>
    </w:p>
    <w:p w14:paraId="25636C9C" w14:textId="77777777" w:rsidR="00643A2E" w:rsidRPr="00643A2E" w:rsidRDefault="00643A2E" w:rsidP="00643A2E">
      <w:pPr>
        <w:spacing w:before="240" w:after="80"/>
        <w:rPr>
          <w:b/>
          <w:color w:val="1C7293"/>
          <w:sz w:val="26"/>
        </w:rPr>
      </w:pPr>
      <w:r w:rsidRPr="00643A2E">
        <w:rPr>
          <w:b/>
          <w:color w:val="1C7293"/>
          <w:sz w:val="26"/>
        </w:rPr>
        <w:t>What matters here is that the outputs are effectively identical. The row counts match exactly, and even the numeric differences are basically zero except for tiny floating-point rounding error.</w:t>
      </w:r>
    </w:p>
    <w:p w14:paraId="724A6234" w14:textId="77777777" w:rsidR="00643A2E" w:rsidRPr="00643A2E" w:rsidRDefault="00643A2E" w:rsidP="00643A2E">
      <w:pPr>
        <w:spacing w:before="240" w:after="80"/>
        <w:rPr>
          <w:b/>
          <w:color w:val="1C7293"/>
          <w:sz w:val="26"/>
        </w:rPr>
      </w:pPr>
      <w:r w:rsidRPr="00643A2E">
        <w:rPr>
          <w:b/>
          <w:color w:val="1C7293"/>
          <w:sz w:val="26"/>
        </w:rPr>
        <w:t>That means the logic is already cluster-ready. With only a very small change, the same workflow can move from a local environment to Dataproc, EMR, or Databricks.</w:t>
      </w:r>
    </w:p>
    <w:p w14:paraId="2AA65450" w14:textId="5557C571" w:rsidR="00643A2E" w:rsidRPr="009C18D9" w:rsidRDefault="00643A2E" w:rsidP="00643A2E">
      <w:pPr>
        <w:spacing w:before="240" w:after="80"/>
        <w:rPr>
          <w:rFonts w:eastAsia="宋体" w:hint="eastAsia"/>
          <w:b/>
          <w:color w:val="1C7293"/>
          <w:sz w:val="26"/>
          <w:lang w:eastAsia="zh-CN"/>
        </w:rPr>
      </w:pPr>
      <w:r w:rsidRPr="00643A2E">
        <w:rPr>
          <w:b/>
          <w:color w:val="1C7293"/>
          <w:sz w:val="26"/>
        </w:rPr>
        <w:t>So this project was designed not only to answer a substantive question, but also to demonstrate that the workflow itself is robust, reproducible, and scalable.</w:t>
      </w:r>
    </w:p>
    <w:p w14:paraId="49FD386F" w14:textId="77777777" w:rsidR="00643A2E" w:rsidRPr="00643A2E" w:rsidRDefault="00000000" w:rsidP="00643A2E">
      <w:pPr>
        <w:spacing w:before="240" w:after="80"/>
        <w:rPr>
          <w:b/>
          <w:color w:val="1C7293"/>
          <w:sz w:val="26"/>
        </w:rPr>
      </w:pPr>
      <w:r>
        <w:rPr>
          <w:b/>
          <w:color w:val="1C7293"/>
          <w:sz w:val="26"/>
        </w:rPr>
        <w:pict w14:anchorId="2F5B3511">
          <v:rect id="_x0000_i1027" style="width:0;height:1.5pt" o:hralign="center" o:hrstd="t" o:hr="t" fillcolor="#a0a0a0" stroked="f"/>
        </w:pict>
      </w:r>
    </w:p>
    <w:p w14:paraId="126ADD15" w14:textId="77777777" w:rsidR="00643A2E" w:rsidRPr="00643A2E" w:rsidRDefault="00643A2E" w:rsidP="00643A2E">
      <w:pPr>
        <w:spacing w:before="240" w:after="80"/>
        <w:rPr>
          <w:b/>
          <w:bCs/>
          <w:color w:val="1C7293"/>
          <w:sz w:val="26"/>
        </w:rPr>
      </w:pPr>
      <w:r w:rsidRPr="00643A2E">
        <w:rPr>
          <w:b/>
          <w:bCs/>
          <w:color w:val="1C7293"/>
          <w:sz w:val="26"/>
        </w:rPr>
        <w:t>Slide 9 — Methods: Modeling Setup</w:t>
      </w:r>
    </w:p>
    <w:p w14:paraId="0A695CD8" w14:textId="77777777" w:rsidR="00643A2E" w:rsidRPr="00643A2E" w:rsidRDefault="00643A2E" w:rsidP="00643A2E">
      <w:pPr>
        <w:spacing w:before="240" w:after="80"/>
        <w:rPr>
          <w:b/>
          <w:color w:val="1C7293"/>
          <w:sz w:val="26"/>
        </w:rPr>
      </w:pPr>
      <w:r w:rsidRPr="00643A2E">
        <w:rPr>
          <w:b/>
          <w:color w:val="1C7293"/>
          <w:sz w:val="26"/>
        </w:rPr>
        <w:t>“Next is the modeling setup.</w:t>
      </w:r>
    </w:p>
    <w:p w14:paraId="071B788E" w14:textId="77777777" w:rsidR="00643A2E" w:rsidRPr="00643A2E" w:rsidRDefault="00643A2E" w:rsidP="00643A2E">
      <w:pPr>
        <w:spacing w:before="240" w:after="80"/>
        <w:rPr>
          <w:b/>
          <w:color w:val="1C7293"/>
          <w:sz w:val="26"/>
        </w:rPr>
      </w:pPr>
      <w:r w:rsidRPr="00643A2E">
        <w:rPr>
          <w:b/>
          <w:color w:val="1C7293"/>
          <w:sz w:val="26"/>
        </w:rPr>
        <w:t>Our goal here is not to build the best possible predictor. Instead, the goal is to estimate the explanatory ceiling of public data — in other words, how much of the approval variation can be explained at all using publicly available variables.</w:t>
      </w:r>
    </w:p>
    <w:p w14:paraId="43EC87E6" w14:textId="77777777" w:rsidR="00643A2E" w:rsidRPr="00643A2E" w:rsidRDefault="00643A2E" w:rsidP="00643A2E">
      <w:pPr>
        <w:spacing w:before="240" w:after="80"/>
        <w:rPr>
          <w:b/>
          <w:color w:val="1C7293"/>
          <w:sz w:val="26"/>
        </w:rPr>
      </w:pPr>
      <w:r w:rsidRPr="00643A2E">
        <w:rPr>
          <w:b/>
          <w:color w:val="1C7293"/>
          <w:sz w:val="26"/>
        </w:rPr>
        <w:t>To do that, we compare three model families: OLS as a linear baseline, Random Forest, and XGBoost as more flexible nonlinear models.</w:t>
      </w:r>
    </w:p>
    <w:p w14:paraId="642651C1" w14:textId="77777777" w:rsidR="00643A2E" w:rsidRPr="00643A2E" w:rsidRDefault="00643A2E" w:rsidP="00643A2E">
      <w:pPr>
        <w:spacing w:before="240" w:after="80"/>
        <w:rPr>
          <w:b/>
          <w:color w:val="1C7293"/>
          <w:sz w:val="26"/>
        </w:rPr>
      </w:pPr>
      <w:r w:rsidRPr="00643A2E">
        <w:rPr>
          <w:b/>
          <w:color w:val="1C7293"/>
          <w:sz w:val="26"/>
        </w:rPr>
        <w:t>All models use the same train-test split and the same preprocessing pipeline, including one-hot encoding for categorical features. We evaluate performance on held-out test data using R-squared and mean absolute error.</w:t>
      </w:r>
    </w:p>
    <w:p w14:paraId="2D1B32BB" w14:textId="77777777" w:rsidR="00643A2E" w:rsidRPr="00643A2E" w:rsidRDefault="00643A2E" w:rsidP="00643A2E">
      <w:pPr>
        <w:spacing w:before="240" w:after="80"/>
        <w:rPr>
          <w:b/>
          <w:color w:val="1C7293"/>
          <w:sz w:val="26"/>
        </w:rPr>
      </w:pPr>
      <w:r w:rsidRPr="00643A2E">
        <w:rPr>
          <w:b/>
          <w:color w:val="1C7293"/>
          <w:sz w:val="26"/>
        </w:rPr>
        <w:lastRenderedPageBreak/>
        <w:t>We also compare two specifications: a structural specification using only USCIS-type variables, and an enriched specification that adds local wage and economic indicators.</w:t>
      </w:r>
    </w:p>
    <w:p w14:paraId="0775ECB4" w14:textId="77777777" w:rsidR="00643A2E" w:rsidRPr="00643A2E" w:rsidRDefault="00643A2E" w:rsidP="00643A2E">
      <w:pPr>
        <w:spacing w:before="240" w:after="80"/>
        <w:rPr>
          <w:b/>
          <w:color w:val="1C7293"/>
          <w:sz w:val="26"/>
        </w:rPr>
      </w:pPr>
      <w:r w:rsidRPr="00643A2E">
        <w:rPr>
          <w:b/>
          <w:color w:val="1C7293"/>
          <w:sz w:val="26"/>
        </w:rPr>
        <w:t>This setup allows us to ask a clean question: does richer public data actually improve explanatory power?”</w:t>
      </w:r>
    </w:p>
    <w:p w14:paraId="520674C7" w14:textId="77777777" w:rsidR="00643A2E" w:rsidRPr="00643A2E" w:rsidRDefault="00000000" w:rsidP="00643A2E">
      <w:pPr>
        <w:spacing w:before="240" w:after="80"/>
        <w:rPr>
          <w:b/>
          <w:color w:val="1C7293"/>
          <w:sz w:val="26"/>
        </w:rPr>
      </w:pPr>
      <w:r>
        <w:rPr>
          <w:b/>
          <w:color w:val="1C7293"/>
          <w:sz w:val="26"/>
        </w:rPr>
        <w:pict w14:anchorId="590F8FDC">
          <v:rect id="_x0000_i1028" style="width:0;height:1.5pt" o:hralign="center" o:hrstd="t" o:hr="t" fillcolor="#a0a0a0" stroked="f"/>
        </w:pict>
      </w:r>
    </w:p>
    <w:p w14:paraId="5CBAE9C2" w14:textId="77777777" w:rsidR="00643A2E" w:rsidRPr="00643A2E" w:rsidRDefault="00643A2E" w:rsidP="00643A2E">
      <w:pPr>
        <w:spacing w:before="240" w:after="80"/>
        <w:rPr>
          <w:b/>
          <w:bCs/>
          <w:color w:val="1C7293"/>
          <w:sz w:val="26"/>
        </w:rPr>
      </w:pPr>
      <w:r w:rsidRPr="00643A2E">
        <w:rPr>
          <w:b/>
          <w:bCs/>
          <w:color w:val="1C7293"/>
          <w:sz w:val="26"/>
        </w:rPr>
        <w:t>Slide 10 — Layer 1: Demand</w:t>
      </w:r>
    </w:p>
    <w:p w14:paraId="559A882D" w14:textId="77777777" w:rsidR="00643A2E" w:rsidRPr="00643A2E" w:rsidRDefault="00643A2E" w:rsidP="00643A2E">
      <w:pPr>
        <w:spacing w:before="240" w:after="80"/>
        <w:rPr>
          <w:b/>
          <w:color w:val="1C7293"/>
          <w:sz w:val="26"/>
        </w:rPr>
      </w:pPr>
      <w:r w:rsidRPr="00643A2E">
        <w:rPr>
          <w:b/>
          <w:color w:val="1C7293"/>
          <w:sz w:val="26"/>
        </w:rPr>
        <w:t>“Before turning to approval, we first look at demand.</w:t>
      </w:r>
    </w:p>
    <w:p w14:paraId="2467019D" w14:textId="77777777" w:rsidR="00643A2E" w:rsidRPr="00643A2E" w:rsidRDefault="00643A2E" w:rsidP="00643A2E">
      <w:pPr>
        <w:spacing w:before="240" w:after="80"/>
        <w:rPr>
          <w:b/>
          <w:color w:val="1C7293"/>
          <w:sz w:val="26"/>
        </w:rPr>
      </w:pPr>
      <w:r w:rsidRPr="00643A2E">
        <w:rPr>
          <w:b/>
          <w:color w:val="1C7293"/>
          <w:sz w:val="26"/>
        </w:rPr>
        <w:t>At this layer, the question is whether public economic and geographic variables can explain where H-1B petitions tend to cluster. Here the answer is clearly yes.</w:t>
      </w:r>
    </w:p>
    <w:p w14:paraId="1EB5A0A8" w14:textId="77777777" w:rsidR="00643A2E" w:rsidRPr="00643A2E" w:rsidRDefault="00643A2E" w:rsidP="00643A2E">
      <w:pPr>
        <w:spacing w:before="240" w:after="80"/>
        <w:rPr>
          <w:b/>
          <w:color w:val="1C7293"/>
          <w:sz w:val="26"/>
        </w:rPr>
      </w:pPr>
      <w:r w:rsidRPr="00643A2E">
        <w:rPr>
          <w:b/>
          <w:color w:val="1C7293"/>
          <w:sz w:val="26"/>
        </w:rPr>
        <w:t>Using LCA and Census variables, we classify cities into low-, medium-, and high-demand petition tiers. The model achieves an AUC of 0.79 for the high-demand class, which suggests that city-level demand is meaningfully predictable.</w:t>
      </w:r>
    </w:p>
    <w:p w14:paraId="38E0FE7C" w14:textId="77777777" w:rsidR="00643A2E" w:rsidRPr="00643A2E" w:rsidRDefault="00643A2E" w:rsidP="00643A2E">
      <w:pPr>
        <w:spacing w:before="240" w:after="80"/>
        <w:rPr>
          <w:b/>
          <w:color w:val="1C7293"/>
          <w:sz w:val="26"/>
        </w:rPr>
      </w:pPr>
      <w:r w:rsidRPr="00643A2E">
        <w:rPr>
          <w:b/>
          <w:color w:val="1C7293"/>
          <w:sz w:val="26"/>
        </w:rPr>
        <w:t>Substantively, this makes sense. Higher wages, higher density, and certain state patterns are strongly associated with areas that concentrate H-1B activity. In particular, California, New Jersey, and Texas stand out as major hubs.</w:t>
      </w:r>
    </w:p>
    <w:p w14:paraId="2A8FB064" w14:textId="77777777" w:rsidR="00643A2E" w:rsidRPr="00643A2E" w:rsidRDefault="00643A2E" w:rsidP="00643A2E">
      <w:pPr>
        <w:spacing w:before="240" w:after="80"/>
        <w:rPr>
          <w:b/>
          <w:color w:val="1C7293"/>
          <w:sz w:val="26"/>
        </w:rPr>
      </w:pPr>
      <w:r w:rsidRPr="00643A2E">
        <w:rPr>
          <w:b/>
          <w:color w:val="1C7293"/>
          <w:sz w:val="26"/>
        </w:rPr>
        <w:t>But this result is important mainly as a contrast. Public data can explain where petitions cluster. The next question is whether it can also explain whether those petitions are approved.”</w:t>
      </w:r>
    </w:p>
    <w:p w14:paraId="656EC1E5" w14:textId="77777777" w:rsidR="00643A2E" w:rsidRPr="00643A2E" w:rsidRDefault="00000000" w:rsidP="00643A2E">
      <w:pPr>
        <w:spacing w:before="240" w:after="80"/>
        <w:rPr>
          <w:b/>
          <w:color w:val="1C7293"/>
          <w:sz w:val="26"/>
        </w:rPr>
      </w:pPr>
      <w:r>
        <w:rPr>
          <w:b/>
          <w:color w:val="1C7293"/>
          <w:sz w:val="26"/>
        </w:rPr>
        <w:pict w14:anchorId="450EDE16">
          <v:rect id="_x0000_i1029" style="width:0;height:1.5pt" o:hralign="center" o:hrstd="t" o:hr="t" fillcolor="#a0a0a0" stroked="f"/>
        </w:pict>
      </w:r>
    </w:p>
    <w:p w14:paraId="651158AA" w14:textId="77777777" w:rsidR="00643A2E" w:rsidRPr="00643A2E" w:rsidRDefault="00643A2E" w:rsidP="00643A2E">
      <w:pPr>
        <w:spacing w:before="240" w:after="80"/>
        <w:rPr>
          <w:b/>
          <w:bCs/>
          <w:color w:val="1C7293"/>
          <w:sz w:val="26"/>
        </w:rPr>
      </w:pPr>
      <w:r w:rsidRPr="00643A2E">
        <w:rPr>
          <w:b/>
          <w:bCs/>
          <w:color w:val="1C7293"/>
          <w:sz w:val="26"/>
        </w:rPr>
        <w:t>Slide 11 — Layer 2: Approval Baseline</w:t>
      </w:r>
    </w:p>
    <w:p w14:paraId="6A8F70C5" w14:textId="77777777" w:rsidR="00643A2E" w:rsidRPr="00643A2E" w:rsidRDefault="00643A2E" w:rsidP="00643A2E">
      <w:pPr>
        <w:spacing w:before="240" w:after="80"/>
        <w:rPr>
          <w:b/>
          <w:color w:val="1C7293"/>
          <w:sz w:val="26"/>
        </w:rPr>
      </w:pPr>
      <w:r w:rsidRPr="00643A2E">
        <w:rPr>
          <w:b/>
          <w:color w:val="1C7293"/>
          <w:sz w:val="26"/>
        </w:rPr>
        <w:t>When we move from demand to approval, the explanatory power collapses.</w:t>
      </w:r>
    </w:p>
    <w:p w14:paraId="1BE6194C" w14:textId="77777777" w:rsidR="00643A2E" w:rsidRPr="00643A2E" w:rsidRDefault="00643A2E" w:rsidP="00643A2E">
      <w:pPr>
        <w:spacing w:before="240" w:after="80"/>
        <w:rPr>
          <w:b/>
          <w:color w:val="1C7293"/>
          <w:sz w:val="26"/>
        </w:rPr>
      </w:pPr>
      <w:r w:rsidRPr="00643A2E">
        <w:rPr>
          <w:b/>
          <w:color w:val="1C7293"/>
          <w:sz w:val="26"/>
        </w:rPr>
        <w:t>Using USCIS variables alone, all three model families produce near-zero test R-squared values. OLS, Random Forest, and XGBoost all perform almost identically, and none explains meaningful variation in employer-level approval rates.</w:t>
      </w:r>
    </w:p>
    <w:p w14:paraId="65654961" w14:textId="77777777" w:rsidR="00643A2E" w:rsidRPr="00643A2E" w:rsidRDefault="00643A2E" w:rsidP="00643A2E">
      <w:pPr>
        <w:spacing w:before="240" w:after="80"/>
        <w:rPr>
          <w:b/>
          <w:color w:val="1C7293"/>
          <w:sz w:val="26"/>
        </w:rPr>
      </w:pPr>
      <w:r w:rsidRPr="00643A2E">
        <w:rPr>
          <w:b/>
          <w:color w:val="1C7293"/>
          <w:sz w:val="26"/>
        </w:rPr>
        <w:t>We also decompose variance across observable groups such as state, Census region, NAICS industry, and employer size. Together, these groupings explain less than half a percent of total variation.</w:t>
      </w:r>
    </w:p>
    <w:p w14:paraId="79BD0718" w14:textId="77777777" w:rsidR="00643A2E" w:rsidRPr="00643A2E" w:rsidRDefault="00643A2E" w:rsidP="00643A2E">
      <w:pPr>
        <w:spacing w:before="240" w:after="80"/>
        <w:rPr>
          <w:b/>
          <w:color w:val="1C7293"/>
          <w:sz w:val="26"/>
        </w:rPr>
      </w:pPr>
      <w:r w:rsidRPr="00643A2E">
        <w:rPr>
          <w:b/>
          <w:color w:val="1C7293"/>
          <w:sz w:val="26"/>
        </w:rPr>
        <w:lastRenderedPageBreak/>
        <w:t>The reason is shown on the right: the target is almost degenerate. About 82 percent of employers in the data have approval rates at or above 99.9 percent.</w:t>
      </w:r>
    </w:p>
    <w:p w14:paraId="63C62365" w14:textId="77777777" w:rsidR="00643A2E" w:rsidRPr="00643A2E" w:rsidRDefault="00643A2E" w:rsidP="00643A2E">
      <w:pPr>
        <w:spacing w:before="240" w:after="80"/>
        <w:rPr>
          <w:b/>
          <w:color w:val="1C7293"/>
          <w:sz w:val="26"/>
        </w:rPr>
      </w:pPr>
      <w:r w:rsidRPr="00643A2E">
        <w:rPr>
          <w:b/>
          <w:color w:val="1C7293"/>
          <w:sz w:val="26"/>
        </w:rPr>
        <w:t>So the key message here is that USCIS public variables contain almost no usable signal for explaining approval outcomes.”</w:t>
      </w:r>
    </w:p>
    <w:p w14:paraId="4348C750" w14:textId="77777777" w:rsidR="00643A2E" w:rsidRPr="00643A2E" w:rsidRDefault="00000000" w:rsidP="00643A2E">
      <w:pPr>
        <w:spacing w:before="240" w:after="80"/>
        <w:rPr>
          <w:b/>
          <w:color w:val="1C7293"/>
          <w:sz w:val="26"/>
        </w:rPr>
      </w:pPr>
      <w:r>
        <w:rPr>
          <w:b/>
          <w:color w:val="1C7293"/>
          <w:sz w:val="26"/>
        </w:rPr>
        <w:pict w14:anchorId="666AD2CC">
          <v:rect id="_x0000_i1030" style="width:0;height:1.5pt" o:hralign="center" o:hrstd="t" o:hr="t" fillcolor="#a0a0a0" stroked="f"/>
        </w:pict>
      </w:r>
    </w:p>
    <w:p w14:paraId="5A1317EF" w14:textId="77777777" w:rsidR="00643A2E" w:rsidRPr="00643A2E" w:rsidRDefault="00643A2E" w:rsidP="00643A2E">
      <w:pPr>
        <w:spacing w:before="240" w:after="80"/>
        <w:rPr>
          <w:b/>
          <w:bCs/>
          <w:color w:val="1C7293"/>
          <w:sz w:val="26"/>
        </w:rPr>
      </w:pPr>
      <w:r w:rsidRPr="00643A2E">
        <w:rPr>
          <w:b/>
          <w:bCs/>
          <w:color w:val="1C7293"/>
          <w:sz w:val="26"/>
        </w:rPr>
        <w:t>Slide 12 — Layer 3: Enrichment Test</w:t>
      </w:r>
    </w:p>
    <w:p w14:paraId="32A5B2CA" w14:textId="77777777" w:rsidR="00643A2E" w:rsidRPr="00643A2E" w:rsidRDefault="00643A2E" w:rsidP="00643A2E">
      <w:pPr>
        <w:spacing w:before="240" w:after="80"/>
        <w:rPr>
          <w:b/>
          <w:color w:val="1C7293"/>
          <w:sz w:val="26"/>
        </w:rPr>
      </w:pPr>
      <w:r w:rsidRPr="00643A2E">
        <w:rPr>
          <w:b/>
          <w:color w:val="1C7293"/>
          <w:sz w:val="26"/>
        </w:rPr>
        <w:t>“We then ask a harder question: if we add richer external information, does the picture improve?</w:t>
      </w:r>
    </w:p>
    <w:p w14:paraId="19C8B226" w14:textId="77777777" w:rsidR="00643A2E" w:rsidRPr="00643A2E" w:rsidRDefault="00643A2E" w:rsidP="00643A2E">
      <w:pPr>
        <w:spacing w:before="240" w:after="80"/>
        <w:rPr>
          <w:b/>
          <w:color w:val="1C7293"/>
          <w:sz w:val="26"/>
        </w:rPr>
      </w:pPr>
      <w:r w:rsidRPr="00643A2E">
        <w:rPr>
          <w:b/>
          <w:color w:val="1C7293"/>
          <w:sz w:val="26"/>
        </w:rPr>
        <w:t>The answer is still no.</w:t>
      </w:r>
    </w:p>
    <w:p w14:paraId="43670936" w14:textId="77777777" w:rsidR="00643A2E" w:rsidRPr="00643A2E" w:rsidRDefault="00643A2E" w:rsidP="00643A2E">
      <w:pPr>
        <w:spacing w:before="240" w:after="80"/>
        <w:rPr>
          <w:b/>
          <w:color w:val="1C7293"/>
          <w:sz w:val="26"/>
        </w:rPr>
      </w:pPr>
      <w:r w:rsidRPr="00643A2E">
        <w:rPr>
          <w:b/>
          <w:color w:val="1C7293"/>
          <w:sz w:val="26"/>
        </w:rPr>
        <w:t>Even after adding wages and local economic variables, none of the models achieves an R-squared above zero on the city-level sample. In fact, a constant-mean predictor still outperforms every model we tested.</w:t>
      </w:r>
    </w:p>
    <w:p w14:paraId="62D9394D" w14:textId="77777777" w:rsidR="00643A2E" w:rsidRPr="00643A2E" w:rsidRDefault="00643A2E" w:rsidP="00643A2E">
      <w:pPr>
        <w:spacing w:before="240" w:after="80"/>
        <w:rPr>
          <w:b/>
          <w:color w:val="1C7293"/>
          <w:sz w:val="26"/>
        </w:rPr>
      </w:pPr>
      <w:r w:rsidRPr="00643A2E">
        <w:rPr>
          <w:b/>
          <w:color w:val="1C7293"/>
          <w:sz w:val="26"/>
        </w:rPr>
        <w:t>It is true that the tree-based models improve relative to their structural versions, but that improvement should be interpreted carefully. They rise mainly because the added variables reduce overfitting, not because the models uncover meaningful explanatory signal.</w:t>
      </w:r>
    </w:p>
    <w:p w14:paraId="42783343" w14:textId="77777777" w:rsidR="00643A2E" w:rsidRPr="00643A2E" w:rsidRDefault="00643A2E" w:rsidP="00643A2E">
      <w:pPr>
        <w:spacing w:before="240" w:after="80"/>
        <w:rPr>
          <w:b/>
          <w:color w:val="1C7293"/>
          <w:sz w:val="26"/>
        </w:rPr>
      </w:pPr>
      <w:r w:rsidRPr="00643A2E">
        <w:rPr>
          <w:b/>
          <w:color w:val="1C7293"/>
          <w:sz w:val="26"/>
        </w:rPr>
        <w:t>So this enrichment test strengthens the main result. The limitation is not simply that the USCIS dataset is too sparse on its own. Even after adding relevant public economic context, the explanatory ceiling remains extremely low.”</w:t>
      </w:r>
    </w:p>
    <w:p w14:paraId="18536796" w14:textId="77777777" w:rsidR="00643A2E" w:rsidRPr="00643A2E" w:rsidRDefault="00000000" w:rsidP="00643A2E">
      <w:pPr>
        <w:spacing w:before="240" w:after="80"/>
        <w:rPr>
          <w:b/>
          <w:color w:val="1C7293"/>
          <w:sz w:val="26"/>
        </w:rPr>
      </w:pPr>
      <w:r>
        <w:rPr>
          <w:b/>
          <w:color w:val="1C7293"/>
          <w:sz w:val="26"/>
        </w:rPr>
        <w:pict w14:anchorId="2B25D006">
          <v:rect id="_x0000_i1031" style="width:0;height:1.5pt" o:hralign="center" o:hrstd="t" o:hr="t" fillcolor="#a0a0a0" stroked="f"/>
        </w:pict>
      </w:r>
    </w:p>
    <w:p w14:paraId="52B99B97" w14:textId="77777777" w:rsidR="00643A2E" w:rsidRPr="00643A2E" w:rsidRDefault="00643A2E" w:rsidP="00643A2E">
      <w:pPr>
        <w:spacing w:before="240" w:after="80"/>
        <w:rPr>
          <w:b/>
          <w:bCs/>
          <w:color w:val="1C7293"/>
          <w:sz w:val="26"/>
        </w:rPr>
      </w:pPr>
      <w:r w:rsidRPr="00643A2E">
        <w:rPr>
          <w:b/>
          <w:bCs/>
          <w:color w:val="1C7293"/>
          <w:sz w:val="26"/>
        </w:rPr>
        <w:t>Slide 13 — Interpretation</w:t>
      </w:r>
    </w:p>
    <w:p w14:paraId="5C2539C4" w14:textId="77777777" w:rsidR="00643A2E" w:rsidRPr="00643A2E" w:rsidRDefault="00643A2E" w:rsidP="00643A2E">
      <w:pPr>
        <w:spacing w:before="240" w:after="80"/>
        <w:rPr>
          <w:b/>
          <w:color w:val="1C7293"/>
          <w:sz w:val="26"/>
        </w:rPr>
      </w:pPr>
      <w:r w:rsidRPr="00643A2E">
        <w:rPr>
          <w:b/>
          <w:color w:val="1C7293"/>
          <w:sz w:val="26"/>
        </w:rPr>
        <w:t>“This leads to our broader interpretation.</w:t>
      </w:r>
    </w:p>
    <w:p w14:paraId="1B25EF8B" w14:textId="77777777" w:rsidR="00643A2E" w:rsidRPr="00643A2E" w:rsidRDefault="00643A2E" w:rsidP="00643A2E">
      <w:pPr>
        <w:spacing w:before="240" w:after="80"/>
        <w:rPr>
          <w:b/>
          <w:color w:val="1C7293"/>
          <w:sz w:val="26"/>
        </w:rPr>
      </w:pPr>
      <w:r w:rsidRPr="00643A2E">
        <w:rPr>
          <w:b/>
          <w:color w:val="1C7293"/>
          <w:sz w:val="26"/>
        </w:rPr>
        <w:t>Across all three layers, we see a very consistent pattern.</w:t>
      </w:r>
    </w:p>
    <w:p w14:paraId="19636B16" w14:textId="77777777" w:rsidR="00643A2E" w:rsidRPr="00643A2E" w:rsidRDefault="00643A2E" w:rsidP="00643A2E">
      <w:pPr>
        <w:spacing w:before="240" w:after="80"/>
        <w:rPr>
          <w:b/>
          <w:color w:val="1C7293"/>
          <w:sz w:val="26"/>
        </w:rPr>
      </w:pPr>
      <w:r w:rsidRPr="00643A2E">
        <w:rPr>
          <w:b/>
          <w:color w:val="1C7293"/>
          <w:sz w:val="26"/>
        </w:rPr>
        <w:t>Public data is informative for demand. It can tell us where H-1B activity is concentrated, and that pattern follows recognizable economic geography.</w:t>
      </w:r>
    </w:p>
    <w:p w14:paraId="160FD854" w14:textId="77777777" w:rsidR="00643A2E" w:rsidRPr="00643A2E" w:rsidRDefault="00643A2E" w:rsidP="00643A2E">
      <w:pPr>
        <w:spacing w:before="240" w:after="80"/>
        <w:rPr>
          <w:b/>
          <w:color w:val="1C7293"/>
          <w:sz w:val="26"/>
        </w:rPr>
      </w:pPr>
      <w:r w:rsidRPr="00643A2E">
        <w:rPr>
          <w:b/>
          <w:color w:val="1C7293"/>
          <w:sz w:val="26"/>
        </w:rPr>
        <w:lastRenderedPageBreak/>
        <w:t>But public data is not informative for approval. Observable variables such as state, industry, application mix, wage, and city-level economic conditions do not meaningfully explain adjudication outcomes.</w:t>
      </w:r>
    </w:p>
    <w:p w14:paraId="78EABDDE" w14:textId="77777777" w:rsidR="00643A2E" w:rsidRPr="00643A2E" w:rsidRDefault="00643A2E" w:rsidP="00643A2E">
      <w:pPr>
        <w:spacing w:before="240" w:after="80"/>
        <w:rPr>
          <w:b/>
          <w:color w:val="1C7293"/>
          <w:sz w:val="26"/>
        </w:rPr>
      </w:pPr>
      <w:r w:rsidRPr="00643A2E">
        <w:rPr>
          <w:b/>
          <w:color w:val="1C7293"/>
          <w:sz w:val="26"/>
        </w:rPr>
        <w:t>So our conclusion is that the real variance in approval decisions likely lives inside case-level information that is not available in any public release — for example, prevailing-wage comparisons by occupation, request-for-evidence history, attorney quality, or documentation quality.</w:t>
      </w:r>
    </w:p>
    <w:p w14:paraId="6082E60E" w14:textId="77777777" w:rsidR="00643A2E" w:rsidRPr="00643A2E" w:rsidRDefault="00643A2E" w:rsidP="00643A2E">
      <w:pPr>
        <w:spacing w:before="240" w:after="80"/>
        <w:rPr>
          <w:b/>
          <w:color w:val="1C7293"/>
          <w:sz w:val="26"/>
        </w:rPr>
      </w:pPr>
      <w:r w:rsidRPr="00643A2E">
        <w:rPr>
          <w:b/>
          <w:color w:val="1C7293"/>
          <w:sz w:val="26"/>
        </w:rPr>
        <w:t>In that sense, the data is bounded, not the method.”</w:t>
      </w:r>
    </w:p>
    <w:p w14:paraId="18C0A365" w14:textId="77777777" w:rsidR="00643A2E" w:rsidRPr="00643A2E" w:rsidRDefault="00000000" w:rsidP="00643A2E">
      <w:pPr>
        <w:spacing w:before="240" w:after="80"/>
        <w:rPr>
          <w:b/>
          <w:color w:val="1C7293"/>
          <w:sz w:val="26"/>
        </w:rPr>
      </w:pPr>
      <w:r>
        <w:rPr>
          <w:b/>
          <w:color w:val="1C7293"/>
          <w:sz w:val="26"/>
        </w:rPr>
        <w:pict w14:anchorId="64AA4FF1">
          <v:rect id="_x0000_i1032" style="width:0;height:1.5pt" o:hralign="center" o:hrstd="t" o:hr="t" fillcolor="#a0a0a0" stroked="f"/>
        </w:pict>
      </w:r>
    </w:p>
    <w:p w14:paraId="31491A48" w14:textId="77777777" w:rsidR="00643A2E" w:rsidRPr="00643A2E" w:rsidRDefault="00643A2E" w:rsidP="00643A2E">
      <w:pPr>
        <w:spacing w:before="240" w:after="80"/>
        <w:rPr>
          <w:b/>
          <w:bCs/>
          <w:color w:val="1C7293"/>
          <w:sz w:val="26"/>
        </w:rPr>
      </w:pPr>
      <w:r w:rsidRPr="00643A2E">
        <w:rPr>
          <w:b/>
          <w:bCs/>
          <w:color w:val="1C7293"/>
          <w:sz w:val="26"/>
        </w:rPr>
        <w:t>Slide 14 — Limitations</w:t>
      </w:r>
    </w:p>
    <w:p w14:paraId="03200581" w14:textId="77777777" w:rsidR="00643A2E" w:rsidRPr="00643A2E" w:rsidRDefault="00643A2E" w:rsidP="00643A2E">
      <w:pPr>
        <w:spacing w:before="240" w:after="80"/>
        <w:rPr>
          <w:b/>
          <w:color w:val="1C7293"/>
          <w:sz w:val="26"/>
        </w:rPr>
      </w:pPr>
      <w:r w:rsidRPr="00643A2E">
        <w:rPr>
          <w:b/>
          <w:color w:val="1C7293"/>
          <w:sz w:val="26"/>
        </w:rPr>
        <w:t>“We also want to be very clear about the limits of the study.</w:t>
      </w:r>
    </w:p>
    <w:p w14:paraId="7E7FE8EC" w14:textId="77777777" w:rsidR="00643A2E" w:rsidRPr="00643A2E" w:rsidRDefault="00643A2E" w:rsidP="00643A2E">
      <w:pPr>
        <w:spacing w:before="240" w:after="80"/>
        <w:rPr>
          <w:b/>
          <w:color w:val="1C7293"/>
          <w:sz w:val="26"/>
        </w:rPr>
      </w:pPr>
      <w:r w:rsidRPr="00643A2E">
        <w:rPr>
          <w:b/>
          <w:color w:val="1C7293"/>
          <w:sz w:val="26"/>
        </w:rPr>
        <w:t>First, this is not a predictive claim. We are not presenting a usable approval predictor. In fact, the near-zero performance is itself the substantive result.</w:t>
      </w:r>
    </w:p>
    <w:p w14:paraId="0C179562" w14:textId="77777777" w:rsidR="00643A2E" w:rsidRPr="00643A2E" w:rsidRDefault="00643A2E" w:rsidP="00643A2E">
      <w:pPr>
        <w:spacing w:before="240" w:after="80"/>
        <w:rPr>
          <w:b/>
          <w:color w:val="1C7293"/>
          <w:sz w:val="26"/>
        </w:rPr>
      </w:pPr>
      <w:r w:rsidRPr="00643A2E">
        <w:rPr>
          <w:b/>
          <w:color w:val="1C7293"/>
          <w:sz w:val="26"/>
        </w:rPr>
        <w:t>Second, this is not a causal claim. When we look at variables like state or industry, we interpret them only as correlates, not as causal determinants of approval outcomes.</w:t>
      </w:r>
    </w:p>
    <w:p w14:paraId="7FCA8D84" w14:textId="77777777" w:rsidR="00643A2E" w:rsidRPr="00643A2E" w:rsidRDefault="00643A2E" w:rsidP="00643A2E">
      <w:pPr>
        <w:spacing w:before="240" w:after="80"/>
        <w:rPr>
          <w:b/>
          <w:color w:val="1C7293"/>
          <w:sz w:val="26"/>
        </w:rPr>
      </w:pPr>
      <w:r w:rsidRPr="00643A2E">
        <w:rPr>
          <w:b/>
          <w:color w:val="1C7293"/>
          <w:sz w:val="26"/>
        </w:rPr>
        <w:t>Third, our analysis is limited to the post-lottery adjudication stage. We do not observe the earlier registration and selection process, which is itself an important part of the broader H-1B system.</w:t>
      </w:r>
    </w:p>
    <w:p w14:paraId="18A3F4A5" w14:textId="77777777" w:rsidR="00643A2E" w:rsidRPr="00643A2E" w:rsidRDefault="00643A2E" w:rsidP="00643A2E">
      <w:pPr>
        <w:spacing w:before="240" w:after="80"/>
        <w:rPr>
          <w:b/>
          <w:color w:val="1C7293"/>
          <w:sz w:val="26"/>
        </w:rPr>
      </w:pPr>
      <w:r w:rsidRPr="00643A2E">
        <w:rPr>
          <w:b/>
          <w:color w:val="1C7293"/>
          <w:sz w:val="26"/>
        </w:rPr>
        <w:t>And finally, this study uses only one fiscal year, FY2024, so it cannot fully separate structural patterns from administration-specific policy conditions.”</w:t>
      </w:r>
    </w:p>
    <w:p w14:paraId="64ED22CC" w14:textId="77777777" w:rsidR="00643A2E" w:rsidRPr="00643A2E" w:rsidRDefault="00000000" w:rsidP="00643A2E">
      <w:pPr>
        <w:spacing w:before="240" w:after="80"/>
        <w:rPr>
          <w:b/>
          <w:color w:val="1C7293"/>
          <w:sz w:val="26"/>
        </w:rPr>
      </w:pPr>
      <w:r>
        <w:rPr>
          <w:b/>
          <w:color w:val="1C7293"/>
          <w:sz w:val="26"/>
        </w:rPr>
        <w:pict w14:anchorId="74C9C19D">
          <v:rect id="_x0000_i1033" style="width:0;height:1.5pt" o:hralign="center" o:hrstd="t" o:hr="t" fillcolor="#a0a0a0" stroked="f"/>
        </w:pict>
      </w:r>
    </w:p>
    <w:p w14:paraId="785CE989" w14:textId="77777777" w:rsidR="00643A2E" w:rsidRPr="00643A2E" w:rsidRDefault="00643A2E" w:rsidP="00643A2E">
      <w:pPr>
        <w:spacing w:before="240" w:after="80"/>
        <w:rPr>
          <w:b/>
          <w:bCs/>
          <w:color w:val="1C7293"/>
          <w:sz w:val="26"/>
        </w:rPr>
      </w:pPr>
      <w:r w:rsidRPr="00643A2E">
        <w:rPr>
          <w:b/>
          <w:bCs/>
          <w:color w:val="1C7293"/>
          <w:sz w:val="26"/>
        </w:rPr>
        <w:t>Slide 15 — Future Work</w:t>
      </w:r>
    </w:p>
    <w:p w14:paraId="60C3D9CE" w14:textId="77777777" w:rsidR="00643A2E" w:rsidRPr="00643A2E" w:rsidRDefault="00643A2E" w:rsidP="00643A2E">
      <w:pPr>
        <w:spacing w:before="240" w:after="80"/>
        <w:rPr>
          <w:b/>
          <w:color w:val="1C7293"/>
          <w:sz w:val="26"/>
        </w:rPr>
      </w:pPr>
      <w:r w:rsidRPr="00643A2E">
        <w:rPr>
          <w:b/>
          <w:color w:val="1C7293"/>
          <w:sz w:val="26"/>
        </w:rPr>
        <w:t>“In terms of future work, the next steps follow directly from these limitations.</w:t>
      </w:r>
    </w:p>
    <w:p w14:paraId="5487A188" w14:textId="77777777" w:rsidR="00643A2E" w:rsidRPr="00643A2E" w:rsidRDefault="00643A2E" w:rsidP="00643A2E">
      <w:pPr>
        <w:spacing w:before="240" w:after="80"/>
        <w:rPr>
          <w:b/>
          <w:color w:val="1C7293"/>
          <w:sz w:val="26"/>
        </w:rPr>
      </w:pPr>
      <w:r w:rsidRPr="00643A2E">
        <w:rPr>
          <w:b/>
          <w:color w:val="1C7293"/>
          <w:sz w:val="26"/>
        </w:rPr>
        <w:t>The first priority is better input data. Case-level petition records would allow us to observe the kinds of variables where the missing explanatory power probably resides.</w:t>
      </w:r>
    </w:p>
    <w:p w14:paraId="724CB53F" w14:textId="77777777" w:rsidR="00643A2E" w:rsidRPr="00643A2E" w:rsidRDefault="00643A2E" w:rsidP="00643A2E">
      <w:pPr>
        <w:spacing w:before="240" w:after="80"/>
        <w:rPr>
          <w:b/>
          <w:color w:val="1C7293"/>
          <w:sz w:val="26"/>
        </w:rPr>
      </w:pPr>
      <w:r w:rsidRPr="00643A2E">
        <w:rPr>
          <w:b/>
          <w:color w:val="1C7293"/>
          <w:sz w:val="26"/>
        </w:rPr>
        <w:t>Second, extending the analysis across multiple fiscal years would help distinguish stable structural patterns from temporary policy shocks or administration effects.</w:t>
      </w:r>
    </w:p>
    <w:p w14:paraId="03D21FBC" w14:textId="77777777" w:rsidR="00643A2E" w:rsidRPr="00643A2E" w:rsidRDefault="00643A2E" w:rsidP="00643A2E">
      <w:pPr>
        <w:spacing w:before="240" w:after="80"/>
        <w:rPr>
          <w:b/>
          <w:color w:val="1C7293"/>
          <w:sz w:val="26"/>
        </w:rPr>
      </w:pPr>
      <w:r w:rsidRPr="00643A2E">
        <w:rPr>
          <w:b/>
          <w:color w:val="1C7293"/>
          <w:sz w:val="26"/>
        </w:rPr>
        <w:lastRenderedPageBreak/>
        <w:t>Third, from a technical standpoint, the PySpark workflow could be fully productionized in a cloud environment, since the pipeline has already been validated for scale-out.</w:t>
      </w:r>
    </w:p>
    <w:p w14:paraId="2F182DDD" w14:textId="77777777" w:rsidR="00643A2E" w:rsidRPr="00643A2E" w:rsidRDefault="00643A2E" w:rsidP="00643A2E">
      <w:pPr>
        <w:spacing w:before="240" w:after="80"/>
        <w:rPr>
          <w:b/>
          <w:color w:val="1C7293"/>
          <w:sz w:val="26"/>
        </w:rPr>
      </w:pPr>
      <w:r w:rsidRPr="00643A2E">
        <w:rPr>
          <w:b/>
          <w:color w:val="1C7293"/>
          <w:sz w:val="26"/>
        </w:rPr>
        <w:t>So the larger takeaway is that the main bottleneck here is not compute. It is the limited transparency of the public data itself.</w:t>
      </w:r>
    </w:p>
    <w:p w14:paraId="4DA44476" w14:textId="77777777" w:rsidR="00643A2E" w:rsidRPr="00643A2E" w:rsidRDefault="00643A2E" w:rsidP="00643A2E">
      <w:pPr>
        <w:spacing w:before="240" w:after="80"/>
        <w:rPr>
          <w:b/>
          <w:color w:val="1C7293"/>
          <w:sz w:val="26"/>
        </w:rPr>
      </w:pPr>
      <w:r w:rsidRPr="00643A2E">
        <w:rPr>
          <w:b/>
          <w:color w:val="1C7293"/>
          <w:sz w:val="26"/>
        </w:rPr>
        <w:t>And that is why bounding what public data cannot explain is already an important contribution.”</w:t>
      </w:r>
    </w:p>
    <w:p w14:paraId="31E34027" w14:textId="77777777" w:rsidR="00643A2E" w:rsidRPr="00643A2E" w:rsidRDefault="00000000" w:rsidP="00643A2E">
      <w:pPr>
        <w:spacing w:before="240" w:after="80"/>
        <w:rPr>
          <w:b/>
          <w:color w:val="1C7293"/>
          <w:sz w:val="26"/>
        </w:rPr>
      </w:pPr>
      <w:r>
        <w:rPr>
          <w:b/>
          <w:color w:val="1C7293"/>
          <w:sz w:val="26"/>
        </w:rPr>
        <w:pict w14:anchorId="7B15A7E8">
          <v:rect id="_x0000_i1034" style="width:0;height:1.5pt" o:hralign="center" o:hrstd="t" o:hr="t" fillcolor="#a0a0a0" stroked="f"/>
        </w:pict>
      </w:r>
    </w:p>
    <w:p w14:paraId="7620F779" w14:textId="77777777" w:rsidR="00643A2E" w:rsidRPr="00643A2E" w:rsidRDefault="00643A2E" w:rsidP="00643A2E">
      <w:pPr>
        <w:spacing w:before="240" w:after="80"/>
        <w:rPr>
          <w:b/>
          <w:bCs/>
          <w:color w:val="1C7293"/>
          <w:sz w:val="26"/>
        </w:rPr>
      </w:pPr>
      <w:r w:rsidRPr="00643A2E">
        <w:rPr>
          <w:b/>
          <w:bCs/>
          <w:color w:val="1C7293"/>
          <w:sz w:val="26"/>
        </w:rPr>
        <w:t>Final Thank You Slide</w:t>
      </w:r>
    </w:p>
    <w:p w14:paraId="73F03C89" w14:textId="77777777" w:rsidR="00643A2E" w:rsidRPr="00643A2E" w:rsidRDefault="00643A2E" w:rsidP="00643A2E">
      <w:pPr>
        <w:spacing w:before="240" w:after="80"/>
        <w:rPr>
          <w:b/>
          <w:color w:val="1C7293"/>
          <w:sz w:val="26"/>
        </w:rPr>
      </w:pPr>
      <w:r w:rsidRPr="00643A2E">
        <w:rPr>
          <w:b/>
          <w:color w:val="1C7293"/>
          <w:sz w:val="26"/>
        </w:rPr>
        <w:t>“So to conclude, our project asks a simple question: how much can public data explain about H-1B approval?</w:t>
      </w:r>
    </w:p>
    <w:p w14:paraId="624F444F" w14:textId="77777777" w:rsidR="00643A2E" w:rsidRPr="00643A2E" w:rsidRDefault="00643A2E" w:rsidP="00643A2E">
      <w:pPr>
        <w:spacing w:before="240" w:after="80"/>
        <w:rPr>
          <w:b/>
          <w:color w:val="1C7293"/>
          <w:sz w:val="26"/>
        </w:rPr>
      </w:pPr>
      <w:r w:rsidRPr="00643A2E">
        <w:rPr>
          <w:b/>
          <w:color w:val="1C7293"/>
          <w:sz w:val="26"/>
        </w:rPr>
        <w:t>Our answer is that public data can explain demand reasonably well, but it explains almost nothing about approval outcomes.</w:t>
      </w:r>
    </w:p>
    <w:p w14:paraId="15FC8450" w14:textId="77777777" w:rsidR="00643A2E" w:rsidRPr="00643A2E" w:rsidRDefault="00643A2E" w:rsidP="00643A2E">
      <w:pPr>
        <w:spacing w:before="240" w:after="80"/>
        <w:rPr>
          <w:b/>
          <w:color w:val="1C7293"/>
          <w:sz w:val="26"/>
        </w:rPr>
      </w:pPr>
      <w:r w:rsidRPr="00643A2E">
        <w:rPr>
          <w:b/>
          <w:color w:val="1C7293"/>
          <w:sz w:val="26"/>
        </w:rPr>
        <w:t>And that suggests the real transparency gap is not just methodological — it is fundamentally a data access problem.</w:t>
      </w:r>
    </w:p>
    <w:p w14:paraId="136C9CF9" w14:textId="77777777" w:rsidR="00643A2E" w:rsidRPr="00643A2E" w:rsidRDefault="00643A2E" w:rsidP="00643A2E">
      <w:pPr>
        <w:spacing w:before="240" w:after="80"/>
        <w:rPr>
          <w:b/>
          <w:color w:val="1C7293"/>
          <w:sz w:val="26"/>
        </w:rPr>
      </w:pPr>
      <w:r w:rsidRPr="00643A2E">
        <w:rPr>
          <w:b/>
          <w:color w:val="1C7293"/>
          <w:sz w:val="26"/>
        </w:rPr>
        <w:t>Thank you.”</w:t>
      </w:r>
    </w:p>
    <w:p w14:paraId="4703F60C" w14:textId="32795549" w:rsidR="006F2405" w:rsidRDefault="006F2405" w:rsidP="00643A2E">
      <w:pPr>
        <w:spacing w:before="240" w:after="80"/>
      </w:pPr>
    </w:p>
    <w:sectPr w:rsidR="006F2405"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0EB91" w14:textId="77777777" w:rsidR="00EA7F8E" w:rsidRDefault="00EA7F8E" w:rsidP="00643A2E">
      <w:pPr>
        <w:spacing w:after="0" w:line="240" w:lineRule="auto"/>
      </w:pPr>
      <w:r>
        <w:separator/>
      </w:r>
    </w:p>
  </w:endnote>
  <w:endnote w:type="continuationSeparator" w:id="0">
    <w:p w14:paraId="3E8F8DEF" w14:textId="77777777" w:rsidR="00EA7F8E" w:rsidRDefault="00EA7F8E" w:rsidP="00643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1CD2" w14:textId="77777777" w:rsidR="00EA7F8E" w:rsidRDefault="00EA7F8E" w:rsidP="00643A2E">
      <w:pPr>
        <w:spacing w:after="0" w:line="240" w:lineRule="auto"/>
      </w:pPr>
      <w:r>
        <w:separator/>
      </w:r>
    </w:p>
  </w:footnote>
  <w:footnote w:type="continuationSeparator" w:id="0">
    <w:p w14:paraId="0BE63BD8" w14:textId="77777777" w:rsidR="00EA7F8E" w:rsidRDefault="00EA7F8E" w:rsidP="00643A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8740405">
    <w:abstractNumId w:val="8"/>
  </w:num>
  <w:num w:numId="2" w16cid:durableId="1394816416">
    <w:abstractNumId w:val="6"/>
  </w:num>
  <w:num w:numId="3" w16cid:durableId="2113932784">
    <w:abstractNumId w:val="5"/>
  </w:num>
  <w:num w:numId="4" w16cid:durableId="1889756551">
    <w:abstractNumId w:val="4"/>
  </w:num>
  <w:num w:numId="5" w16cid:durableId="1026904721">
    <w:abstractNumId w:val="7"/>
  </w:num>
  <w:num w:numId="6" w16cid:durableId="848713989">
    <w:abstractNumId w:val="3"/>
  </w:num>
  <w:num w:numId="7" w16cid:durableId="639071357">
    <w:abstractNumId w:val="2"/>
  </w:num>
  <w:num w:numId="8" w16cid:durableId="1466846293">
    <w:abstractNumId w:val="1"/>
  </w:num>
  <w:num w:numId="9" w16cid:durableId="65156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319"/>
    <w:rsid w:val="0029639D"/>
    <w:rsid w:val="00326F90"/>
    <w:rsid w:val="00643A2E"/>
    <w:rsid w:val="006F2405"/>
    <w:rsid w:val="007101D5"/>
    <w:rsid w:val="009B3F76"/>
    <w:rsid w:val="009C18D9"/>
    <w:rsid w:val="00AA1D8D"/>
    <w:rsid w:val="00B47730"/>
    <w:rsid w:val="00CB0664"/>
    <w:rsid w:val="00EA7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5B1900"/>
  <w14:defaultImageDpi w14:val="300"/>
  <w15:docId w15:val="{340B9CD9-4B74-41CB-87CF-CBA4EB07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1394</Words>
  <Characters>7700</Characters>
  <Application>Microsoft Office Word</Application>
  <DocSecurity>0</DocSecurity>
  <Lines>150</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骁 许</cp:lastModifiedBy>
  <cp:revision>4</cp:revision>
  <dcterms:created xsi:type="dcterms:W3CDTF">2013-12-23T23:15:00Z</dcterms:created>
  <dcterms:modified xsi:type="dcterms:W3CDTF">2026-04-23T22:28:00Z</dcterms:modified>
  <cp:category/>
</cp:coreProperties>
</file>