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293B"/>
          <w:sz w:val="40"/>
        </w:rPr>
        <w:t>Presentation Script — Slides 6 to 15</w:t>
      </w:r>
    </w:p>
    <w:p>
      <w:pPr>
        <w:jc w:val="center"/>
      </w:pPr>
      <w:r>
        <w:rPr>
          <w:i/>
          <w:color w:val="475569"/>
          <w:sz w:val="22"/>
        </w:rPr>
        <w:t>H-1B Approval: How Much Can Public Data Explain?  ·  ~7 minutes  ·  ~1,150 words</w:t>
      </w:r>
    </w:p>
    <w:p/>
    <w:p>
      <w:pPr>
        <w:spacing w:before="240" w:after="80"/>
      </w:pPr>
      <w:r>
        <w:rPr>
          <w:b/>
          <w:color w:val="1C7293"/>
          <w:sz w:val="26"/>
        </w:rPr>
        <w:t>Slide 6 — End-to-End Reproducible Pipeline  (~45s)</w:t>
      </w:r>
    </w:p>
    <w:p>
      <w:pPr>
        <w:spacing w:after="120" w:line="324" w:lineRule="auto"/>
      </w:pPr>
      <w:r>
        <w:t>So with the dataset introduced, I'll walk you through how the project is actually built. The pipeline has five stages, and the design rule is simple: one input, one output per stage, with Parquet at every boundary. Each script reads exactly one file and writes exactly one file — so any stage can be re-run on its own without rebuilding the whole thing.</w:t>
      </w:r>
    </w:p>
    <w:p>
      <w:pPr>
        <w:spacing w:after="120" w:line="324" w:lineRule="auto"/>
      </w:pPr>
      <w:r>
        <w:t>Following the chain on the left: we start from the raw USCIS CSV, then cleaning, feature engineering, the merge with external data, modeling, and analysis. By the end, sixty-one thousand employer rows become 3,968 merged cities.</w:t>
      </w:r>
    </w:p>
    <w:p>
      <w:pPr>
        <w:spacing w:after="120" w:line="324" w:lineRule="auto"/>
      </w:pPr>
      <w:r>
        <w:t>Three things to flag on the right. Storage is Parquet everywhere — columnar, compressed, schema-typed — so a full decade of releases would still fit on a laptop. Modularity means edit one stage, re-run only that stage. And orchestration is a thin shell: today it's a single Python script, but swapping to Airflow or Prefect later only changes the trigger, not the stages themselves.</w:t>
      </w:r>
    </w:p>
    <w:p>
      <w:pPr>
        <w:spacing w:before="240" w:after="80"/>
      </w:pPr>
      <w:r>
        <w:rPr>
          <w:b/>
          <w:color w:val="1C7293"/>
          <w:sz w:val="26"/>
        </w:rPr>
        <w:t>Slide 7 — Honest Features from a Messy Public Release  (~50s)</w:t>
      </w:r>
    </w:p>
    <w:p>
      <w:pPr>
        <w:spacing w:after="120" w:line="324" w:lineRule="auto"/>
      </w:pPr>
      <w:r>
        <w:t>A quick word on cleaning, because the public release is messier than it looks. The file ships as UTF-16 with a BOM. NAICS arrives as one mashed-up string we had to split into a code and a label. We added a zip3 column as a regional proxy. And critically — we re-derived the approval rate ourselves, because the raw column nudges values away from clean 0 and 1 by tiny amounts that distort group means.</w:t>
      </w:r>
    </w:p>
    <w:p>
      <w:pPr>
        <w:spacing w:after="120" w:line="324" w:lineRule="auto"/>
      </w:pPr>
      <w:r>
        <w:t>On the right are the engineered features. The structural set in green is everything we can build from USCIS alone: a STEM flag, a Census region, a size bucket, and log-volume controls. The enrichment set in yellow only exists at the city level after the merge: log wage from OFLC LCA, plus log population, density, rent, employment percentage, and the unemployment z-score. The whole feature set is deliberately bounded to what these public sources actually expose — zero leakage from the target.</w:t>
      </w:r>
    </w:p>
    <w:p>
      <w:pPr>
        <w:spacing w:before="240" w:after="80"/>
      </w:pPr>
      <w:r>
        <w:rPr>
          <w:b/>
          <w:color w:val="1C7293"/>
          <w:sz w:val="26"/>
        </w:rPr>
        <w:t>Slide 8 — Same Merge, Pandas and PySpark  (~50s)</w:t>
      </w:r>
    </w:p>
    <w:p>
      <w:pPr>
        <w:spacing w:after="120" w:line="324" w:lineRule="auto"/>
      </w:pPr>
      <w:r>
        <w:t>Now scalability. Today's data fits in memory, so the default path is pandas. But to show the pipeline is cluster-ready, we re-implemented the merge stage in PySpark 3.5. The code on the left is the actual excerpt — a SparkSession with adaptive execution turned on, a groupBy on state and city, and an inner join with the external file.</w:t>
      </w:r>
    </w:p>
    <w:p>
      <w:pPr>
        <w:spacing w:after="120" w:line="324" w:lineRule="auto"/>
      </w:pPr>
      <w:r>
        <w:t>The important part is on the right. We ran both versions on identical inputs and verified parity: same 3,968 output rows, zero delta on approval rate, and an average-wage delta of less than 8 × 10⁻¹³ — pure float roundoff. So the Spark version is bit-identical to pandas.</w:t>
      </w:r>
    </w:p>
    <w:p>
      <w:pPr>
        <w:spacing w:after="120" w:line="324" w:lineRule="auto"/>
      </w:pPr>
      <w:r>
        <w:t>And the deploy story is one line. Locally we materialize through .toPandas().to_parquet. To go to Dataproc, EMR, or Databricks, you swap that for .write.parquet. Same DataFrame code, managed cluster, unchanged.</w:t>
      </w:r>
    </w:p>
    <w:p>
      <w:pPr>
        <w:spacing w:before="240" w:after="80"/>
      </w:pPr>
      <w:r>
        <w:rPr>
          <w:b/>
          <w:color w:val="1C7293"/>
          <w:sz w:val="26"/>
        </w:rPr>
        <w:t>Slide 9 — Three Model Families, One Ceiling Question  (~50s)</w:t>
      </w:r>
    </w:p>
    <w:p>
      <w:pPr>
        <w:spacing w:after="120" w:line="324" w:lineRule="auto"/>
      </w:pPr>
      <w:r>
        <w:t>For modeling, the goal is to bound explanatory power, not chase hyperparameters. The preprocessing pipeline on the left: numeric features pass through, categoricals go through a sparse one-hot with min_frequency=20 to keep the matrix manageable. Everything is wrapped in a sklearn Pipeline, an 80/20 split with a fixed seed so every model sees identical rows, and we score R² and MAE on the held-out test set.</w:t>
      </w:r>
    </w:p>
    <w:p>
      <w:pPr>
        <w:spacing w:after="120" w:line="324" w:lineRule="auto"/>
      </w:pPr>
      <w:r>
        <w:t>Three model families: OLS as the canonical baseline, a Random Forest, and XGBoost. And in the bottom-right, the key design choice — two specs run on identical rows. Structural uses only USCIS-derivable features. Enriched adds the wage and local-economy variables. The delta between them is the test of whether public enrichment actually moves the ceiling.</w:t>
      </w:r>
    </w:p>
    <w:p>
      <w:pPr>
        <w:spacing w:before="240" w:after="80"/>
      </w:pPr>
      <w:r>
        <w:rPr>
          <w:b/>
          <w:color w:val="1C7293"/>
          <w:sz w:val="26"/>
        </w:rPr>
        <w:t>Slide 10 — Layer 1: Demand (Cassie's results)  (~30s)</w:t>
      </w:r>
    </w:p>
    <w:p>
      <w:pPr>
        <w:spacing w:after="120" w:line="324" w:lineRule="auto"/>
      </w:pPr>
      <w:r>
        <w:t>Layer one was contributed by my partner Cassie. Her question: can public economic geography predict where H-1B petitions cluster? She bucketed roughly 9,800 cities into low, medium, and high petition volume, and ran XGBoost with SMOTE plus a state feature. The model hits an AUC of 0.79 on the high-demand class, with a weighted F1 around 0.60.</w:t>
      </w:r>
    </w:p>
    <w:p>
      <w:pPr>
        <w:spacing w:after="120" w:line="324" w:lineRule="auto"/>
      </w:pPr>
      <w:r>
        <w:t>So wages and density do carry real signal — California, New Jersey, and Texas concentrate the high-demand cities. But — and this is the bridge to the rest of my part — predicting where filings happen is not the same as predicting whether they get approved.</w:t>
      </w:r>
    </w:p>
    <w:p>
      <w:pPr>
        <w:spacing w:before="240" w:after="80"/>
      </w:pPr>
      <w:r>
        <w:rPr>
          <w:b/>
          <w:color w:val="1C7293"/>
          <w:sz w:val="26"/>
        </w:rPr>
        <w:t>Slide 11 — Layer 2: USCIS Alone Explains Essentially Nothing  (~50s)</w:t>
      </w:r>
    </w:p>
    <w:p>
      <w:pPr>
        <w:spacing w:after="120" w:line="324" w:lineRule="auto"/>
      </w:pPr>
      <w:r>
        <w:t>Layer two is the baseline approval question on USCIS data alone. Three model families, same near-zero ceiling. OLS, Random Forest, and XGBoost all land at R² between 0.006 and 0.008, with MAE around six percentage points.</w:t>
      </w:r>
    </w:p>
    <w:p>
      <w:pPr>
        <w:spacing w:after="120" w:line="324" w:lineRule="auto"/>
      </w:pPr>
      <w:r>
        <w:t>Why? Two reasons. First, 82% of rows already sit at 99.9% approval or higher — the target is near-degenerate. Second, look at the between-group variance table on the right: state explains 0.33% of variance, region 0.06%, NAICS industry 0.30%, size bucket 0.03%. Every observable grouping accounts for less than half a percent. There is essentially nothing here to model.</w:t>
      </w:r>
    </w:p>
    <w:p>
      <w:pPr>
        <w:spacing w:before="240" w:after="80"/>
      </w:pPr>
      <w:r>
        <w:rPr>
          <w:b/>
          <w:color w:val="1C7293"/>
          <w:sz w:val="26"/>
        </w:rPr>
        <w:t>Slide 12 — Layer 3: Wages and Local Economy Still Can't Beat the Mean  (~50s)</w:t>
      </w:r>
    </w:p>
    <w:p>
      <w:pPr>
        <w:spacing w:after="120" w:line="324" w:lineRule="auto"/>
      </w:pPr>
      <w:r>
        <w:t>Layer three is the real test. Aggregate USCIS to the city level, inner-join Cassie's enriched file, run identical rows on both specs.</w:t>
      </w:r>
    </w:p>
    <w:p>
      <w:pPr>
        <w:spacing w:after="120" w:line="324" w:lineRule="auto"/>
      </w:pPr>
      <w:r>
        <w:t>Read this table carefully. The structural specs all sit below zero — that's tree models overfitting noise. When we add the enrichment columns, tree R² rises sharply: Random Forest gains 17 points, XGBoost gains 14. But none of them cross zero. OLS only improves by 0.007. The MAE settles around 0.04 — about four percentage points of noise around a mean of 96.6%. The headline: a constant-mean predictor beats every model we tested.</w:t>
      </w:r>
    </w:p>
    <w:p>
      <w:pPr>
        <w:spacing w:before="240" w:after="80"/>
      </w:pPr>
      <w:r>
        <w:rPr>
          <w:b/>
          <w:color w:val="1C7293"/>
          <w:sz w:val="26"/>
        </w:rPr>
        <w:t>Slide 13 — Interpretation: The Data Is Bounded, Not the Method  (~45s)</w:t>
      </w:r>
    </w:p>
    <w:p>
      <w:pPr>
        <w:spacing w:after="120" w:line="324" w:lineRule="auto"/>
      </w:pPr>
      <w:r>
        <w:t>Three layers, one converging answer. Layer 1: where H-1B workers are needed is publicly visible. Layer 2: at the employer level, approval is not — observable groupings explain under half a percent. Layer 3: even after we add wage and local-economy enrichment across nearly 4,000 cities, R² stays at or below zero.</w:t>
      </w:r>
    </w:p>
    <w:p>
      <w:pPr>
        <w:spacing w:after="120" w:line="324" w:lineRule="auto"/>
      </w:pPr>
      <w:r>
        <w:t>So the conclusion is sharper than "our models are bad." Approval variance lives inside individual case files — wage relative to prevailing wage by SOC, RFE history, the attorney, documentation quality. None of those signals exist in any public release.</w:t>
      </w:r>
    </w:p>
    <w:p>
      <w:pPr>
        <w:spacing w:before="240" w:after="80"/>
      </w:pPr>
      <w:r>
        <w:rPr>
          <w:b/>
          <w:color w:val="1C7293"/>
          <w:sz w:val="26"/>
        </w:rPr>
        <w:t>Slide 14 — Limitations  (~30s)</w:t>
      </w:r>
    </w:p>
    <w:p>
      <w:pPr>
        <w:spacing w:after="120" w:line="324" w:lineRule="auto"/>
      </w:pPr>
      <w:r>
        <w:t>To be explicit about scope: we make no predictive claim — the near-zero R² is the finding. We make no causal claim — state and industry correlate with approval but don't cause it. We observe only the post-lottery 25% who reached adjudication. And FY2024 alone can't separate structural patterns from administration-specific policy regimes.</w:t>
      </w:r>
    </w:p>
    <w:p>
      <w:pPr>
        <w:spacing w:before="240" w:after="80"/>
      </w:pPr>
      <w:r>
        <w:rPr>
          <w:b/>
          <w:color w:val="1C7293"/>
          <w:sz w:val="26"/>
        </w:rPr>
        <w:t>Slide 15 — Future Work  (~30s)</w:t>
      </w:r>
    </w:p>
    <w:p>
      <w:pPr>
        <w:spacing w:after="120" w:line="324" w:lineRule="auto"/>
      </w:pPr>
      <w:r>
        <w:t>The bottleneck was never compute — it was the input. So the commit worth making is data, not hardware. Three priorities. First, case-level data — joining USCIS I-129 releases with wage-relative-to-prevailing-by-SOC, RFE history, and attorney metadata. That's where the unexplained variance lives. Second, multi-year coverage from FY2019 through FY2025 to separate policy-regime effects from structural ones. Third, productionize the Spark pipeline — that one-line swap to a managed cluster.</w:t>
      </w:r>
    </w:p>
    <w:p>
      <w:pPr>
        <w:spacing w:after="120" w:line="324" w:lineRule="auto"/>
      </w:pPr>
      <w:r>
        <w:t>Bounding what public data can't explain is the first step to demanding better data. Thank you.</w:t>
      </w:r>
    </w:p>
    <w:p/>
    <w:p>
      <w:pPr>
        <w:spacing w:before="280" w:after="80"/>
      </w:pPr>
      <w:r>
        <w:rPr>
          <w:b/>
          <w:color w:val="1C7293"/>
          <w:sz w:val="26"/>
        </w:rPr>
        <w:t>Delivery Tips</w:t>
      </w:r>
    </w:p>
    <w:p>
      <w:pPr>
        <w:pStyle w:val="ListBullet"/>
        <w:spacing w:after="80" w:line="324" w:lineRule="auto"/>
      </w:pPr>
      <w:r>
        <w:t>Pace target: ~150 words/min lands you near 7 minutes; slow to ~135 wpm for closer to 8.</w:t>
      </w:r>
    </w:p>
    <w:p>
      <w:pPr>
        <w:pStyle w:val="ListBullet"/>
        <w:spacing w:after="80" w:line="324" w:lineRule="auto"/>
      </w:pPr>
      <w:r>
        <w:t>Slow down on the numbers in slides 11 and 12 — the audience needs a beat to read the tables.</w:t>
      </w:r>
    </w:p>
    <w:p>
      <w:pPr>
        <w:pStyle w:val="ListBullet"/>
        <w:spacing w:after="80" w:line="324" w:lineRule="auto"/>
      </w:pPr>
      <w:r>
        <w:t>Slides 14–15 are short on purpose — they're closing beats, not new content. Don't rush slide 13's "approval variance lives inside case files" line; that's your thesis.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