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endnotes+xml" PartName="/word/endnotes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ind w:firstLine="281"/>
        <w:jc w:val="center"/>
        <w:pStyle w:val="a4"/>
        <w:rPr>
          <w:b w:val="true"/>
          <w:rFonts w:ascii="宋体"/>
          <w:sz w:val="28"/>
          <w:szCs w:val="28"/>
        </w:rPr>
      </w:pPr>
      <w:r>
        <w:rPr>
          <w:b w:val="true"/>
          <w:rFonts w:hint="eastAsia" w:ascii="宋体"/>
          <w:sz w:val="28"/>
          <w:szCs w:val="28"/>
        </w:rPr>
        <w:t>迭代评估报告</w:t>
      </w:r>
      <w:bookmarkStart w:id="0" w:name="_GoBack"/>
      <w:bookmarkEnd w:id="0"/>
    </w:p>
    <w:p>
      <w:pPr>
        <w:ind w:firstLine="0" w:firstLineChars="0"/>
        <w:jc w:val="center"/>
        <w:pStyle w:val="a4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default" w:ascii="宋体"/>
          <w:szCs w:val="21"/>
        </w:rPr>
        <w:t>2023/03/1</w:t>
      </w:r>
      <w:r>
        <w:rPr>
          <w:rFonts w:hint="default" w:ascii="宋体"/>
          <w:szCs w:val="21"/>
        </w:rPr>
        <w:t>4</w:t>
      </w:r>
    </w:p>
    <w:tbl>
      <w:tblPr>
        <w:tblW w:w="8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1674"/>
        <w:gridCol w:w="1674"/>
        <w:gridCol w:w="1866"/>
        <w:gridCol w:w="3379"/>
      </w:tblGrid>
      <w:tr>
        <w:tc>
          <w:tcPr>
            <w:shd w:val="clear" w:color="auto" w:fill="auto"/>
            <w:tcW w:w="1674" w:type="dxa"/>
          </w:tcPr>
          <w:p>
            <w:pPr>
              <w:adjustRightInd w:val="false"/>
              <w:jc w:val="center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shd w:val="clear" w:color="auto" w:fill="auto"/>
            <w:tcW w:w="1674" w:type="dxa"/>
          </w:tcPr>
          <w:p>
            <w:pPr>
              <w:adjustRightInd w:val="false"/>
              <w:jc w:val="center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21</w:t>
            </w:r>
          </w:p>
        </w:tc>
        <w:tc>
          <w:tcPr>
            <w:shd w:val="clear" w:color="auto" w:fill="auto"/>
            <w:tcW w:w="1866" w:type="dxa"/>
          </w:tcPr>
          <w:p>
            <w:pPr>
              <w:adjustRightInd w:val="false"/>
              <w:jc w:val="center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shd w:val="clear" w:color="auto" w:fill="auto"/>
            <w:tcW w:w="3379" w:type="dxa"/>
          </w:tcPr>
          <w:p>
            <w:pPr>
              <w:pStyle w:val="a"/>
              <w:rPr>
                <w:color w:val="0070C0"/>
                <w:rFonts w:eastAsia="黑体"/>
                <w:szCs w:val="21"/>
              </w:rPr>
            </w:pPr>
            <w:r>
              <w:rPr/>
              <w:t>HyperCraft开放世界体素游戏</w:t>
            </w:r>
          </w:p>
        </w:tc>
      </w:tr>
      <w:tr>
        <w:tc>
          <w:tcPr>
            <w:shd w:val="clear" w:color="auto" w:fill="auto"/>
            <w:tcW w:w="1674" w:type="dxa"/>
          </w:tcPr>
          <w:p>
            <w:pPr>
              <w:adjustRightInd w:val="false"/>
              <w:jc w:val="center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shd w:val="clear" w:color="auto" w:fill="auto"/>
            <w:tcW w:w="1674" w:type="dxa"/>
          </w:tcPr>
          <w:p>
            <w:pPr>
              <w:jc w:val="center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迭代#</w:t>
            </w:r>
            <w:r>
              <w:rPr>
                <w:szCs w:val="21"/>
              </w:rPr>
              <w:t>0</w:t>
            </w:r>
          </w:p>
        </w:tc>
        <w:tc>
          <w:tcPr>
            <w:shd w:val="clear" w:color="auto" w:fill="auto"/>
            <w:tcW w:w="1866" w:type="dxa"/>
          </w:tcPr>
          <w:p>
            <w:pPr>
              <w:adjustRightInd w:val="false"/>
              <w:jc w:val="center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shd w:val="clear" w:color="auto" w:fill="auto"/>
            <w:tcW w:w="3379" w:type="dxa"/>
          </w:tcPr>
          <w:p>
            <w:pPr>
              <w:adjustRightInd w:val="false"/>
              <w:jc w:val="center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b w:val="false"/>
                <w:color w:val="000000"/>
                <w:kern w:val="2"/>
                <w:rFonts w:ascii="Times New Roman" w:hAnsi="Times New Roman" w:cs="Times New Roman"/>
                <w:sz w:val="21"/>
              </w:rPr>
              <w:t xml:space="preserve">2/26 – 3/14</w:t>
            </w:r>
          </w:p>
        </w:tc>
      </w:tr>
      <w:tr>
        <w:trPr>
          <w:trHeight w:val="2680" w:hRule="atLeast"/>
        </w:trPr>
        <w:tc>
          <w:tcPr>
            <w:gridSpan w:val="4"/>
            <w:shd w:val="clear" w:color="auto" w:fill="auto"/>
            <w:tcW w:w="8593" w:type="dxa"/>
          </w:tcPr>
          <w:p>
            <w:pPr>
              <w:adjustRightInd w:val="false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</w:t>
            </w:r>
          </w:p>
          <w:p>
            <w:pPr>
              <w:adjustRightInd w:val="false"/>
              <w:ind w:firstLineChars="0"/>
              <w:numPr>
                <w:ilvl w:val="0"/>
                <w:numId w:val="265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实现了基于Vulkan的GPU-Driven</w:t>
            </w:r>
            <w:r>
              <w:rPr>
                <w:szCs w:val="21"/>
              </w:rPr>
              <w:t>渲染。</w:t>
            </w:r>
          </w:p>
          <w:p>
            <w:pPr>
              <w:adjustRightInd w:val="false"/>
              <w:ind w:firstLineChars="0"/>
              <w:numPr>
                <w:ilvl w:val="0"/>
                <w:numId w:val="265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实现了 HyperCraft 的地图原型，可以实现部分的地图生成工作。</w:t>
            </w:r>
          </w:p>
          <w:p>
            <w:pPr>
              <w:ind w:firstLineChars="0"/>
              <w:numPr>
                <w:ilvl w:val="0"/>
                <w:numId w:val="265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封装了部分API和接口，便于后续功能的添加</w:t>
            </w:r>
            <w:r>
              <w:rPr>
                <w:szCs w:val="21"/>
              </w:rPr>
              <w:t>和</w:t>
            </w:r>
            <w:r>
              <w:rPr>
                <w:szCs w:val="21"/>
              </w:rPr>
              <w:t>完善。</w:t>
            </w:r>
          </w:p>
          <w:p>
            <w:pPr>
              <w:ind w:firstLineChars="0"/>
              <w:numPr>
                <w:ilvl w:val="0"/>
                <w:numId w:val="265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实现了HyperCraft的可移植性。</w:t>
            </w:r>
          </w:p>
        </w:tc>
      </w:tr>
      <w:tr>
        <w:tc>
          <w:tcPr>
            <w:gridSpan w:val="4"/>
            <w:shd w:val="clear" w:color="auto" w:fill="auto"/>
            <w:tcW w:w="8593" w:type="dxa"/>
          </w:tcPr>
          <w:p>
            <w:pPr>
              <w:adjustRightInd w:val="false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</w:p>
          <w:p>
            <w:pPr>
              <w:ind w:firstLineChars="0"/>
              <w:numPr>
                <w:ilvl w:val="0"/>
                <w:numId w:val="280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在开发平台上对地图生成效果进行了测试，观测</w:t>
            </w:r>
            <w:r>
              <w:rPr>
                <w:szCs w:val="21"/>
              </w:rPr>
              <w:t>并记录地图生成的结果和性能</w:t>
            </w:r>
            <w:r>
              <w:rPr>
                <w:szCs w:val="21"/>
              </w:rPr>
              <w:t>。结果：可以正常生成地图场景，并且达到了预期的帧率目标。</w:t>
            </w:r>
          </w:p>
          <w:p>
            <w:pPr>
              <w:ind w:firstLineChars="0"/>
              <w:numPr>
                <w:ilvl w:val="0"/>
                <w:numId w:val="280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尝试在不同OS和不同硬件平台上运行HyperCraft原型机。结果：大部分机器可以正常地执行HyperCraft应用，并且具有较好的渲染性能；在某些平台（例如MacOS）上的兼容性还存在少许问题。</w:t>
            </w:r>
          </w:p>
          <w:p>
            <w:pPr>
              <w:ind w:firstLineChars="0"/>
              <w:numPr>
                <w:ilvl w:val="0"/>
                <w:numId w:val="280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对</w:t>
            </w:r>
            <w:r>
              <w:rPr>
                <w:szCs w:val="21"/>
              </w:rPr>
              <w:t>小</w:t>
            </w:r>
            <w:r>
              <w:rPr>
                <w:szCs w:val="21"/>
              </w:rPr>
              <w:t>部分</w:t>
            </w:r>
            <w:r>
              <w:rPr>
                <w:szCs w:val="21"/>
              </w:rPr>
              <w:t>API的调用和鲁棒性进行了功能性测试。结果：</w:t>
            </w:r>
            <w:r>
              <w:rPr>
                <w:szCs w:val="21"/>
              </w:rPr>
              <w:t>在简单的开发场景下，</w:t>
            </w:r>
            <w:r>
              <w:rPr>
                <w:szCs w:val="21"/>
              </w:rPr>
              <w:t>已经封装的</w:t>
            </w:r>
            <w:r>
              <w:rPr>
                <w:szCs w:val="21"/>
              </w:rPr>
              <w:t>API调用</w:t>
            </w:r>
            <w:r>
              <w:rPr>
                <w:szCs w:val="21"/>
              </w:rPr>
              <w:t>正常</w:t>
            </w:r>
            <w:r>
              <w:rPr>
                <w:szCs w:val="21"/>
              </w:rPr>
              <w:t>。</w:t>
            </w:r>
          </w:p>
        </w:tc>
      </w:tr>
      <w:tr>
        <w:tc>
          <w:tcPr>
            <w:gridSpan w:val="4"/>
            <w:shd w:val="clear" w:color="auto" w:fill="auto"/>
            <w:tcW w:w="8593" w:type="dxa"/>
          </w:tcPr>
          <w:p>
            <w:pPr>
              <w:adjustRightInd w:val="false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</w:t>
            </w:r>
          </w:p>
          <w:p>
            <w:pPr>
              <w:adjustRightInd w:val="false"/>
              <w:ind w:firstLineChars="0"/>
              <w:numPr>
                <w:ilvl w:val="0"/>
                <w:numId w:val="2847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Client-Server通信以及</w:t>
            </w:r>
            <w:r>
              <w:rPr>
                <w:szCs w:val="21"/>
              </w:rPr>
              <w:t>游戏</w:t>
            </w:r>
            <w:r>
              <w:rPr>
                <w:szCs w:val="21"/>
              </w:rPr>
              <w:t>机制的API接口</w:t>
            </w:r>
            <w:r>
              <w:rPr>
                <w:szCs w:val="21"/>
              </w:rPr>
              <w:t>还未</w:t>
            </w:r>
            <w:r>
              <w:rPr>
                <w:szCs w:val="21"/>
              </w:rPr>
              <w:t>设计完成</w:t>
            </w:r>
            <w:r>
              <w:rPr>
                <w:szCs w:val="21"/>
              </w:rPr>
              <w:t>，这些接口可能在未来变更，需要随时跟进。</w:t>
            </w:r>
          </w:p>
          <w:p>
            <w:pPr>
              <w:ind w:firstLineChars="0"/>
              <w:numPr>
                <w:ilvl w:val="0"/>
                <w:numId w:val="2847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开发进度未能完全符合预期，主要原因是</w:t>
            </w:r>
            <w:r>
              <w:rPr>
                <w:szCs w:val="21"/>
              </w:rPr>
              <w:t>游戏开发技术的</w:t>
            </w:r>
            <w:r>
              <w:rPr>
                <w:szCs w:val="21"/>
              </w:rPr>
              <w:t>学习成本</w:t>
            </w:r>
            <w:r>
              <w:rPr>
                <w:szCs w:val="21"/>
              </w:rPr>
              <w:t>较高</w:t>
            </w:r>
            <w:r>
              <w:rPr>
                <w:szCs w:val="21"/>
              </w:rPr>
              <w:t>，</w:t>
            </w:r>
            <w:r>
              <w:rPr>
                <w:szCs w:val="21"/>
              </w:rPr>
              <w:t>以及其他课程的学业压力较大。</w:t>
            </w:r>
          </w:p>
          <w:p>
            <w:pPr>
              <w:adjustRightInd w:val="false"/>
              <w:snapToGrid w:val="false"/>
              <w:spacing w:afterAutospacing="false" w:beforeAutospacing="false" w:line="460" w:lineRule="atLeast"/>
              <w:rPr>
                <w:szCs w:val="21"/>
              </w:rPr>
            </w:pPr>
          </w:p>
        </w:tc>
      </w:tr>
      <w:tr>
        <w:tc>
          <w:tcPr>
            <w:gridSpan w:val="4"/>
            <w:shd w:val="clear" w:color="auto" w:fill="auto"/>
            <w:tcW w:w="8593" w:type="dxa"/>
          </w:tcPr>
          <w:p>
            <w:pPr>
              <w:adjustRightInd w:val="false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false"/>
              <w:ind w:firstLineChars="0"/>
              <w:numPr>
                <w:ilvl w:val="0"/>
                <w:numId w:val="4947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项目前期开发过程中，</w:t>
            </w:r>
            <w:r>
              <w:rPr>
                <w:szCs w:val="21"/>
              </w:rPr>
              <w:t>没有善用Github协作功能</w:t>
            </w:r>
            <w:r>
              <w:rPr>
                <w:szCs w:val="21"/>
              </w:rPr>
              <w:t>。</w:t>
            </w:r>
            <w:r>
              <w:rPr>
                <w:szCs w:val="21"/>
              </w:rPr>
              <w:t>未来</w:t>
            </w:r>
            <w:r>
              <w:rPr>
                <w:szCs w:val="21"/>
              </w:rPr>
              <w:t>可以</w:t>
            </w:r>
            <w:r>
              <w:rPr>
                <w:szCs w:val="21"/>
              </w:rPr>
              <w:t>多利用</w:t>
            </w:r>
            <w:r>
              <w:rPr>
                <w:szCs w:val="21"/>
              </w:rPr>
              <w:t>Github并行开发</w:t>
            </w:r>
            <w:r>
              <w:rPr>
                <w:szCs w:val="21"/>
              </w:rPr>
              <w:t>。</w:t>
            </w:r>
          </w:p>
          <w:p>
            <w:pPr>
              <w:ind w:firstLineChars="0"/>
              <w:numPr>
                <w:ilvl w:val="0"/>
                <w:numId w:val="4947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由于游戏开发技术的学习成本较高</w:t>
            </w:r>
            <w:r>
              <w:rPr>
                <w:szCs w:val="21"/>
              </w:rPr>
              <w:t>，再加上繁重的</w:t>
            </w:r>
            <w:r>
              <w:rPr>
                <w:szCs w:val="21"/>
              </w:rPr>
              <w:t>学业压力，</w:t>
            </w:r>
            <w:r>
              <w:rPr>
                <w:szCs w:val="21"/>
              </w:rPr>
              <w:t>应当在保证完成项目开发的前提下适当宽松迭代的期限，减轻组员的工作压力。</w:t>
            </w:r>
          </w:p>
          <w:p>
            <w:pPr>
              <w:adjustRightInd w:val="false"/>
              <w:snapToGrid w:val="false"/>
              <w:spacing w:afterAutospacing="false" w:beforeAutospacing="false" w:line="460" w:lineRule="atLeast"/>
              <w:rPr>
                <w:szCs w:val="21"/>
              </w:rPr>
            </w:pPr>
          </w:p>
        </w:tc>
      </w:tr>
    </w:tbl>
    <w:p>
      <w:pPr>
        <w:ind w:left="360"/>
      </w:pPr>
    </w:p>
    <w:sectPr>
      <w:cols w:space="425"/>
      <w:docGrid w:linePitch="312" w:type="lines"/>
      <w:pgMar w:top="1440" w:right="1800" w:bottom="1440" w:left="1800" w:header="851" w:footer="992" w:gutter="0"/>
      <w:pgSz w:h="16838" w:w="11906"/>
    </w:sectPr>
  </w:body>
</w:document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>
  <w:footnote w:type="separator" w:id="-1">
    <w:p>
      <w:pPr/>
      <w:r>
        <w:rPr/>
      </w:r>
    </w:p>
  </w:footnote>
  <w:footnote w:type="continuationSeparator" w:id="0">
    <w:p>
      <w:pPr/>
      <w:r>
        <w:rP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>
  <w:abstractNum w:abstractNumId="264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420" w:left="42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420" w:left="84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420" w:left="1260"/>
      </w:pPr>
    </w:lvl>
    <w:lvl w:ilvl="3">
      <w:start w:val="1"/>
      <w:numFmt w:val="decimal"/>
      <w:isLgl w:val="false"/>
      <w:suff w:val="tab"/>
      <w:lvlText w:val="%4."/>
      <w:lvlJc w:val="left"/>
      <w:pPr>
        <w:ind w:hanging="420" w:left="168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420" w:left="210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420" w:left="2520"/>
      </w:pPr>
    </w:lvl>
    <w:lvl w:ilvl="6">
      <w:start w:val="1"/>
      <w:numFmt w:val="decimal"/>
      <w:isLgl w:val="false"/>
      <w:suff w:val="tab"/>
      <w:lvlText w:val="%7."/>
      <w:lvlJc w:val="left"/>
      <w:pPr>
        <w:ind w:hanging="420" w:left="294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20" w:left="336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420" w:left="3780"/>
      </w:pPr>
    </w:lvl>
  </w:abstractNum>
  <w:abstractNum w:abstractNumId="273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420" w:left="42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420" w:left="84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420" w:left="1260"/>
      </w:pPr>
    </w:lvl>
    <w:lvl w:ilvl="3">
      <w:start w:val="1"/>
      <w:numFmt w:val="decimal"/>
      <w:isLgl w:val="false"/>
      <w:suff w:val="tab"/>
      <w:lvlText w:val="%4."/>
      <w:lvlJc w:val="left"/>
      <w:pPr>
        <w:ind w:hanging="420" w:left="168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420" w:left="210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420" w:left="2520"/>
      </w:pPr>
    </w:lvl>
    <w:lvl w:ilvl="6">
      <w:start w:val="1"/>
      <w:numFmt w:val="decimal"/>
      <w:isLgl w:val="false"/>
      <w:suff w:val="tab"/>
      <w:lvlText w:val="%7."/>
      <w:lvlJc w:val="left"/>
      <w:pPr>
        <w:ind w:hanging="420" w:left="294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20" w:left="336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420" w:left="3780"/>
      </w:pPr>
    </w:lvl>
  </w:abstractNum>
  <w:abstractNum w:abstractNumId="279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420" w:left="42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420" w:left="84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420" w:left="1260"/>
      </w:pPr>
    </w:lvl>
    <w:lvl w:ilvl="3">
      <w:start w:val="1"/>
      <w:numFmt w:val="decimal"/>
      <w:isLgl w:val="false"/>
      <w:suff w:val="tab"/>
      <w:lvlText w:val="%4."/>
      <w:lvlJc w:val="left"/>
      <w:pPr>
        <w:ind w:hanging="420" w:left="168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420" w:left="210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420" w:left="2520"/>
      </w:pPr>
    </w:lvl>
    <w:lvl w:ilvl="6">
      <w:start w:val="1"/>
      <w:numFmt w:val="decimal"/>
      <w:isLgl w:val="false"/>
      <w:suff w:val="tab"/>
      <w:lvlText w:val="%7."/>
      <w:lvlJc w:val="left"/>
      <w:pPr>
        <w:ind w:hanging="420" w:left="294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20" w:left="336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420" w:left="3780"/>
      </w:pPr>
    </w:lvl>
  </w:abstractNum>
  <w:abstractNum w:abstractNumId="2846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420" w:left="42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420" w:left="84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420" w:left="1260"/>
      </w:pPr>
    </w:lvl>
    <w:lvl w:ilvl="3">
      <w:start w:val="1"/>
      <w:numFmt w:val="decimal"/>
      <w:isLgl w:val="false"/>
      <w:suff w:val="tab"/>
      <w:lvlText w:val="%4."/>
      <w:lvlJc w:val="left"/>
      <w:pPr>
        <w:ind w:hanging="420" w:left="168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420" w:left="210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420" w:left="2520"/>
      </w:pPr>
    </w:lvl>
    <w:lvl w:ilvl="6">
      <w:start w:val="1"/>
      <w:numFmt w:val="decimal"/>
      <w:isLgl w:val="false"/>
      <w:suff w:val="tab"/>
      <w:lvlText w:val="%7."/>
      <w:lvlJc w:val="left"/>
      <w:pPr>
        <w:ind w:hanging="420" w:left="294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20" w:left="336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420" w:left="3780"/>
      </w:pPr>
    </w:lvl>
  </w:abstractNum>
  <w:abstractNum w:abstractNumId="4946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420" w:left="42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420" w:left="84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420" w:left="1260"/>
      </w:pPr>
    </w:lvl>
    <w:lvl w:ilvl="3">
      <w:start w:val="1"/>
      <w:numFmt w:val="decimal"/>
      <w:isLgl w:val="false"/>
      <w:suff w:val="tab"/>
      <w:lvlText w:val="%4."/>
      <w:lvlJc w:val="left"/>
      <w:pPr>
        <w:ind w:hanging="420" w:left="168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420" w:left="210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420" w:left="2520"/>
      </w:pPr>
    </w:lvl>
    <w:lvl w:ilvl="6">
      <w:start w:val="1"/>
      <w:numFmt w:val="decimal"/>
      <w:isLgl w:val="false"/>
      <w:suff w:val="tab"/>
      <w:lvlText w:val="%7."/>
      <w:lvlJc w:val="left"/>
      <w:pPr>
        <w:ind w:hanging="420" w:left="294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20" w:left="336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420" w:left="3780"/>
      </w:pPr>
    </w:lvl>
  </w:abstractNum>
  <w:num w:numId="265">
    <w:abstractNumId w:val="264"/>
  </w:num>
  <w:num w:numId="274">
    <w:abstractNumId w:val="273"/>
  </w:num>
  <w:num w:numId="280">
    <w:abstractNumId w:val="279"/>
  </w:num>
  <w:num w:numId="2847">
    <w:abstractNumId w:val="2846"/>
  </w:num>
  <w:num w:numId="4947">
    <w:abstractNumId w:val="4946"/>
  </w:num>
</w:numbering>
</file>

<file path=word/settings.xml><?xml version="1.0" encoding="utf-8"?>
<w:settings xmlns:w="http://schemas.openxmlformats.org/wordprocessingml/2006/main" xmlns:m="http://schemas.openxmlformats.org/officeDocument/2006/math">
  <w:defaultTabStop w:val="420"/>
  <w:drawingGridVerticalSpacing w:val="156"/>
  <w:displayHorizontalDrawingGridEvery w:val="0"/>
  <w:displayVerticalDrawingGridEvery w:val="2"/>
  <w:characterSpacingControl w:val="compressPunctuation"/>
  <w:compat>
    <w:spaceForUL w:val="true"/>
    <w:balanceSingleByteDoubleByteWidth w:val="true"/>
    <w:doNotLeaveBackslashAlone w:val="true"/>
    <w:ulTrailSpace w:val="true"/>
    <w:doNotExpandShiftReturn w:val="true"/>
    <w:adjustLineHeightInTabl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b w:val="false"/>
        <w:color w:val="auto"/>
        <w:dstrike w:val="false"/>
        <w:i w:val="false"/>
        <w:lang w:val="en-US" w:bidi="en-US"/>
        <w:rFonts w:ascii="Times New Roman" w:hAnsi="Times New Roman" w:eastAsia="宋体" w:cs="Times New Roman"/>
        <w:rtl w:val="false"/>
        <w:spacing w:val="0"/>
        <w:strike w:val="false"/>
        <w:sz w:val="21"/>
        <w:szCs w:val="21"/>
        <w:u w:val="none"/>
        <w:vertAlign w:val="baseline"/>
        <w:w w:val="100"/>
      </w:rPr>
    </w:rPrDefault>
    <w:pPrDefault>
      <w:pPr>
        <w:autoSpaceDE w:val="true"/>
        <w:autoSpaceDN w:val="true"/>
        <w:ind w:firstLine="0" w:left="0" w:right="0"/>
        <w:jc w:val="left"/>
        <w:keepLines w:val="false"/>
        <w:keepNext w:val="false"/>
        <w:kinsoku w:val="true"/>
        <w:overflowPunct w:val="true"/>
        <w:pageBreakBefore w:val="false"/>
        <w:pBdr>
          <w:between w:val="nil" w:color="000000" w:sz="4" w:space="0"/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nil"/>
        <w:snapToGrid w:val="true"/>
        <w:spacing w:after="0" w:afterAutospacing="false" w:before="0" w:beforeAutospacing="false" w:line="240" w:lineRule="auto"/>
        <w:topLinePunct w:val="false"/>
        <w:widowControl w:val="true"/>
        <w:wordWrap w:val="true"/>
      </w:pPr>
    </w:pPrDefault>
  </w:docDefaults>
  <w:style w:type="paragraph" w:styleId="a" w:default="true">
    <w:name w:val="Normal"/>
    <w:qFormat w:val="true"/>
    <w:pPr>
      <w:jc w:val="both"/>
      <w:widowControl w:val="false"/>
    </w:pPr>
    <w:rPr>
      <w:kern w:val="2"/>
      <w:sz w:val="21"/>
    </w:rPr>
  </w:style>
  <w:style w:type="character" w:styleId="a0" w:default="true">
    <w:name w:val="Default Paragraph Font"/>
    <w:uiPriority w:val="1"/>
  </w:style>
  <w:style w:type="table" w:styleId="a1" w:default="true">
    <w:name w:val="Normal Table"/>
    <w:uiPriority w:val="99"/>
    <w:tblPr>
      <w:tblInd w:w="0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</w:style>
  <w:style w:type="paragraph" w:styleId="a3">
    <w:name w:val="Body Text"/>
    <w:basedOn w:val="a"/>
    <w:pPr>
      <w:spacing w:after="120" w:afterAutospacing="false" w:beforeAutospacing="false"/>
    </w:pPr>
  </w:style>
  <w:style w:type="paragraph" w:styleId="a4">
    <w:name w:val="Body Text First Indent"/>
    <w:basedOn w:val="a3"/>
    <w:pPr>
      <w:ind w:firstLine="420" w:firstLineChars="100"/>
    </w:pPr>
  </w:style>
  <w:style w:type="table" w:styleId="a5">
    <w:name w:val="Table Grid"/>
    <w:basedOn w:val="a1"/>
    <w:pPr>
      <w:jc w:val="both"/>
      <w:widowControl w:val="fals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Header"/>
    <w:basedOn w:val="a"/>
    <w:link w:val="Char"/>
    <w:pPr>
      <w:jc w:val="center"/>
      <w:pBdr>
        <w:bottom w:val="single" w:color="auto" w:sz="6" w:space="1"/>
      </w:pBdr>
      <w:snapToGrid w:val="false"/>
      <w:tabs>
        <w:tab w:val="center" w:pos="4153"/>
        <w:tab w:val="right" w:pos="8306"/>
      </w:tabs>
    </w:pPr>
    <w:rPr>
      <w:sz w:val="18"/>
      <w:szCs w:val="18"/>
    </w:rPr>
  </w:style>
  <w:style w:type="character" w:styleId="Char">
    <w:name w:val="页眉 Char"/>
    <w:link w:val="a6"/>
    <w:rPr>
      <w:kern w:val="2"/>
      <w:sz w:val="18"/>
      <w:szCs w:val="18"/>
    </w:rPr>
  </w:style>
  <w:style w:type="paragraph" w:styleId="a7">
    <w:name w:val="Footer"/>
    <w:basedOn w:val="a"/>
    <w:link w:val="Char0"/>
    <w:pPr>
      <w:jc w:val="left"/>
      <w:snapToGrid w:val="false"/>
      <w:tabs>
        <w:tab w:val="center" w:pos="4153"/>
        <w:tab w:val="right" w:pos="8306"/>
      </w:tabs>
    </w:pPr>
    <w:rPr>
      <w:sz w:val="18"/>
      <w:szCs w:val="18"/>
    </w:rPr>
  </w:style>
  <w:style w:type="character" w:styleId="Char0">
    <w:name w:val="页脚 Char"/>
    <w:link w:val="a7"/>
    <w:rPr>
      <w:kern w:val="2"/>
      <w:sz w:val="18"/>
      <w:szCs w:val="18"/>
    </w:rPr>
  </w:style>
  <w:style w:type="paragraph" w:styleId="a8">
    <w:name w:val="List Paragraph"/>
    <w:basedOn w:val="a"/>
    <w:uiPriority w:val="34"/>
    <w:qFormat w:val="true"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Mode="Internal" Target="theme/theme1.xml"/><Relationship Id="rId5" Type="http://schemas.openxmlformats.org/officeDocument/2006/relationships/footnotes" TargetMode="Internal" Target="footnotes.xml"/><Relationship Id="rId4" Type="http://schemas.openxmlformats.org/officeDocument/2006/relationships/endnotes" TargetMode="Internal" Target="endnotes.xml"/><Relationship Id="rId6" Type="http://schemas.openxmlformats.org/officeDocument/2006/relationships/numbering" TargetMode="Internal" Target="numbering.xml"/><Relationship Id="rId2" Type="http://schemas.openxmlformats.org/officeDocument/2006/relationships/settings" TargetMode="Internal" Target="settings.xml"/><Relationship Id="rId3" Type="http://schemas.openxmlformats.org/officeDocument/2006/relationships/styles" TargetMode="Internal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</a:theme>
</file>