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654608B3"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30117D">
        <w:rPr>
          <w:lang w:val="en-US"/>
        </w:rPr>
        <w:t>3</w:t>
      </w:r>
      <w:r w:rsidR="00F7497E" w:rsidRPr="00E53726">
        <w:rPr>
          <w:lang w:val="en-US"/>
        </w:rPr>
        <w:noBreakHyphen/>
      </w:r>
      <w:r w:rsidR="003B5B04">
        <w:rPr>
          <w:lang w:val="en-US"/>
        </w:rPr>
        <w:t>09</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F231B4">
        <w:rPr>
          <w:lang w:val="en-US"/>
        </w:rPr>
        <w:t>8</w:t>
      </w:r>
      <w:r w:rsidR="00892FF3" w:rsidRPr="00E53726">
        <w:rPr>
          <w:lang w:val="en-US"/>
        </w:rPr>
        <w:t>.</w:t>
      </w:r>
      <w:r w:rsidR="00F231B4">
        <w:rPr>
          <w:lang w:val="en-US"/>
        </w:rPr>
        <w:t>0</w:t>
      </w:r>
      <w:r w:rsidR="00892FF3" w:rsidRPr="00E53726">
        <w:rPr>
          <w:lang w:val="en-US"/>
        </w:rPr>
        <w:t>)</w:t>
      </w:r>
      <w:r w:rsidR="00406349">
        <w:rPr>
          <w:lang w:val="en-US"/>
        </w:rPr>
        <w:t xml:space="preserv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r w:rsidR="00406349" w:rsidRPr="00406349">
          <w:rPr>
            <w:rStyle w:val="Hiperhivatkozs"/>
            <w:lang w:val="en-US"/>
          </w:rPr>
          <w:t>PlantUML</w:t>
        </w:r>
      </w:hyperlink>
      <w:r w:rsidR="00406349">
        <w:rPr>
          <w:lang w:val="en-US"/>
        </w:rPr>
        <w:t xml:space="preserve"> (version </w:t>
      </w:r>
      <w:r w:rsidR="00406349" w:rsidRPr="0087775E">
        <w:rPr>
          <w:lang w:val="en-US"/>
        </w:rPr>
        <w:t>1.1.</w:t>
      </w:r>
      <w:r w:rsidR="00F231B4">
        <w:rPr>
          <w:lang w:val="en-US"/>
        </w:rPr>
        <w:t>30</w:t>
      </w:r>
      <w:r w:rsidR="00406349">
        <w:rPr>
          <w:lang w:val="en-US"/>
        </w:rPr>
        <w:t>)</w:t>
      </w:r>
      <w:r w:rsidR="006D24AB">
        <w:rPr>
          <w:lang w:val="en-US"/>
        </w:rPr>
        <w:t>;</w:t>
      </w:r>
      <w:r w:rsidR="0030117D">
        <w:rPr>
          <w:lang w:val="en-US"/>
        </w:rPr>
        <w:t xml:space="preserve"> click </w:t>
      </w:r>
      <w:hyperlink r:id="rId12" w:history="1">
        <w:r w:rsidR="0030117D" w:rsidRPr="0030117D">
          <w:rPr>
            <w:rStyle w:val="Hiperhivatkozs"/>
            <w:lang w:val="en-US"/>
          </w:rPr>
          <w:t>here</w:t>
        </w:r>
      </w:hyperlink>
      <w:r w:rsidR="0030117D">
        <w:rPr>
          <w:lang w:val="en-US"/>
        </w:rPr>
        <w:t xml:space="preserve"> for details on how to do this</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r w:rsidRPr="00E53726">
        <w:rPr>
          <w:i/>
          <w:lang w:val="en-US"/>
        </w:rPr>
        <w:t>dropins</w:t>
      </w:r>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r w:rsidR="00F4005B" w:rsidRPr="00E53726">
        <w:rPr>
          <w:i/>
          <w:lang w:val="en-US"/>
        </w:rPr>
        <w:t>dropins</w:t>
      </w:r>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r w:rsidR="00081589" w:rsidRPr="00E53726">
        <w:rPr>
          <w:i/>
          <w:lang w:val="en-US"/>
        </w:rPr>
        <w:t>hu.bme.mit.gamma</w:t>
      </w:r>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3B5B04"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78pt">
            <v:imagedata r:id="rId13"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4" w:history="1">
        <w:r w:rsidRPr="00E53726">
          <w:rPr>
            <w:rStyle w:val="Hiperhivatkozs"/>
            <w:lang w:val="en-US"/>
          </w:rPr>
          <w:t>UPPAAL</w:t>
        </w:r>
      </w:hyperlink>
      <w:r w:rsidRPr="00E53726">
        <w:rPr>
          <w:lang w:val="en-US"/>
        </w:rPr>
        <w:t xml:space="preserve">. In order to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a number of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/model/TrafficLight/TrafficLightCtrl.sct</w:t>
      </w:r>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/model/Controller/Controller.sct</w:t>
      </w:r>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r w:rsidRPr="00E53726">
        <w:rPr>
          <w:i/>
          <w:lang w:val="en-US"/>
        </w:rPr>
        <w:t>Red</w:t>
      </w:r>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r w:rsidRPr="00E53726">
        <w:rPr>
          <w:i/>
          <w:lang w:val="en-US"/>
        </w:rPr>
        <w:t>LightCommands</w:t>
      </w:r>
      <w:r w:rsidRPr="00E53726">
        <w:rPr>
          <w:lang w:val="en-US"/>
        </w:rPr>
        <w:t xml:space="preserve"> interface) and coordinating the flow of traffic.</w:t>
      </w:r>
    </w:p>
    <w:p w14:paraId="3B7F42B8" w14:textId="55F78406" w:rsidR="00081589" w:rsidRPr="00E53726" w:rsidRDefault="003B5B04" w:rsidP="00081589">
      <w:pPr>
        <w:jc w:val="center"/>
        <w:rPr>
          <w:lang w:val="en-US"/>
        </w:rPr>
      </w:pPr>
      <w:r>
        <w:rPr>
          <w:lang w:val="en-US"/>
        </w:rPr>
        <w:pict w14:anchorId="171E5B71">
          <v:shape id="_x0000_i1026" type="#_x0000_t75" style="width:240.6pt;height:321.1pt">
            <v:imagedata r:id="rId16"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/model/Monitor/Monitor.sct</w:t>
      </w:r>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/model/Crossroad.</w:t>
      </w:r>
      <w:r w:rsidR="00CB0A92" w:rsidRPr="00E53726">
        <w:rPr>
          <w:i/>
          <w:lang w:val="en-US"/>
        </w:rPr>
        <w:t xml:space="preserve">gcd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r w:rsidR="001961C7" w:rsidRPr="00E53726">
        <w:rPr>
          <w:i/>
          <w:lang w:val="en-US"/>
        </w:rPr>
        <w:t>CrossroadComponent</w:t>
      </w:r>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r w:rsidR="00D13864" w:rsidRPr="00E53726">
        <w:rPr>
          <w:i/>
          <w:sz w:val="21"/>
          <w:szCs w:val="21"/>
          <w:lang w:val="en-US"/>
        </w:rPr>
        <w:t>componentID : ComponentType</w:t>
      </w:r>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r w:rsidR="00D13864" w:rsidRPr="00E53726">
        <w:rPr>
          <w:i/>
          <w:sz w:val="21"/>
          <w:szCs w:val="21"/>
          <w:lang w:val="en-US"/>
        </w:rPr>
        <w:t>systemPortID -&gt; componentID.componentPortID</w:t>
      </w:r>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[componentID.componentPortID] -o)- [componentID.componentPortID]</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4D027605" w:rsidR="00AE78F9" w:rsidRPr="00E53726" w:rsidRDefault="00AE78F9" w:rsidP="004575D5">
            <w:pPr>
              <w:pStyle w:val="Cmsor2"/>
              <w:spacing w:before="0"/>
              <w:jc w:val="left"/>
              <w:rPr>
                <w:lang w:val="en-US"/>
              </w:rPr>
            </w:pPr>
            <w:r w:rsidRPr="00E53726">
              <w:rPr>
                <w:lang w:val="en-US"/>
              </w:rPr>
              <w:t>Composition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It is also important to note that Gamma considers the pieces of information passed through channels as signals (or events). In contrast to messages, these signals are synchronous, not queued, not buffered, they have to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connections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have to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r w:rsidR="00383B58" w:rsidRPr="00E53726">
        <w:rPr>
          <w:i/>
          <w:lang w:val="en-US"/>
        </w:rPr>
        <w:t>Interfaces</w:t>
      </w:r>
      <w:r w:rsidRPr="00E53726">
        <w:rPr>
          <w:i/>
          <w:lang w:val="en-US"/>
        </w:rPr>
        <w:t>.sct</w:t>
      </w:r>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.ggen</w:t>
      </w:r>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/Controller.ggen</w:t>
      </w:r>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have to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.ggen</w:t>
      </w:r>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the </w:t>
      </w:r>
      <w:r w:rsidRPr="00E53726">
        <w:rPr>
          <w:i/>
          <w:lang w:val="en-US"/>
        </w:rPr>
        <w:t>.</w:t>
      </w:r>
      <w:r w:rsidR="00AA5C6C" w:rsidRPr="00E53726">
        <w:rPr>
          <w:i/>
          <w:lang w:val="en-US"/>
        </w:rPr>
        <w:t>g</w:t>
      </w:r>
      <w:r w:rsidR="00EA1AF1" w:rsidRPr="00E53726">
        <w:rPr>
          <w:i/>
          <w:lang w:val="en-US"/>
        </w:rPr>
        <w:t xml:space="preserve">cd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r w:rsidRPr="00E53726">
        <w:rPr>
          <w:i/>
          <w:lang w:val="en-US"/>
        </w:rPr>
        <w:t>CrossroadComponent</w:t>
      </w:r>
      <w:r w:rsidRPr="00E53726">
        <w:rPr>
          <w:lang w:val="en-US"/>
        </w:rPr>
        <w:t xml:space="preserve"> model in file </w:t>
      </w:r>
      <w:r w:rsidRPr="00E53726">
        <w:rPr>
          <w:i/>
          <w:lang w:val="en-US"/>
        </w:rPr>
        <w:t>Crossroad.gcd</w:t>
      </w:r>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Default="00A65606" w:rsidP="005E1521">
      <w:pPr>
        <w:rPr>
          <w:lang w:val="en-US"/>
        </w:rPr>
      </w:pPr>
      <w:r w:rsidRPr="00E53726">
        <w:rPr>
          <w:lang w:val="en-US"/>
        </w:rPr>
        <w:t>The project already contains the Yakindu generator models (</w:t>
      </w:r>
      <w:r w:rsidRPr="00E53726">
        <w:rPr>
          <w:i/>
          <w:lang w:val="en-US"/>
        </w:rPr>
        <w:t>.sgen</w:t>
      </w:r>
      <w:r w:rsidRPr="00E53726">
        <w:rPr>
          <w:lang w:val="en-US"/>
        </w:rPr>
        <w:t xml:space="preserve">) necessary to generate code from Yakindu statecharts. Editing and saving the statecharts will automatically regenerate the code, but we can also invoke code generation by right-clicking the </w:t>
      </w:r>
      <w:r w:rsidRPr="00E53726">
        <w:rPr>
          <w:i/>
          <w:lang w:val="en-US"/>
        </w:rPr>
        <w:t>.sgen</w:t>
      </w:r>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1DB93729" w14:textId="77777777" w:rsidR="002C0CF9" w:rsidRDefault="002C0CF9" w:rsidP="002C0CF9">
      <w:pPr>
        <w:jc w:val="center"/>
        <w:rPr>
          <w:lang w:val="en-US"/>
        </w:rPr>
      </w:pPr>
    </w:p>
    <w:p w14:paraId="5D85CD17" w14:textId="77777777" w:rsidR="002C0CF9" w:rsidRDefault="002C0CF9" w:rsidP="002C0CF9">
      <w:pPr>
        <w:jc w:val="center"/>
        <w:rPr>
          <w:lang w:val="en-US"/>
        </w:rPr>
      </w:pPr>
    </w:p>
    <w:p w14:paraId="4C38DBC4" w14:textId="77777777" w:rsidR="002C0CF9" w:rsidRDefault="002C0CF9" w:rsidP="002C0CF9">
      <w:pPr>
        <w:jc w:val="center"/>
        <w:rPr>
          <w:lang w:val="en-US"/>
        </w:rPr>
      </w:pPr>
      <w:r>
        <w:rPr>
          <w:noProof/>
          <w:lang w:val="en-US"/>
        </w:rPr>
        <w:drawing>
          <wp:inline distT="0" distB="0" distL="0" distR="0" wp14:anchorId="0A25AB67" wp14:editId="16E72CB2">
            <wp:extent cx="3939540" cy="1259943"/>
            <wp:effectExtent l="0" t="0" r="3810" b="0"/>
            <wp:docPr id="25315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97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9540" cy="1259943"/>
                    </a:xfrm>
                    <a:prstGeom prst="rect">
                      <a:avLst/>
                    </a:prstGeom>
                  </pic:spPr>
                </pic:pic>
              </a:graphicData>
            </a:graphic>
          </wp:inline>
        </w:drawing>
      </w:r>
    </w:p>
    <w:p w14:paraId="41C97031" w14:textId="3DAA6030" w:rsidR="002C0CF9" w:rsidRDefault="002C0CF9" w:rsidP="002C0CF9">
      <w:pPr>
        <w:rPr>
          <w:lang w:val="en-US"/>
        </w:rPr>
      </w:pPr>
      <w:r w:rsidRPr="002C0CF9">
        <w:rPr>
          <w:lang w:val="en-US"/>
        </w:rPr>
        <w:t xml:space="preserve">You can also generate the implementation of the statechart by right-clicking on the </w:t>
      </w:r>
      <w:r w:rsidRPr="002C0CF9">
        <w:rPr>
          <w:i/>
          <w:iCs/>
          <w:lang w:val="en-US"/>
        </w:rPr>
        <w:t>.gcd</w:t>
      </w:r>
      <w:r w:rsidRPr="002C0CF9">
        <w:rPr>
          <w:lang w:val="en-US"/>
        </w:rPr>
        <w:t xml:space="preserve"> files of the compiled statecharts and selecting </w:t>
      </w:r>
      <w:r w:rsidRPr="002C0CF9">
        <w:rPr>
          <w:i/>
          <w:iCs/>
          <w:lang w:val="en-US"/>
        </w:rPr>
        <w:t>Gamma Commands &gt; Generate Statechart Java Code</w:t>
      </w:r>
      <w:r w:rsidRPr="002C0CF9">
        <w:rPr>
          <w:lang w:val="en-US"/>
        </w:rPr>
        <w:t>.</w:t>
      </w:r>
    </w:p>
    <w:p w14:paraId="1A124E03" w14:textId="32C87066" w:rsidR="002C0CF9" w:rsidRPr="00E53726" w:rsidRDefault="002C0CF9" w:rsidP="002C0CF9">
      <w:pPr>
        <w:jc w:val="center"/>
        <w:rPr>
          <w:lang w:val="en-US"/>
        </w:rPr>
      </w:pPr>
    </w:p>
    <w:p w14:paraId="6C382C71" w14:textId="2A68D566" w:rsidR="00B625E7" w:rsidRPr="00E53726" w:rsidRDefault="00B625E7" w:rsidP="005E1521">
      <w:pPr>
        <w:jc w:val="center"/>
        <w:rPr>
          <w:i/>
          <w:lang w:val="en-US"/>
        </w:rPr>
      </w:pPr>
      <w:r w:rsidRPr="00E53726">
        <w:rPr>
          <w:i/>
          <w:noProof/>
          <w:lang w:val="en-US"/>
        </w:rPr>
        <w:drawing>
          <wp:inline distT="0" distB="0" distL="0" distR="0" wp14:anchorId="12CF7FED" wp14:editId="565D22C7">
            <wp:extent cx="5378621" cy="131381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21">
                      <a:extLst>
                        <a:ext uri="{28A0092B-C50C-407E-A947-70E740481C1C}">
                          <a14:useLocalDpi xmlns:a14="http://schemas.microsoft.com/office/drawing/2010/main" val="0"/>
                        </a:ext>
                      </a:extLst>
                    </a:blip>
                    <a:stretch>
                      <a:fillRect/>
                    </a:stretch>
                  </pic:blipFill>
                  <pic:spPr>
                    <a:xfrm>
                      <a:off x="0" y="0"/>
                      <a:ext cx="5378621"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After building the workspace, the last errors should vanish and the implementation of the crossroad should be in</w:t>
      </w:r>
      <w:r w:rsidR="00EA1AF1" w:rsidRPr="00E53726">
        <w:rPr>
          <w:lang w:val="en-US"/>
        </w:rPr>
        <w:t xml:space="preserve"> the</w:t>
      </w:r>
      <w:r w:rsidRPr="00E53726">
        <w:rPr>
          <w:lang w:val="en-US"/>
        </w:rPr>
        <w:t xml:space="preserve"> </w:t>
      </w:r>
      <w:r w:rsidRPr="00E53726">
        <w:rPr>
          <w:i/>
          <w:lang w:val="en-US"/>
        </w:rPr>
        <w:t>/src-gen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test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r w:rsidRPr="00E53726">
        <w:rPr>
          <w:i/>
          <w:lang w:val="en-US"/>
        </w:rPr>
        <w:t>CommandListener</w:t>
      </w:r>
      <w:r w:rsidRPr="00E53726">
        <w:rPr>
          <w:lang w:val="en-US"/>
        </w:rPr>
        <w:t xml:space="preserve">) which implements a version of the </w:t>
      </w:r>
      <w:r w:rsidRPr="00E53726">
        <w:rPr>
          <w:i/>
          <w:lang w:val="en-US"/>
        </w:rPr>
        <w:t>LightCommands</w:t>
      </w:r>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r w:rsidRPr="00E53726">
        <w:rPr>
          <w:i/>
          <w:lang w:val="en-US"/>
        </w:rPr>
        <w:t>hu.bme.mit.gamma.impl.interfaces.LightCommandsInterface.Listener.Provided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r w:rsidRPr="00E53726">
        <w:rPr>
          <w:i/>
          <w:lang w:val="en-US"/>
        </w:rPr>
        <w:t>LightCommands</w:t>
      </w:r>
      <w:r w:rsidRPr="00E53726">
        <w:rPr>
          <w:lang w:val="en-US"/>
        </w:rPr>
        <w:t xml:space="preserve"> interface in </w:t>
      </w:r>
      <w:r w:rsidRPr="00E53726">
        <w:rPr>
          <w:i/>
          <w:lang w:val="en-US"/>
        </w:rPr>
        <w:t>provided</w:t>
      </w:r>
      <w:r w:rsidRPr="00E53726">
        <w:rPr>
          <w:lang w:val="en-US"/>
        </w:rPr>
        <w:t xml:space="preserve"> mode. Other Java interfaces related to the </w:t>
      </w:r>
      <w:r w:rsidRPr="00E53726">
        <w:rPr>
          <w:i/>
          <w:lang w:val="en-US"/>
        </w:rPr>
        <w:t xml:space="preserve">LightCommands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r w:rsidRPr="00E53726">
        <w:rPr>
          <w:i/>
          <w:lang w:val="en-US"/>
        </w:rPr>
        <w:t>LightCommandsInterface.Listener.Required</w:t>
      </w:r>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r w:rsidRPr="00E53726">
        <w:rPr>
          <w:i/>
          <w:lang w:val="en-US"/>
        </w:rPr>
        <w:t>LightCommandsInterface.Provided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r w:rsidRPr="00E53726">
        <w:rPr>
          <w:i/>
          <w:lang w:val="en-US"/>
        </w:rPr>
        <w:t>LightCommandsInterface.Required</w:t>
      </w:r>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r w:rsidRPr="00E53726">
        <w:rPr>
          <w:i/>
          <w:lang w:val="en-US"/>
        </w:rPr>
        <w:t>CommandListener</w:t>
      </w:r>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lastRenderedPageBreak/>
        <w:t>The file also contains an initializer method (</w:t>
      </w:r>
      <w:r w:rsidRPr="00E53726">
        <w:rPr>
          <w:i/>
          <w:lang w:val="en-US"/>
        </w:rPr>
        <w:t>init</w:t>
      </w:r>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r w:rsidRPr="00E53726">
        <w:rPr>
          <w:i/>
          <w:lang w:val="en-US"/>
        </w:rPr>
        <w:t>greenAtStart</w:t>
      </w:r>
      <w:r w:rsidRPr="00E53726">
        <w:rPr>
          <w:lang w:val="en-US"/>
        </w:rPr>
        <w:t xml:space="preserve">) checks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r w:rsidRPr="00E53726">
        <w:rPr>
          <w:i/>
          <w:lang w:val="en-US"/>
        </w:rPr>
        <w:t>displayRed</w:t>
      </w:r>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r w:rsidRPr="00E53726">
        <w:rPr>
          <w:i/>
          <w:lang w:val="en-US"/>
        </w:rPr>
        <w:t>displayGreen</w:t>
      </w:r>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r w:rsidRPr="00E53726">
        <w:rPr>
          <w:i/>
          <w:lang w:val="en-US"/>
        </w:rPr>
        <w:t>runCycle()</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t xml:space="preserve">The second test case is somewhat more complex and demonstrates the timed behavior of the implementation. Notice that we call the </w:t>
      </w:r>
      <w:r w:rsidR="00750C2A" w:rsidRPr="00E53726">
        <w:rPr>
          <w:i/>
          <w:lang w:val="en-US"/>
        </w:rPr>
        <w:t>reset</w:t>
      </w:r>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right-clicking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have to start by generating the formal model that will be the input of UPPAAL. To do this, right-click on </w:t>
      </w:r>
      <w:r w:rsidRPr="00E53726">
        <w:rPr>
          <w:i/>
          <w:lang w:val="en-US"/>
        </w:rPr>
        <w:t>/model/Crossroad.</w:t>
      </w:r>
      <w:r w:rsidR="0056509F"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r w:rsidRPr="00E53726">
        <w:rPr>
          <w:i/>
          <w:lang w:val="en-US"/>
        </w:rPr>
        <w:t>Crossroad.q</w:t>
      </w:r>
      <w:r w:rsidRPr="00E53726">
        <w:rPr>
          <w:lang w:val="en-US"/>
        </w:rPr>
        <w:t xml:space="preserve">, which contains a number of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2">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 xml:space="preserve">Model checking of requirements, on the other hand, is an automatic formal verification technique used to exhaustively analyze the possible behaviors of a system and see if a desired behavior is possible to </w:t>
      </w:r>
      <w:r w:rsidRPr="00E53726">
        <w:rPr>
          <w:lang w:val="en-US"/>
        </w:rPr>
        <w:lastRenderedPageBreak/>
        <w:t>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/model/Crossroad.</w:t>
      </w:r>
      <w:r w:rsidR="000B5341" w:rsidRPr="00E53726">
        <w:rPr>
          <w:i/>
          <w:lang w:val="en-US"/>
        </w:rPr>
        <w:t>gcd</w:t>
      </w:r>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something from the drop-down to insert it at the end of the textbox that last had focus. Note that the textboxes are editable, and the user has to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After clicking the verify button, UPPAAL returns with the result that our model fails to satisfy the requirement, meaning that there is actually a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lastRenderedPageBreak/>
        <w:t>Analyzing the Counterexample</w:t>
      </w:r>
    </w:p>
    <w:p w14:paraId="3DCEB1BE" w14:textId="48DD129F" w:rsidR="003E6BCC" w:rsidRPr="00E53726" w:rsidRDefault="00CB0784" w:rsidP="005E1521">
      <w:pPr>
        <w:spacing w:after="120"/>
        <w:rPr>
          <w:lang w:val="en-US"/>
        </w:rPr>
      </w:pPr>
      <w:r w:rsidRPr="00E53726">
        <w:rPr>
          <w:lang w:val="en-US"/>
        </w:rPr>
        <w:t>The counterexample returned by UPPAAL is not human-readable, and also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r w:rsidRPr="00E53726">
        <w:rPr>
          <w:i/>
          <w:lang w:val="en-US"/>
        </w:rPr>
        <w:t xml:space="preserve">componentId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particular </w:t>
      </w:r>
      <w:r w:rsidR="0007427A" w:rsidRPr="00E53726">
        <w:rPr>
          <w:lang w:val="en-US"/>
        </w:rPr>
        <w:t xml:space="preserve">cycle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r w:rsidRPr="00E53726">
        <w:rPr>
          <w:i/>
          <w:lang w:val="en-US"/>
        </w:rPr>
        <w:t>Green</w:t>
      </w:r>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r w:rsidRPr="00E53726">
        <w:rPr>
          <w:i/>
          <w:lang w:val="en-US"/>
        </w:rPr>
        <w:t>Yellow</w:t>
      </w:r>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but in reality, the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r w:rsidR="004A184A" w:rsidRPr="00E53726">
        <w:rPr>
          <w:i/>
          <w:lang w:val="en-US"/>
        </w:rPr>
        <w:t>elapse()</w:t>
      </w:r>
      <w:r w:rsidR="004A184A" w:rsidRPr="00E53726">
        <w:rPr>
          <w:lang w:val="en-US"/>
        </w:rPr>
        <w:t xml:space="preserve"> method with any amount of time</w:t>
      </w:r>
      <w:r w:rsidR="00120A60" w:rsidRPr="00E53726">
        <w:rPr>
          <w:lang w:val="en-US"/>
        </w:rPr>
        <w:t xml:space="preserve">. This is </w:t>
      </w:r>
      <w:r w:rsidR="00120A60" w:rsidRPr="00E53726">
        <w:rPr>
          <w:lang w:val="en-US"/>
        </w:rPr>
        <w:lastRenderedPageBreak/>
        <w:t>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really present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5"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/model/Controller/Controller.sc</w:t>
      </w:r>
      <w:r w:rsidR="008375A4">
        <w:rPr>
          <w:i/>
          <w:lang w:val="en-US"/>
        </w:rPr>
        <w:t>t</w:t>
      </w:r>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As soon as you save your changes, the Yakindu code generator runs, but we still have to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/models/Controller/Controller.ggen</w:t>
      </w:r>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521C1E" w:rsidRPr="00E53726">
        <w:rPr>
          <w:i/>
          <w:lang w:val="en-US"/>
        </w:rPr>
        <w:t>gcd</w:t>
      </w:r>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/model/Crossroad.</w:t>
      </w:r>
      <w:r w:rsidR="00D5334D" w:rsidRPr="00E53726">
        <w:rPr>
          <w:i/>
          <w:lang w:val="en-US"/>
        </w:rPr>
        <w:t>gcd</w:t>
      </w:r>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/model/Monitor/Monitor.sct</w:t>
      </w:r>
      <w:r w:rsidRPr="00E53726">
        <w:rPr>
          <w:lang w:val="en-US"/>
        </w:rPr>
        <w:t xml:space="preserve">. The monitor checks the new requirement of not emitting two consecutive </w:t>
      </w:r>
      <w:r w:rsidRPr="00E53726">
        <w:rPr>
          <w:i/>
          <w:lang w:val="en-US"/>
        </w:rPr>
        <w:t>displayRed</w:t>
      </w:r>
      <w:r w:rsidRPr="00E53726">
        <w:rPr>
          <w:lang w:val="en-US"/>
        </w:rPr>
        <w:t xml:space="preserve"> or </w:t>
      </w:r>
      <w:r w:rsidRPr="00E53726">
        <w:rPr>
          <w:i/>
          <w:lang w:val="en-US"/>
        </w:rPr>
        <w:t>displayGreen</w:t>
      </w:r>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r w:rsidRPr="00E53726">
        <w:rPr>
          <w:i/>
          <w:lang w:val="en-US"/>
        </w:rPr>
        <w:t>Monitor.ggen</w:t>
      </w:r>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.ggen</w:t>
      </w:r>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/model/Crossroad.</w:t>
      </w:r>
      <w:r w:rsidR="00CB0A92" w:rsidRPr="00E53726">
        <w:rPr>
          <w:i/>
          <w:lang w:val="en-US"/>
        </w:rPr>
        <w:t>gcd</w:t>
      </w:r>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Advanced: Extend the Monitor component with an additional interface. The Monitor should send an error signal when it enters the error state. Do not forget to recompile the interfaces and also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(MonitoredCrossroad.</w:t>
      </w:r>
      <w:r w:rsidR="00CB0A92" w:rsidRPr="00E53726">
        <w:rPr>
          <w:i/>
          <w:lang w:val="en-US"/>
        </w:rPr>
        <w:t>gcd</w:t>
      </w:r>
      <w:r w:rsidR="00E326D5" w:rsidRPr="00E53726">
        <w:rPr>
          <w:i/>
          <w:lang w:val="en-US"/>
        </w:rPr>
        <w:t>) consisting of a CrossroadComponent (defined during the tutorial, without the Monitor) and a Monitor component attached to one of the traffic light outputs and its error port published as a system port. Generate the implementation and the formal model, then check if the Monitor can reach the error state, and also if the crossroad controller can reach the SecondaryPrepares state.</w:t>
      </w:r>
    </w:p>
    <w:sectPr w:rsidR="0013120A" w:rsidRPr="00E53726" w:rsidSect="0030117D">
      <w:headerReference w:type="default" r:id="rId27"/>
      <w:footerReference w:type="default" r:id="rId28"/>
      <w:footerReference w:type="first" r:id="rId2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6D8D" w14:textId="77777777" w:rsidR="00E9179A" w:rsidRDefault="00E9179A" w:rsidP="00C507EB">
      <w:pPr>
        <w:spacing w:after="0" w:line="240" w:lineRule="auto"/>
      </w:pPr>
      <w:r>
        <w:separator/>
      </w:r>
    </w:p>
  </w:endnote>
  <w:endnote w:type="continuationSeparator" w:id="0">
    <w:p w14:paraId="1E6F57BC" w14:textId="77777777" w:rsidR="00E9179A" w:rsidRDefault="00E9179A"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34F9752C"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61496D79"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44AA" w14:textId="77777777" w:rsidR="00E9179A" w:rsidRDefault="00E9179A" w:rsidP="00C507EB">
      <w:pPr>
        <w:spacing w:after="0" w:line="240" w:lineRule="auto"/>
      </w:pPr>
      <w:r>
        <w:separator/>
      </w:r>
    </w:p>
  </w:footnote>
  <w:footnote w:type="continuationSeparator" w:id="0">
    <w:p w14:paraId="31605AC1" w14:textId="77777777" w:rsidR="00E9179A" w:rsidRDefault="00E9179A"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2798D"/>
    <w:rsid w:val="002673BA"/>
    <w:rsid w:val="002742AB"/>
    <w:rsid w:val="0027793E"/>
    <w:rsid w:val="002801ED"/>
    <w:rsid w:val="0029066B"/>
    <w:rsid w:val="002972D9"/>
    <w:rsid w:val="002C0CF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B5B04"/>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61F7"/>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20CF2"/>
    <w:rsid w:val="00E326D5"/>
    <w:rsid w:val="00E53726"/>
    <w:rsid w:val="00E53E78"/>
    <w:rsid w:val="00E725AF"/>
    <w:rsid w:val="00E76CA9"/>
    <w:rsid w:val="00E77A29"/>
    <w:rsid w:val="00E8279D"/>
    <w:rsid w:val="00E9179A"/>
    <w:rsid w:val="00E97D2E"/>
    <w:rsid w:val="00EA1AF1"/>
    <w:rsid w:val="00EB23BF"/>
    <w:rsid w:val="00EF3D75"/>
    <w:rsid w:val="00F02920"/>
    <w:rsid w:val="00F04939"/>
    <w:rsid w:val="00F10CC5"/>
    <w:rsid w:val="00F231B4"/>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 w:id="1700427137">
      <w:bodyDiv w:val="1"/>
      <w:marLeft w:val="0"/>
      <w:marRight w:val="0"/>
      <w:marTop w:val="0"/>
      <w:marBottom w:val="0"/>
      <w:divBdr>
        <w:top w:val="none" w:sz="0" w:space="0" w:color="auto"/>
        <w:left w:val="none" w:sz="0" w:space="0" w:color="auto"/>
        <w:bottom w:val="none" w:sz="0" w:space="0" w:color="auto"/>
        <w:right w:val="none" w:sz="0" w:space="0" w:color="auto"/>
      </w:divBdr>
      <w:divsChild>
        <w:div w:id="945619210">
          <w:marLeft w:val="0"/>
          <w:marRight w:val="0"/>
          <w:marTop w:val="0"/>
          <w:marBottom w:val="0"/>
          <w:divBdr>
            <w:top w:val="none" w:sz="0" w:space="0" w:color="auto"/>
            <w:left w:val="none" w:sz="0" w:space="0" w:color="auto"/>
            <w:bottom w:val="none" w:sz="0" w:space="0" w:color="auto"/>
            <w:right w:val="none" w:sz="0" w:space="0" w:color="auto"/>
          </w:divBdr>
          <w:divsChild>
            <w:div w:id="1822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9/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3580</Words>
  <Characters>20410</Characters>
  <Application>Microsoft Office Word</Application>
  <DocSecurity>0</DocSecurity>
  <Lines>170</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Graics Bence</cp:lastModifiedBy>
  <cp:revision>134</cp:revision>
  <cp:lastPrinted>2023-03-31T18:03:00Z</cp:lastPrinted>
  <dcterms:created xsi:type="dcterms:W3CDTF">2017-09-12T00:07:00Z</dcterms:created>
  <dcterms:modified xsi:type="dcterms:W3CDTF">2023-12-11T17:05:00Z</dcterms:modified>
</cp:coreProperties>
</file>