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01F6" w:rsidRDefault="004A2A87">
      <w:pPr>
        <w:pStyle w:val="Titre1"/>
      </w:pPr>
      <w:r>
        <w:t>Note d'allocation des ressources humaines</w:t>
      </w:r>
    </w:p>
    <w:p w:rsidR="00CC01F6" w:rsidRDefault="00CC01F6"/>
    <w:p w:rsidR="00CC01F6" w:rsidRDefault="004A2A87">
      <w:pPr>
        <w:pStyle w:val="Titre2"/>
      </w:pPr>
      <w:r>
        <w:t>Composition de l'équipe</w:t>
      </w:r>
    </w:p>
    <w:p w:rsidR="00CC01F6" w:rsidRDefault="004A2A87">
      <w:r>
        <w:t>Le projet mobilise une équipe de 4 développeurs, chacun spécialisé selon les modules du logiciel :</w:t>
      </w:r>
    </w:p>
    <w:p w:rsidR="00CC01F6" w:rsidRDefault="00CC01F6"/>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300"/>
      </w:tblGrid>
      <w:tr w:rsidR="00CC01F6">
        <w:tc>
          <w:tcPr>
            <w:tcW w:w="2200" w:type="dxa"/>
            <w:shd w:val="clear" w:color="auto" w:fill="D9E2F3"/>
          </w:tcPr>
          <w:p w:rsidR="00CC01F6" w:rsidRDefault="004A2A87">
            <w:r>
              <w:rPr>
                <w:b/>
                <w:bCs/>
              </w:rPr>
              <w:t>Développeur</w:t>
            </w:r>
          </w:p>
        </w:tc>
        <w:tc>
          <w:tcPr>
            <w:tcW w:w="7300" w:type="dxa"/>
            <w:shd w:val="clear" w:color="auto" w:fill="D9E2F3"/>
          </w:tcPr>
          <w:p w:rsidR="00CC01F6" w:rsidRDefault="004A2A87">
            <w:r>
              <w:rPr>
                <w:b/>
                <w:bCs/>
              </w:rPr>
              <w:t>Spécialité</w:t>
            </w:r>
          </w:p>
        </w:tc>
      </w:tr>
      <w:tr w:rsidR="00CC01F6">
        <w:tc>
          <w:tcPr>
            <w:tcW w:w="2200" w:type="dxa"/>
          </w:tcPr>
          <w:p w:rsidR="00CC01F6" w:rsidRDefault="004A2A87">
            <w:r>
              <w:t>Dev A</w:t>
            </w:r>
          </w:p>
        </w:tc>
        <w:tc>
          <w:tcPr>
            <w:tcW w:w="7300" w:type="dxa"/>
          </w:tcPr>
          <w:p w:rsidR="00CC01F6" w:rsidRDefault="004A2A87">
            <w:r>
              <w:t>Analyste-concepteur : modélisation Merise, conception et implémentation de la base de données</w:t>
            </w:r>
          </w:p>
        </w:tc>
      </w:tr>
      <w:tr w:rsidR="00CC01F6">
        <w:tc>
          <w:tcPr>
            <w:tcW w:w="2200" w:type="dxa"/>
          </w:tcPr>
          <w:p w:rsidR="00CC01F6" w:rsidRDefault="004A2A87">
            <w:r>
              <w:t>Dev B</w:t>
            </w:r>
          </w:p>
        </w:tc>
        <w:tc>
          <w:tcPr>
            <w:tcW w:w="7300" w:type="dxa"/>
          </w:tcPr>
          <w:p w:rsidR="00CC01F6" w:rsidRDefault="004A2A87">
            <w:r>
              <w:t>Backend PHP/MySQL, spécialisé module Gestion RH</w:t>
            </w:r>
          </w:p>
        </w:tc>
      </w:tr>
      <w:tr w:rsidR="00CC01F6">
        <w:tc>
          <w:tcPr>
            <w:tcW w:w="2200" w:type="dxa"/>
          </w:tcPr>
          <w:p w:rsidR="00CC01F6" w:rsidRDefault="004A2A87">
            <w:r>
              <w:t>Dev C</w:t>
            </w:r>
          </w:p>
        </w:tc>
        <w:tc>
          <w:tcPr>
            <w:tcW w:w="7300" w:type="dxa"/>
          </w:tcPr>
          <w:p w:rsidR="00CC01F6" w:rsidRDefault="004A2A87">
            <w:r>
              <w:t>Backend PHP/MySQL, spécialisé module Paie</w:t>
            </w:r>
          </w:p>
        </w:tc>
      </w:tr>
      <w:tr w:rsidR="00CC01F6">
        <w:tc>
          <w:tcPr>
            <w:tcW w:w="2200" w:type="dxa"/>
          </w:tcPr>
          <w:p w:rsidR="00CC01F6" w:rsidRDefault="004A2A87">
            <w:r>
              <w:t>Dev D</w:t>
            </w:r>
          </w:p>
        </w:tc>
        <w:tc>
          <w:tcPr>
            <w:tcW w:w="7300" w:type="dxa"/>
          </w:tcPr>
          <w:p w:rsidR="00CC01F6" w:rsidRDefault="004A2A87">
            <w:r>
              <w:t>Backend PHP/MySQL généraliste, en charge des tests, corrections et déploiement</w:t>
            </w:r>
          </w:p>
        </w:tc>
      </w:tr>
    </w:tbl>
    <w:p w:rsidR="00CC01F6" w:rsidRDefault="00CC01F6"/>
    <w:p w:rsidR="00CC01F6" w:rsidRDefault="004A2A87">
      <w:pPr>
        <w:pStyle w:val="Titre2"/>
      </w:pPr>
      <w:r>
        <w:t>Allocation détaillée des tâches</w:t>
      </w:r>
    </w:p>
    <w:p w:rsidR="00CC01F6" w:rsidRDefault="00CC01F6"/>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1300"/>
        <w:gridCol w:w="1400"/>
        <w:gridCol w:w="3600"/>
      </w:tblGrid>
      <w:tr w:rsidR="00CC01F6">
        <w:tc>
          <w:tcPr>
            <w:tcW w:w="3200" w:type="dxa"/>
            <w:shd w:val="clear" w:color="auto" w:fill="D9E2F3"/>
          </w:tcPr>
          <w:p w:rsidR="00CC01F6" w:rsidRDefault="004A2A87">
            <w:r>
              <w:rPr>
                <w:b/>
                <w:bCs/>
              </w:rPr>
              <w:t>Tâche</w:t>
            </w:r>
          </w:p>
        </w:tc>
        <w:tc>
          <w:tcPr>
            <w:tcW w:w="1300" w:type="dxa"/>
            <w:shd w:val="clear" w:color="auto" w:fill="D9E2F3"/>
          </w:tcPr>
          <w:p w:rsidR="00CC01F6" w:rsidRDefault="004A2A87">
            <w:r>
              <w:rPr>
                <w:b/>
                <w:bCs/>
              </w:rPr>
              <w:t>Charge (j/h)</w:t>
            </w:r>
          </w:p>
        </w:tc>
        <w:tc>
          <w:tcPr>
            <w:tcW w:w="1400" w:type="dxa"/>
            <w:shd w:val="clear" w:color="auto" w:fill="D9E2F3"/>
          </w:tcPr>
          <w:p w:rsidR="00CC01F6" w:rsidRDefault="004A2A87">
            <w:r>
              <w:rPr>
                <w:b/>
                <w:bCs/>
              </w:rPr>
              <w:t>Développeur</w:t>
            </w:r>
          </w:p>
        </w:tc>
        <w:tc>
          <w:tcPr>
            <w:tcW w:w="3600" w:type="dxa"/>
            <w:shd w:val="clear" w:color="auto" w:fill="D9E2F3"/>
          </w:tcPr>
          <w:p w:rsidR="00CC01F6" w:rsidRDefault="004A2A87">
            <w:r>
              <w:rPr>
                <w:b/>
                <w:bCs/>
              </w:rPr>
              <w:t>Justification</w:t>
            </w:r>
          </w:p>
        </w:tc>
      </w:tr>
      <w:tr w:rsidR="00CC01F6">
        <w:tc>
          <w:tcPr>
            <w:tcW w:w="3200" w:type="dxa"/>
          </w:tcPr>
          <w:p w:rsidR="00CC01F6" w:rsidRDefault="004A2A87">
            <w:r>
              <w:t>1.1 Cahier des charges</w:t>
            </w:r>
          </w:p>
        </w:tc>
        <w:tc>
          <w:tcPr>
            <w:tcW w:w="1300" w:type="dxa"/>
          </w:tcPr>
          <w:p w:rsidR="00CC01F6" w:rsidRDefault="004A2A87">
            <w:r>
              <w:t>3</w:t>
            </w:r>
          </w:p>
        </w:tc>
        <w:tc>
          <w:tcPr>
            <w:tcW w:w="1400" w:type="dxa"/>
          </w:tcPr>
          <w:p w:rsidR="00CC01F6" w:rsidRDefault="004A2A87">
            <w:r>
              <w:t>Dev A</w:t>
            </w:r>
          </w:p>
        </w:tc>
        <w:tc>
          <w:tcPr>
            <w:tcW w:w="3600" w:type="dxa"/>
          </w:tcPr>
          <w:p w:rsidR="00CC01F6" w:rsidRDefault="004A2A87">
            <w:r>
              <w:t>Recueil des besoins, cœur de l'analyse</w:t>
            </w:r>
          </w:p>
        </w:tc>
      </w:tr>
      <w:tr w:rsidR="00CC01F6">
        <w:tc>
          <w:tcPr>
            <w:tcW w:w="3200" w:type="dxa"/>
          </w:tcPr>
          <w:p w:rsidR="00CC01F6" w:rsidRDefault="004A2A87">
            <w:r>
              <w:t>1.2 Modélisation Merise</w:t>
            </w:r>
          </w:p>
        </w:tc>
        <w:tc>
          <w:tcPr>
            <w:tcW w:w="1300" w:type="dxa"/>
          </w:tcPr>
          <w:p w:rsidR="00CC01F6" w:rsidRDefault="004A2A87">
            <w:r>
              <w:t>4</w:t>
            </w:r>
          </w:p>
        </w:tc>
        <w:tc>
          <w:tcPr>
            <w:tcW w:w="1400" w:type="dxa"/>
          </w:tcPr>
          <w:p w:rsidR="00CC01F6" w:rsidRDefault="004A2A87">
            <w:r>
              <w:t>Dev A</w:t>
            </w:r>
          </w:p>
        </w:tc>
        <w:tc>
          <w:tcPr>
            <w:tcW w:w="3600" w:type="dxa"/>
          </w:tcPr>
          <w:p w:rsidR="00CC01F6" w:rsidRDefault="004A2A87">
            <w:r>
              <w:t>Compétence clé de l'analyste-concepteur</w:t>
            </w:r>
          </w:p>
        </w:tc>
      </w:tr>
      <w:tr w:rsidR="00CC01F6">
        <w:tc>
          <w:tcPr>
            <w:tcW w:w="3200" w:type="dxa"/>
          </w:tcPr>
          <w:p w:rsidR="00CC01F6" w:rsidRDefault="004A2A87">
            <w:r>
              <w:t>1.3 Conception de la BDD</w:t>
            </w:r>
          </w:p>
        </w:tc>
        <w:tc>
          <w:tcPr>
            <w:tcW w:w="1300" w:type="dxa"/>
          </w:tcPr>
          <w:p w:rsidR="00CC01F6" w:rsidRDefault="004A2A87">
            <w:r>
              <w:t>3</w:t>
            </w:r>
          </w:p>
        </w:tc>
        <w:tc>
          <w:tcPr>
            <w:tcW w:w="1400" w:type="dxa"/>
          </w:tcPr>
          <w:p w:rsidR="00CC01F6" w:rsidRDefault="004A2A87">
            <w:r>
              <w:t>Dev A</w:t>
            </w:r>
          </w:p>
        </w:tc>
        <w:tc>
          <w:tcPr>
            <w:tcW w:w="3600" w:type="dxa"/>
          </w:tcPr>
          <w:p w:rsidR="00CC01F6" w:rsidRDefault="004A2A87">
            <w:r>
              <w:t>Continuité directe avec la modélisation</w:t>
            </w:r>
          </w:p>
        </w:tc>
      </w:tr>
      <w:tr w:rsidR="00CC01F6">
        <w:tc>
          <w:tcPr>
            <w:tcW w:w="3200" w:type="dxa"/>
          </w:tcPr>
          <w:p w:rsidR="00CC01F6" w:rsidRDefault="004A2A87">
            <w:r>
              <w:t>2.1 Création de la BDD</w:t>
            </w:r>
          </w:p>
        </w:tc>
        <w:tc>
          <w:tcPr>
            <w:tcW w:w="1300" w:type="dxa"/>
          </w:tcPr>
          <w:p w:rsidR="00CC01F6" w:rsidRDefault="004A2A87">
            <w:r>
              <w:t>3</w:t>
            </w:r>
          </w:p>
        </w:tc>
        <w:tc>
          <w:tcPr>
            <w:tcW w:w="1400" w:type="dxa"/>
          </w:tcPr>
          <w:p w:rsidR="00CC01F6" w:rsidRDefault="004A2A87">
            <w:r>
              <w:t>Dev A</w:t>
            </w:r>
          </w:p>
        </w:tc>
        <w:tc>
          <w:tcPr>
            <w:tcW w:w="3600" w:type="dxa"/>
          </w:tcPr>
          <w:p w:rsidR="00CC01F6" w:rsidRDefault="004A2A87">
            <w:r>
              <w:t>Implémentation de sa propre conception</w:t>
            </w:r>
          </w:p>
        </w:tc>
      </w:tr>
      <w:tr w:rsidR="00CC01F6">
        <w:tc>
          <w:tcPr>
            <w:tcW w:w="3200" w:type="dxa"/>
          </w:tcPr>
          <w:p w:rsidR="00CC01F6" w:rsidRDefault="004A2A87">
            <w:r>
              <w:t>2.2.1 Dossiers employés</w:t>
            </w:r>
          </w:p>
        </w:tc>
        <w:tc>
          <w:tcPr>
            <w:tcW w:w="1300" w:type="dxa"/>
          </w:tcPr>
          <w:p w:rsidR="00CC01F6" w:rsidRDefault="004A2A87">
            <w:r>
              <w:t>5</w:t>
            </w:r>
          </w:p>
        </w:tc>
        <w:tc>
          <w:tcPr>
            <w:tcW w:w="1400" w:type="dxa"/>
          </w:tcPr>
          <w:p w:rsidR="00CC01F6" w:rsidRDefault="004A2A87">
            <w:r>
              <w:t>Dev B</w:t>
            </w:r>
          </w:p>
        </w:tc>
        <w:tc>
          <w:tcPr>
            <w:tcW w:w="3600" w:type="dxa"/>
          </w:tcPr>
          <w:p w:rsidR="00CC01F6" w:rsidRDefault="004A2A87">
            <w:r>
              <w:t>Spécialiste du module RH</w:t>
            </w:r>
          </w:p>
        </w:tc>
      </w:tr>
      <w:tr w:rsidR="00CC01F6">
        <w:tc>
          <w:tcPr>
            <w:tcW w:w="3200" w:type="dxa"/>
          </w:tcPr>
          <w:p w:rsidR="00CC01F6" w:rsidRDefault="004A2A87">
            <w:r>
              <w:t>2.2.2 Plannings et gardes</w:t>
            </w:r>
          </w:p>
        </w:tc>
        <w:tc>
          <w:tcPr>
            <w:tcW w:w="1300" w:type="dxa"/>
          </w:tcPr>
          <w:p w:rsidR="00CC01F6" w:rsidRDefault="004A2A87">
            <w:r>
              <w:t>5</w:t>
            </w:r>
          </w:p>
        </w:tc>
        <w:tc>
          <w:tcPr>
            <w:tcW w:w="1400" w:type="dxa"/>
          </w:tcPr>
          <w:p w:rsidR="00CC01F6" w:rsidRDefault="004A2A87">
            <w:r>
              <w:t>Dev B</w:t>
            </w:r>
          </w:p>
        </w:tc>
        <w:tc>
          <w:tcPr>
            <w:tcW w:w="3600" w:type="dxa"/>
          </w:tcPr>
          <w:p w:rsidR="00CC01F6" w:rsidRDefault="004A2A87">
            <w:r>
              <w:t>Continuité fonctionnelle avec 2.2.1</w:t>
            </w:r>
          </w:p>
        </w:tc>
      </w:tr>
      <w:tr w:rsidR="00CC01F6">
        <w:tc>
          <w:tcPr>
            <w:tcW w:w="3200" w:type="dxa"/>
          </w:tcPr>
          <w:p w:rsidR="00CC01F6" w:rsidRDefault="004A2A87">
            <w:r>
              <w:t>2.3.1 Calcul des salaires</w:t>
            </w:r>
          </w:p>
        </w:tc>
        <w:tc>
          <w:tcPr>
            <w:tcW w:w="1300" w:type="dxa"/>
          </w:tcPr>
          <w:p w:rsidR="00CC01F6" w:rsidRDefault="004A2A87">
            <w:r>
              <w:t>6</w:t>
            </w:r>
          </w:p>
        </w:tc>
        <w:tc>
          <w:tcPr>
            <w:tcW w:w="1400" w:type="dxa"/>
          </w:tcPr>
          <w:p w:rsidR="00CC01F6" w:rsidRDefault="004A2A87">
            <w:r>
              <w:t>Dev C</w:t>
            </w:r>
          </w:p>
        </w:tc>
        <w:tc>
          <w:tcPr>
            <w:tcW w:w="3600" w:type="dxa"/>
          </w:tcPr>
          <w:p w:rsidR="00CC01F6" w:rsidRDefault="004A2A87">
            <w:r>
              <w:t>Spécialiste du module Paie</w:t>
            </w:r>
          </w:p>
        </w:tc>
      </w:tr>
      <w:tr w:rsidR="00CC01F6">
        <w:tc>
          <w:tcPr>
            <w:tcW w:w="3200" w:type="dxa"/>
          </w:tcPr>
          <w:p w:rsidR="00CC01F6" w:rsidRDefault="004A2A87">
            <w:r>
              <w:t>2.3.2 Primes et cotisations</w:t>
            </w:r>
          </w:p>
        </w:tc>
        <w:tc>
          <w:tcPr>
            <w:tcW w:w="1300" w:type="dxa"/>
          </w:tcPr>
          <w:p w:rsidR="00CC01F6" w:rsidRDefault="004A2A87">
            <w:r>
              <w:t>4</w:t>
            </w:r>
          </w:p>
        </w:tc>
        <w:tc>
          <w:tcPr>
            <w:tcW w:w="1400" w:type="dxa"/>
          </w:tcPr>
          <w:p w:rsidR="00CC01F6" w:rsidRDefault="004A2A87">
            <w:r>
              <w:t>Dev C</w:t>
            </w:r>
          </w:p>
        </w:tc>
        <w:tc>
          <w:tcPr>
            <w:tcW w:w="3600" w:type="dxa"/>
          </w:tcPr>
          <w:p w:rsidR="00CC01F6" w:rsidRDefault="004A2A87">
            <w:r>
              <w:t>Continuité directe avec 2.3.1</w:t>
            </w:r>
          </w:p>
        </w:tc>
      </w:tr>
      <w:tr w:rsidR="00CC01F6">
        <w:tc>
          <w:tcPr>
            <w:tcW w:w="3200" w:type="dxa"/>
          </w:tcPr>
          <w:p w:rsidR="00CC01F6" w:rsidRDefault="004A2A87">
            <w:r>
              <w:t>2.3.3 Bulletins de paie</w:t>
            </w:r>
          </w:p>
        </w:tc>
        <w:tc>
          <w:tcPr>
            <w:tcW w:w="1300" w:type="dxa"/>
          </w:tcPr>
          <w:p w:rsidR="00CC01F6" w:rsidRDefault="004A2A87">
            <w:r>
              <w:t>4</w:t>
            </w:r>
          </w:p>
        </w:tc>
        <w:tc>
          <w:tcPr>
            <w:tcW w:w="1400" w:type="dxa"/>
          </w:tcPr>
          <w:p w:rsidR="00CC01F6" w:rsidRDefault="004A2A87">
            <w:r>
              <w:t>Dev C</w:t>
            </w:r>
          </w:p>
        </w:tc>
        <w:tc>
          <w:tcPr>
            <w:tcW w:w="3600" w:type="dxa"/>
          </w:tcPr>
          <w:p w:rsidR="00CC01F6" w:rsidRDefault="004A2A87">
            <w:r>
              <w:t>Continuité avec 2.3.1/2.3.2</w:t>
            </w:r>
          </w:p>
        </w:tc>
      </w:tr>
      <w:tr w:rsidR="00CC01F6">
        <w:tc>
          <w:tcPr>
            <w:tcW w:w="3200" w:type="dxa"/>
          </w:tcPr>
          <w:p w:rsidR="00CC01F6" w:rsidRDefault="004A2A87">
            <w:r>
              <w:t>2.4 Congés et absences</w:t>
            </w:r>
          </w:p>
        </w:tc>
        <w:tc>
          <w:tcPr>
            <w:tcW w:w="1300" w:type="dxa"/>
          </w:tcPr>
          <w:p w:rsidR="00CC01F6" w:rsidRDefault="004A2A87">
            <w:r>
              <w:t>5</w:t>
            </w:r>
          </w:p>
        </w:tc>
        <w:tc>
          <w:tcPr>
            <w:tcW w:w="1400" w:type="dxa"/>
          </w:tcPr>
          <w:p w:rsidR="00CC01F6" w:rsidRDefault="004A2A87">
            <w:r>
              <w:t>Dev B</w:t>
            </w:r>
          </w:p>
        </w:tc>
        <w:tc>
          <w:tcPr>
            <w:tcW w:w="3600" w:type="dxa"/>
          </w:tcPr>
          <w:p w:rsidR="00CC01F6" w:rsidRDefault="004A2A87">
            <w:r>
              <w:t>Fonctionnellement proche du module RH</w:t>
            </w:r>
          </w:p>
        </w:tc>
      </w:tr>
      <w:tr w:rsidR="00CC01F6">
        <w:tc>
          <w:tcPr>
            <w:tcW w:w="3200" w:type="dxa"/>
          </w:tcPr>
          <w:p w:rsidR="00CC01F6" w:rsidRDefault="004A2A87">
            <w:r>
              <w:t>2.5 Authentification</w:t>
            </w:r>
          </w:p>
        </w:tc>
        <w:tc>
          <w:tcPr>
            <w:tcW w:w="1300" w:type="dxa"/>
          </w:tcPr>
          <w:p w:rsidR="00CC01F6" w:rsidRDefault="004A2A87">
            <w:r>
              <w:t>3</w:t>
            </w:r>
          </w:p>
        </w:tc>
        <w:tc>
          <w:tcPr>
            <w:tcW w:w="1400" w:type="dxa"/>
          </w:tcPr>
          <w:p w:rsidR="00CC01F6" w:rsidRDefault="004A2A87">
            <w:r>
              <w:t>Dev D</w:t>
            </w:r>
          </w:p>
        </w:tc>
        <w:tc>
          <w:tcPr>
            <w:tcW w:w="3600" w:type="dxa"/>
          </w:tcPr>
          <w:p w:rsidR="00CC01F6" w:rsidRDefault="004A2A87">
            <w:r>
              <w:t>Fonctionnalité transverse, sécurité</w:t>
            </w:r>
          </w:p>
        </w:tc>
      </w:tr>
      <w:tr w:rsidR="00CC01F6">
        <w:tc>
          <w:tcPr>
            <w:tcW w:w="3200" w:type="dxa"/>
          </w:tcPr>
          <w:p w:rsidR="00CC01F6" w:rsidRDefault="004A2A87">
            <w:r>
              <w:t>4.1 Tests fonctionnels</w:t>
            </w:r>
          </w:p>
        </w:tc>
        <w:tc>
          <w:tcPr>
            <w:tcW w:w="1300" w:type="dxa"/>
          </w:tcPr>
          <w:p w:rsidR="00CC01F6" w:rsidRDefault="004A2A87">
            <w:r>
              <w:t>5</w:t>
            </w:r>
          </w:p>
        </w:tc>
        <w:tc>
          <w:tcPr>
            <w:tcW w:w="1400" w:type="dxa"/>
          </w:tcPr>
          <w:p w:rsidR="00CC01F6" w:rsidRDefault="004A2A87">
            <w:r>
              <w:t>Dev D</w:t>
            </w:r>
          </w:p>
        </w:tc>
        <w:tc>
          <w:tcPr>
            <w:tcW w:w="3600" w:type="dxa"/>
          </w:tcPr>
          <w:p w:rsidR="00CC01F6" w:rsidRDefault="004A2A87">
            <w:r>
              <w:t>Spécialiste des tests</w:t>
            </w:r>
          </w:p>
        </w:tc>
      </w:tr>
      <w:tr w:rsidR="00CC01F6">
        <w:tc>
          <w:tcPr>
            <w:tcW w:w="3200" w:type="dxa"/>
          </w:tcPr>
          <w:p w:rsidR="00CC01F6" w:rsidRDefault="004A2A87">
            <w:r>
              <w:t>4.2 Corrections de bugs</w:t>
            </w:r>
          </w:p>
        </w:tc>
        <w:tc>
          <w:tcPr>
            <w:tcW w:w="1300" w:type="dxa"/>
          </w:tcPr>
          <w:p w:rsidR="00CC01F6" w:rsidRDefault="004A2A87">
            <w:r>
              <w:t>3</w:t>
            </w:r>
          </w:p>
        </w:tc>
        <w:tc>
          <w:tcPr>
            <w:tcW w:w="1400" w:type="dxa"/>
          </w:tcPr>
          <w:p w:rsidR="00CC01F6" w:rsidRDefault="004A2A87">
            <w:r>
              <w:t>Dev D</w:t>
            </w:r>
          </w:p>
        </w:tc>
        <w:tc>
          <w:tcPr>
            <w:tcW w:w="3600" w:type="dxa"/>
          </w:tcPr>
          <w:p w:rsidR="00CC01F6" w:rsidRDefault="004A2A87">
            <w:r>
              <w:t>Continuité logique avec les tests</w:t>
            </w:r>
          </w:p>
        </w:tc>
      </w:tr>
      <w:tr w:rsidR="00CC01F6">
        <w:tc>
          <w:tcPr>
            <w:tcW w:w="3200" w:type="dxa"/>
          </w:tcPr>
          <w:p w:rsidR="00CC01F6" w:rsidRDefault="004A2A87">
            <w:r>
              <w:t>5.1 Mise en production</w:t>
            </w:r>
          </w:p>
        </w:tc>
        <w:tc>
          <w:tcPr>
            <w:tcW w:w="1300" w:type="dxa"/>
          </w:tcPr>
          <w:p w:rsidR="00CC01F6" w:rsidRDefault="004A2A87">
            <w:r>
              <w:t>2</w:t>
            </w:r>
          </w:p>
        </w:tc>
        <w:tc>
          <w:tcPr>
            <w:tcW w:w="1400" w:type="dxa"/>
          </w:tcPr>
          <w:p w:rsidR="00CC01F6" w:rsidRDefault="004A2A87">
            <w:r>
              <w:t>Dev D</w:t>
            </w:r>
          </w:p>
        </w:tc>
        <w:tc>
          <w:tcPr>
            <w:tcW w:w="3600" w:type="dxa"/>
          </w:tcPr>
          <w:p w:rsidR="00CC01F6" w:rsidRDefault="004A2A87">
            <w:r>
              <w:t>Suite naturelle des tests/déploiement</w:t>
            </w:r>
          </w:p>
        </w:tc>
      </w:tr>
      <w:tr w:rsidR="00CC01F6">
        <w:tc>
          <w:tcPr>
            <w:tcW w:w="3200" w:type="dxa"/>
          </w:tcPr>
          <w:p w:rsidR="00CC01F6" w:rsidRDefault="004A2A87">
            <w:r>
              <w:t>5.2 Formation du personnel</w:t>
            </w:r>
          </w:p>
        </w:tc>
        <w:tc>
          <w:tcPr>
            <w:tcW w:w="1300" w:type="dxa"/>
          </w:tcPr>
          <w:p w:rsidR="00CC01F6" w:rsidRDefault="004A2A87">
            <w:r>
              <w:t>2</w:t>
            </w:r>
          </w:p>
        </w:tc>
        <w:tc>
          <w:tcPr>
            <w:tcW w:w="1400" w:type="dxa"/>
          </w:tcPr>
          <w:p w:rsidR="00CC01F6" w:rsidRDefault="004A2A87">
            <w:r>
              <w:t>Dev A</w:t>
            </w:r>
          </w:p>
        </w:tc>
        <w:tc>
          <w:tcPr>
            <w:tcW w:w="3600" w:type="dxa"/>
          </w:tcPr>
          <w:p w:rsidR="00CC01F6" w:rsidRDefault="004A2A87">
            <w:r>
              <w:t>Connaissance globale du fonctionnel</w:t>
            </w:r>
          </w:p>
        </w:tc>
      </w:tr>
    </w:tbl>
    <w:p w:rsidR="00CC01F6" w:rsidRDefault="00CC01F6"/>
    <w:p w:rsidR="00CC01F6" w:rsidRDefault="004A2A87">
      <w:pPr>
        <w:pStyle w:val="Titre2"/>
      </w:pPr>
      <w:r>
        <w:t>Principe général de répartition</w:t>
      </w:r>
    </w:p>
    <w:p w:rsidR="00CC01F6" w:rsidRDefault="004A2A87">
      <w:r>
        <w:t>Chaque développeur est affecté à un ensemble c</w:t>
      </w:r>
      <w:r>
        <w:t>ohérent de tâches liées à un même module ou à une même phase, afin de limiter les changements de contexte et de capitaliser sur la montée en compétence progressive de chacun sur son périmètre.</w:t>
      </w:r>
    </w:p>
    <w:p w:rsidR="00CC01F6" w:rsidRDefault="00CC01F6"/>
    <w:p w:rsidR="00CC01F6" w:rsidRDefault="004A2A87">
      <w:pPr>
        <w:pStyle w:val="Titre2"/>
      </w:pPr>
      <w:r>
        <w:t>Validation des charges globales par personne</w:t>
      </w:r>
    </w:p>
    <w:p w:rsidR="00CC01F6" w:rsidRDefault="00CC01F6"/>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400"/>
        <w:gridCol w:w="3900"/>
      </w:tblGrid>
      <w:tr w:rsidR="00CC01F6">
        <w:tc>
          <w:tcPr>
            <w:tcW w:w="3200" w:type="dxa"/>
            <w:shd w:val="clear" w:color="auto" w:fill="D9E2F3"/>
          </w:tcPr>
          <w:p w:rsidR="00CC01F6" w:rsidRDefault="004A2A87">
            <w:r>
              <w:rPr>
                <w:b/>
                <w:bCs/>
              </w:rPr>
              <w:t>Développeur</w:t>
            </w:r>
          </w:p>
        </w:tc>
        <w:tc>
          <w:tcPr>
            <w:tcW w:w="2400" w:type="dxa"/>
            <w:shd w:val="clear" w:color="auto" w:fill="D9E2F3"/>
          </w:tcPr>
          <w:p w:rsidR="00CC01F6" w:rsidRDefault="004A2A87">
            <w:r>
              <w:rPr>
                <w:b/>
                <w:bCs/>
              </w:rPr>
              <w:t>Charge totale (j/h)</w:t>
            </w:r>
          </w:p>
        </w:tc>
        <w:tc>
          <w:tcPr>
            <w:tcW w:w="3900" w:type="dxa"/>
            <w:shd w:val="clear" w:color="auto" w:fill="D9E2F3"/>
          </w:tcPr>
          <w:p w:rsidR="00CC01F6" w:rsidRDefault="004A2A87">
            <w:r>
              <w:rPr>
                <w:b/>
                <w:bCs/>
              </w:rPr>
              <w:t>Position vis-à-vis du chemin critique</w:t>
            </w:r>
          </w:p>
        </w:tc>
      </w:tr>
      <w:tr w:rsidR="00CC01F6">
        <w:tc>
          <w:tcPr>
            <w:tcW w:w="3200" w:type="dxa"/>
          </w:tcPr>
          <w:p w:rsidR="00CC01F6" w:rsidRDefault="004A2A87">
            <w:r>
              <w:t>Dev A</w:t>
            </w:r>
          </w:p>
        </w:tc>
        <w:tc>
          <w:tcPr>
            <w:tcW w:w="2400" w:type="dxa"/>
          </w:tcPr>
          <w:p w:rsidR="00CC01F6" w:rsidRDefault="004A2A87">
            <w:r>
              <w:t>15</w:t>
            </w:r>
          </w:p>
        </w:tc>
        <w:tc>
          <w:tcPr>
            <w:tcW w:w="3900" w:type="dxa"/>
          </w:tcPr>
          <w:p w:rsidR="00CC01F6" w:rsidRDefault="004A2A87">
            <w:r>
              <w:t>Sur le chemin critique (phase 1 + 2.1)</w:t>
            </w:r>
          </w:p>
        </w:tc>
      </w:tr>
      <w:tr w:rsidR="00CC01F6">
        <w:tc>
          <w:tcPr>
            <w:tcW w:w="3200" w:type="dxa"/>
          </w:tcPr>
          <w:p w:rsidR="00CC01F6" w:rsidRDefault="004A2A87">
            <w:r>
              <w:t>Dev B</w:t>
            </w:r>
          </w:p>
        </w:tc>
        <w:tc>
          <w:tcPr>
            <w:tcW w:w="2400" w:type="dxa"/>
          </w:tcPr>
          <w:p w:rsidR="00CC01F6" w:rsidRDefault="004A2A87">
            <w:r>
              <w:t>15</w:t>
            </w:r>
          </w:p>
        </w:tc>
        <w:tc>
          <w:tcPr>
            <w:tcW w:w="3900" w:type="dxa"/>
          </w:tcPr>
          <w:p w:rsidR="00CC01F6" w:rsidRDefault="004A2A87">
            <w:r>
              <w:t>Hors chemin critique</w:t>
            </w:r>
          </w:p>
        </w:tc>
      </w:tr>
      <w:tr w:rsidR="00CC01F6">
        <w:tc>
          <w:tcPr>
            <w:tcW w:w="3200" w:type="dxa"/>
          </w:tcPr>
          <w:p w:rsidR="00CC01F6" w:rsidRDefault="004A2A87">
            <w:r>
              <w:t>Dev C</w:t>
            </w:r>
          </w:p>
        </w:tc>
        <w:tc>
          <w:tcPr>
            <w:tcW w:w="2400" w:type="dxa"/>
          </w:tcPr>
          <w:p w:rsidR="00CC01F6" w:rsidRDefault="004A2A87">
            <w:r>
              <w:t>14</w:t>
            </w:r>
          </w:p>
        </w:tc>
        <w:tc>
          <w:tcPr>
            <w:tcW w:w="3900" w:type="dxa"/>
          </w:tcPr>
          <w:p w:rsidR="00CC01F6" w:rsidRDefault="004A2A87">
            <w:r>
              <w:t>Sur le chemin critique — charge continue la plus lourde</w:t>
            </w:r>
          </w:p>
        </w:tc>
      </w:tr>
      <w:tr w:rsidR="00CC01F6">
        <w:tc>
          <w:tcPr>
            <w:tcW w:w="3200" w:type="dxa"/>
          </w:tcPr>
          <w:p w:rsidR="00CC01F6" w:rsidRDefault="004A2A87">
            <w:r>
              <w:t>Dev D</w:t>
            </w:r>
          </w:p>
        </w:tc>
        <w:tc>
          <w:tcPr>
            <w:tcW w:w="2400" w:type="dxa"/>
          </w:tcPr>
          <w:p w:rsidR="00CC01F6" w:rsidRDefault="004A2A87">
            <w:r>
              <w:t>13</w:t>
            </w:r>
          </w:p>
        </w:tc>
        <w:tc>
          <w:tcPr>
            <w:tcW w:w="3900" w:type="dxa"/>
          </w:tcPr>
          <w:p w:rsidR="00CC01F6" w:rsidRDefault="004A2A87">
            <w:r>
              <w:t>Sur le chemin critique (phase tests/déploiement)</w:t>
            </w:r>
          </w:p>
        </w:tc>
      </w:tr>
    </w:tbl>
    <w:p w:rsidR="00CC01F6" w:rsidRDefault="00CC01F6"/>
    <w:p w:rsidR="00CC01F6" w:rsidRDefault="004A2A87">
      <w:r>
        <w:t>Les charges sont globalement équilibrées entre les quatre développeurs (13 à 15 j/h chacun), ce qui traduit une répartition homogène de la charge de t</w:t>
      </w:r>
      <w:r w:rsidR="00D93CAE">
        <w:t>ravail sur l'ensemble du projet.</w:t>
      </w:r>
      <w:bookmarkStart w:id="0" w:name="_GoBack"/>
      <w:bookmarkEnd w:id="0"/>
    </w:p>
    <w:p w:rsidR="00CC01F6" w:rsidRDefault="00CC01F6"/>
    <w:p w:rsidR="00CC01F6" w:rsidRDefault="004A2A87">
      <w:pPr>
        <w:pStyle w:val="Titre2"/>
      </w:pPr>
      <w:r>
        <w:t>Chemin critique ident</w:t>
      </w:r>
      <w:r>
        <w:t>ifié</w:t>
      </w:r>
    </w:p>
    <w:p w:rsidR="00CC01F6" w:rsidRDefault="004A2A87">
      <w:r>
        <w:t>Le chemin critique du projet comprend 14 éléments (10 tâches et 4 jalons), s'étendant du 20/10/2026 au 10/12/2026 :</w:t>
      </w:r>
    </w:p>
    <w:p w:rsidR="00CC01F6" w:rsidRDefault="00CC01F6"/>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6000"/>
        <w:gridCol w:w="2000"/>
      </w:tblGrid>
      <w:tr w:rsidR="00CC01F6">
        <w:tc>
          <w:tcPr>
            <w:tcW w:w="1500" w:type="dxa"/>
            <w:shd w:val="clear" w:color="auto" w:fill="D9E2F3"/>
          </w:tcPr>
          <w:p w:rsidR="00CC01F6" w:rsidRDefault="004A2A87">
            <w:r>
              <w:rPr>
                <w:b/>
                <w:bCs/>
              </w:rPr>
              <w:lastRenderedPageBreak/>
              <w:t>N°</w:t>
            </w:r>
          </w:p>
        </w:tc>
        <w:tc>
          <w:tcPr>
            <w:tcW w:w="6000" w:type="dxa"/>
            <w:shd w:val="clear" w:color="auto" w:fill="D9E2F3"/>
          </w:tcPr>
          <w:p w:rsidR="00CC01F6" w:rsidRDefault="004A2A87">
            <w:r>
              <w:rPr>
                <w:b/>
                <w:bCs/>
              </w:rPr>
              <w:t>Tâche / Jalon</w:t>
            </w:r>
          </w:p>
        </w:tc>
        <w:tc>
          <w:tcPr>
            <w:tcW w:w="2000" w:type="dxa"/>
            <w:shd w:val="clear" w:color="auto" w:fill="D9E2F3"/>
          </w:tcPr>
          <w:p w:rsidR="00CC01F6" w:rsidRDefault="004A2A87">
            <w:r>
              <w:rPr>
                <w:b/>
                <w:bCs/>
              </w:rPr>
              <w:t>Durée</w:t>
            </w:r>
          </w:p>
        </w:tc>
      </w:tr>
      <w:tr w:rsidR="00CC01F6">
        <w:tc>
          <w:tcPr>
            <w:tcW w:w="1500" w:type="dxa"/>
          </w:tcPr>
          <w:p w:rsidR="00CC01F6" w:rsidRDefault="004A2A87">
            <w:r>
              <w:t>1.1</w:t>
            </w:r>
          </w:p>
        </w:tc>
        <w:tc>
          <w:tcPr>
            <w:tcW w:w="6000" w:type="dxa"/>
          </w:tcPr>
          <w:p w:rsidR="00CC01F6" w:rsidRDefault="004A2A87">
            <w:r>
              <w:t>Cahier des charges (besoins de l'hôpital)</w:t>
            </w:r>
          </w:p>
        </w:tc>
        <w:tc>
          <w:tcPr>
            <w:tcW w:w="2000" w:type="dxa"/>
          </w:tcPr>
          <w:p w:rsidR="00CC01F6" w:rsidRDefault="004A2A87">
            <w:r>
              <w:t>3 j</w:t>
            </w:r>
          </w:p>
        </w:tc>
      </w:tr>
      <w:tr w:rsidR="00CC01F6">
        <w:tc>
          <w:tcPr>
            <w:tcW w:w="1500" w:type="dxa"/>
          </w:tcPr>
          <w:p w:rsidR="00CC01F6" w:rsidRDefault="004A2A87">
            <w:r>
              <w:t>1.2</w:t>
            </w:r>
          </w:p>
        </w:tc>
        <w:tc>
          <w:tcPr>
            <w:tcW w:w="6000" w:type="dxa"/>
          </w:tcPr>
          <w:p w:rsidR="00CC01F6" w:rsidRDefault="004A2A87">
            <w:r>
              <w:t>Modélisation Merise (MCD, MLD, MCT, MOT)</w:t>
            </w:r>
          </w:p>
        </w:tc>
        <w:tc>
          <w:tcPr>
            <w:tcW w:w="2000" w:type="dxa"/>
          </w:tcPr>
          <w:p w:rsidR="00CC01F6" w:rsidRDefault="004A2A87">
            <w:r>
              <w:t>4 j</w:t>
            </w:r>
          </w:p>
        </w:tc>
      </w:tr>
      <w:tr w:rsidR="00CC01F6">
        <w:tc>
          <w:tcPr>
            <w:tcW w:w="1500" w:type="dxa"/>
          </w:tcPr>
          <w:p w:rsidR="00CC01F6" w:rsidRDefault="004A2A87">
            <w:r>
              <w:t>1.3</w:t>
            </w:r>
          </w:p>
        </w:tc>
        <w:tc>
          <w:tcPr>
            <w:tcW w:w="6000" w:type="dxa"/>
          </w:tcPr>
          <w:p w:rsidR="00CC01F6" w:rsidRDefault="004A2A87">
            <w:r>
              <w:t>Conception de la base de données</w:t>
            </w:r>
          </w:p>
        </w:tc>
        <w:tc>
          <w:tcPr>
            <w:tcW w:w="2000" w:type="dxa"/>
          </w:tcPr>
          <w:p w:rsidR="00CC01F6" w:rsidRDefault="004A2A87">
            <w:r>
              <w:t>3 j</w:t>
            </w:r>
          </w:p>
        </w:tc>
      </w:tr>
      <w:tr w:rsidR="00CC01F6">
        <w:tc>
          <w:tcPr>
            <w:tcW w:w="1500" w:type="dxa"/>
          </w:tcPr>
          <w:p w:rsidR="00CC01F6" w:rsidRDefault="004A2A87">
            <w:r>
              <w:t>1.4</w:t>
            </w:r>
          </w:p>
        </w:tc>
        <w:tc>
          <w:tcPr>
            <w:tcW w:w="6000" w:type="dxa"/>
          </w:tcPr>
          <w:p w:rsidR="00CC01F6" w:rsidRDefault="004A2A87">
            <w:r>
              <w:t>Analyse et conception validées (jalon)</w:t>
            </w:r>
          </w:p>
        </w:tc>
        <w:tc>
          <w:tcPr>
            <w:tcW w:w="2000" w:type="dxa"/>
          </w:tcPr>
          <w:p w:rsidR="00CC01F6" w:rsidRDefault="004A2A87">
            <w:r>
              <w:t>0 j</w:t>
            </w:r>
          </w:p>
        </w:tc>
      </w:tr>
      <w:tr w:rsidR="00CC01F6">
        <w:tc>
          <w:tcPr>
            <w:tcW w:w="1500" w:type="dxa"/>
          </w:tcPr>
          <w:p w:rsidR="00CC01F6" w:rsidRDefault="004A2A87">
            <w:r>
              <w:t>2.1</w:t>
            </w:r>
          </w:p>
        </w:tc>
        <w:tc>
          <w:tcPr>
            <w:tcW w:w="6000" w:type="dxa"/>
          </w:tcPr>
          <w:p w:rsidR="00CC01F6" w:rsidRDefault="004A2A87">
            <w:r>
              <w:t>Création de la base de données (MySQL)</w:t>
            </w:r>
          </w:p>
        </w:tc>
        <w:tc>
          <w:tcPr>
            <w:tcW w:w="2000" w:type="dxa"/>
          </w:tcPr>
          <w:p w:rsidR="00CC01F6" w:rsidRDefault="004A2A87">
            <w:r>
              <w:t>3 j</w:t>
            </w:r>
          </w:p>
        </w:tc>
      </w:tr>
      <w:tr w:rsidR="00CC01F6">
        <w:tc>
          <w:tcPr>
            <w:tcW w:w="1500" w:type="dxa"/>
          </w:tcPr>
          <w:p w:rsidR="00CC01F6" w:rsidRDefault="004A2A87">
            <w:r>
              <w:t>2.3.1</w:t>
            </w:r>
          </w:p>
        </w:tc>
        <w:tc>
          <w:tcPr>
            <w:tcW w:w="6000" w:type="dxa"/>
          </w:tcPr>
          <w:p w:rsidR="00CC01F6" w:rsidRDefault="004A2A87">
            <w:r>
              <w:t>Calcul des salaires</w:t>
            </w:r>
          </w:p>
        </w:tc>
        <w:tc>
          <w:tcPr>
            <w:tcW w:w="2000" w:type="dxa"/>
          </w:tcPr>
          <w:p w:rsidR="00CC01F6" w:rsidRDefault="004A2A87">
            <w:r>
              <w:t>6 j</w:t>
            </w:r>
          </w:p>
        </w:tc>
      </w:tr>
      <w:tr w:rsidR="00CC01F6">
        <w:tc>
          <w:tcPr>
            <w:tcW w:w="1500" w:type="dxa"/>
          </w:tcPr>
          <w:p w:rsidR="00CC01F6" w:rsidRDefault="004A2A87">
            <w:r>
              <w:t>2.3.2</w:t>
            </w:r>
          </w:p>
        </w:tc>
        <w:tc>
          <w:tcPr>
            <w:tcW w:w="6000" w:type="dxa"/>
          </w:tcPr>
          <w:p w:rsidR="00CC01F6" w:rsidRDefault="004A2A87">
            <w:r>
              <w:t>Gestion des primes et cotisations</w:t>
            </w:r>
          </w:p>
        </w:tc>
        <w:tc>
          <w:tcPr>
            <w:tcW w:w="2000" w:type="dxa"/>
          </w:tcPr>
          <w:p w:rsidR="00CC01F6" w:rsidRDefault="004A2A87">
            <w:r>
              <w:t>4 j</w:t>
            </w:r>
          </w:p>
        </w:tc>
      </w:tr>
      <w:tr w:rsidR="00CC01F6">
        <w:tc>
          <w:tcPr>
            <w:tcW w:w="1500" w:type="dxa"/>
          </w:tcPr>
          <w:p w:rsidR="00CC01F6" w:rsidRDefault="004A2A87">
            <w:r>
              <w:t>2.3.3</w:t>
            </w:r>
          </w:p>
        </w:tc>
        <w:tc>
          <w:tcPr>
            <w:tcW w:w="6000" w:type="dxa"/>
          </w:tcPr>
          <w:p w:rsidR="00CC01F6" w:rsidRDefault="004A2A87">
            <w:r>
              <w:t>Édition des bulletins de paie</w:t>
            </w:r>
          </w:p>
        </w:tc>
        <w:tc>
          <w:tcPr>
            <w:tcW w:w="2000" w:type="dxa"/>
          </w:tcPr>
          <w:p w:rsidR="00CC01F6" w:rsidRDefault="004A2A87">
            <w:r>
              <w:t>4 j</w:t>
            </w:r>
          </w:p>
        </w:tc>
      </w:tr>
      <w:tr w:rsidR="00CC01F6">
        <w:tc>
          <w:tcPr>
            <w:tcW w:w="1500" w:type="dxa"/>
          </w:tcPr>
          <w:p w:rsidR="00CC01F6" w:rsidRDefault="004A2A87">
            <w:r>
              <w:t>2.6</w:t>
            </w:r>
          </w:p>
        </w:tc>
        <w:tc>
          <w:tcPr>
            <w:tcW w:w="6000" w:type="dxa"/>
          </w:tcPr>
          <w:p w:rsidR="00CC01F6" w:rsidRDefault="004A2A87">
            <w:r>
              <w:t>Développement du logiciel terminé (jalon)</w:t>
            </w:r>
          </w:p>
        </w:tc>
        <w:tc>
          <w:tcPr>
            <w:tcW w:w="2000" w:type="dxa"/>
          </w:tcPr>
          <w:p w:rsidR="00CC01F6" w:rsidRDefault="004A2A87">
            <w:r>
              <w:t>0 j</w:t>
            </w:r>
          </w:p>
        </w:tc>
      </w:tr>
      <w:tr w:rsidR="00CC01F6">
        <w:tc>
          <w:tcPr>
            <w:tcW w:w="1500" w:type="dxa"/>
          </w:tcPr>
          <w:p w:rsidR="00CC01F6" w:rsidRDefault="004A2A87">
            <w:r>
              <w:t>4.1</w:t>
            </w:r>
          </w:p>
        </w:tc>
        <w:tc>
          <w:tcPr>
            <w:tcW w:w="6000" w:type="dxa"/>
          </w:tcPr>
          <w:p w:rsidR="00CC01F6" w:rsidRDefault="004A2A87">
            <w:r>
              <w:t>Tests fonctionnels</w:t>
            </w:r>
          </w:p>
        </w:tc>
        <w:tc>
          <w:tcPr>
            <w:tcW w:w="2000" w:type="dxa"/>
          </w:tcPr>
          <w:p w:rsidR="00CC01F6" w:rsidRDefault="004A2A87">
            <w:r>
              <w:t>5 j</w:t>
            </w:r>
          </w:p>
        </w:tc>
      </w:tr>
      <w:tr w:rsidR="00CC01F6">
        <w:tc>
          <w:tcPr>
            <w:tcW w:w="1500" w:type="dxa"/>
          </w:tcPr>
          <w:p w:rsidR="00CC01F6" w:rsidRDefault="004A2A87">
            <w:r>
              <w:t>4.2</w:t>
            </w:r>
          </w:p>
        </w:tc>
        <w:tc>
          <w:tcPr>
            <w:tcW w:w="6000" w:type="dxa"/>
          </w:tcPr>
          <w:p w:rsidR="00CC01F6" w:rsidRDefault="004A2A87">
            <w:r>
              <w:t>Corrections de bugs</w:t>
            </w:r>
          </w:p>
        </w:tc>
        <w:tc>
          <w:tcPr>
            <w:tcW w:w="2000" w:type="dxa"/>
          </w:tcPr>
          <w:p w:rsidR="00CC01F6" w:rsidRDefault="004A2A87">
            <w:r>
              <w:t>3 j</w:t>
            </w:r>
          </w:p>
        </w:tc>
      </w:tr>
      <w:tr w:rsidR="00CC01F6">
        <w:tc>
          <w:tcPr>
            <w:tcW w:w="1500" w:type="dxa"/>
          </w:tcPr>
          <w:p w:rsidR="00CC01F6" w:rsidRDefault="004A2A87">
            <w:r>
              <w:t>4.3</w:t>
            </w:r>
          </w:p>
        </w:tc>
        <w:tc>
          <w:tcPr>
            <w:tcW w:w="6000" w:type="dxa"/>
          </w:tcPr>
          <w:p w:rsidR="00CC01F6" w:rsidRDefault="004A2A87">
            <w:r>
              <w:t>Tests et recette validés (jalon)</w:t>
            </w:r>
          </w:p>
        </w:tc>
        <w:tc>
          <w:tcPr>
            <w:tcW w:w="2000" w:type="dxa"/>
          </w:tcPr>
          <w:p w:rsidR="00CC01F6" w:rsidRDefault="004A2A87">
            <w:r>
              <w:t>0 j</w:t>
            </w:r>
          </w:p>
        </w:tc>
      </w:tr>
      <w:tr w:rsidR="00CC01F6">
        <w:tc>
          <w:tcPr>
            <w:tcW w:w="1500" w:type="dxa"/>
          </w:tcPr>
          <w:p w:rsidR="00CC01F6" w:rsidRDefault="004A2A87">
            <w:r>
              <w:t>5.2</w:t>
            </w:r>
          </w:p>
        </w:tc>
        <w:tc>
          <w:tcPr>
            <w:tcW w:w="6000" w:type="dxa"/>
          </w:tcPr>
          <w:p w:rsidR="00CC01F6" w:rsidRDefault="004A2A87">
            <w:r>
              <w:t>Formation du personnel de l'hôpital</w:t>
            </w:r>
          </w:p>
        </w:tc>
        <w:tc>
          <w:tcPr>
            <w:tcW w:w="2000" w:type="dxa"/>
          </w:tcPr>
          <w:p w:rsidR="00CC01F6" w:rsidRDefault="004A2A87">
            <w:r>
              <w:t>2 j</w:t>
            </w:r>
          </w:p>
        </w:tc>
      </w:tr>
      <w:tr w:rsidR="00CC01F6">
        <w:tc>
          <w:tcPr>
            <w:tcW w:w="1500" w:type="dxa"/>
          </w:tcPr>
          <w:p w:rsidR="00CC01F6" w:rsidRDefault="004A2A87">
            <w:r>
              <w:t>5.3</w:t>
            </w:r>
          </w:p>
        </w:tc>
        <w:tc>
          <w:tcPr>
            <w:tcW w:w="6000" w:type="dxa"/>
          </w:tcPr>
          <w:p w:rsidR="00CC01F6" w:rsidRDefault="004A2A87">
            <w:r>
              <w:t>Projet livré et validé par l'hôpital (jalon)</w:t>
            </w:r>
          </w:p>
        </w:tc>
        <w:tc>
          <w:tcPr>
            <w:tcW w:w="2000" w:type="dxa"/>
          </w:tcPr>
          <w:p w:rsidR="00CC01F6" w:rsidRDefault="004A2A87">
            <w:r>
              <w:t>0 j</w:t>
            </w:r>
          </w:p>
        </w:tc>
      </w:tr>
    </w:tbl>
    <w:p w:rsidR="00CC01F6" w:rsidRDefault="00CC01F6"/>
    <w:p w:rsidR="00CC01F6" w:rsidRDefault="004A2A87">
      <w:r>
        <w:t>Le module Paie (2.3.1 à 2.3.3, 14 j/h) constitue le principal goulot d'étranglement du développement, étant plus long que le module Gestion RH (10 j/h) qui se déroule en parallèle. De même, la Formation du personnel (5.2) détermine la clôture finale du pro</w:t>
      </w:r>
      <w:r>
        <w:t>jet, dépassant légèrement la Mise en production (5.1).</w:t>
      </w:r>
    </w:p>
    <w:p w:rsidR="00CC01F6" w:rsidRDefault="00CC01F6"/>
    <w:p w:rsidR="00CC01F6" w:rsidRDefault="004A2A87">
      <w:pPr>
        <w:rPr>
          <w:b/>
          <w:bCs/>
          <w:color w:val="1F497D" w:themeColor="text2"/>
        </w:rPr>
      </w:pPr>
      <w:r>
        <w:rPr>
          <w:b/>
          <w:bCs/>
          <w:color w:val="1F497D" w:themeColor="text2"/>
        </w:rPr>
        <w:t>Chemin critique</w:t>
      </w:r>
    </w:p>
    <w:p w:rsidR="00CC01F6" w:rsidRDefault="00CC01F6"/>
    <w:p w:rsidR="00CC01F6" w:rsidRDefault="004A2A87">
      <w:r>
        <w:t xml:space="preserve">L'activation de l'option « Afficher le chemin critique » dans GanttProject permet d'identifier les tâches ne disposant d'aucune marge de sécurité (flottement) : tout retard sur l'une </w:t>
      </w:r>
      <w:r>
        <w:t>de ces tâches décale automatiquement la date de livraison finale du projet (11 décembre 2026).</w:t>
      </w:r>
    </w:p>
    <w:p w:rsidR="00CC01F6" w:rsidRDefault="00CC01F6"/>
    <w:p w:rsidR="00CC01F6" w:rsidRDefault="004A2A87">
      <w:r>
        <w:t>L'analyse du planning met en évidence que la phase « Déploiement » (regroupant « Mise en production » et « Formation du personnel RH ») appartient au chemin cri</w:t>
      </w:r>
      <w:r>
        <w:t>tique : elle s'enchaîne directement après la validation des tests, sans aucune marge de sécurité. Un retard sur cette phase se répercuterait immédiatement sur la date de livraison contractuelle du projet.</w:t>
      </w:r>
    </w:p>
    <w:p w:rsidR="00CC01F6" w:rsidRDefault="00CC01F6"/>
    <w:p w:rsidR="00CC01F6" w:rsidRDefault="004A2A87">
      <w:r>
        <w:t>Ce constat renforce la pertinence du buffer risque</w:t>
      </w:r>
      <w:r>
        <w:t>s (20%) intégré dans le chiffrage global : cette marge vise précisément à absorber d'éventuels aléas sur les tâches critiques, sans compromettre l'engagement de livraison auprès de l'hôpital de Karantaba.</w:t>
      </w:r>
    </w:p>
    <w:p w:rsidR="00CC01F6" w:rsidRDefault="00CC01F6"/>
    <w:p w:rsidR="00CC01F6" w:rsidRDefault="004A2A87">
      <w:pPr>
        <w:pStyle w:val="Titre2"/>
      </w:pPr>
      <w:r>
        <w:t>Recommandations pour limiter le risque de dépassem</w:t>
      </w:r>
      <w:r>
        <w:t>ent de délai</w:t>
      </w:r>
    </w:p>
    <w:p w:rsidR="00CC01F6" w:rsidRDefault="00CC01F6"/>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700"/>
      </w:tblGrid>
      <w:tr w:rsidR="00CC01F6">
        <w:tc>
          <w:tcPr>
            <w:tcW w:w="2800" w:type="dxa"/>
            <w:shd w:val="clear" w:color="auto" w:fill="D9E2F3"/>
          </w:tcPr>
          <w:p w:rsidR="00CC01F6" w:rsidRDefault="004A2A87">
            <w:r>
              <w:rPr>
                <w:b/>
                <w:bCs/>
              </w:rPr>
              <w:t>Recommandation</w:t>
            </w:r>
          </w:p>
        </w:tc>
        <w:tc>
          <w:tcPr>
            <w:tcW w:w="6700" w:type="dxa"/>
            <w:shd w:val="clear" w:color="auto" w:fill="D9E2F3"/>
          </w:tcPr>
          <w:p w:rsidR="00CC01F6" w:rsidRDefault="004A2A87">
            <w:r>
              <w:rPr>
                <w:b/>
                <w:bCs/>
              </w:rPr>
              <w:t>Justification</w:t>
            </w:r>
          </w:p>
        </w:tc>
      </w:tr>
      <w:tr w:rsidR="00CC01F6">
        <w:tc>
          <w:tcPr>
            <w:tcW w:w="2800" w:type="dxa"/>
          </w:tcPr>
          <w:p w:rsidR="00CC01F6" w:rsidRDefault="004A2A87">
            <w:r>
              <w:t>Renforcer le suivi du module Paie (2.3.1 à 2.3.3)</w:t>
            </w:r>
          </w:p>
        </w:tc>
        <w:tc>
          <w:tcPr>
            <w:tcW w:w="6700" w:type="dxa"/>
          </w:tcPr>
          <w:p w:rsidR="00CC01F6" w:rsidRDefault="004A2A87">
            <w:r>
              <w:t>C'est la tâche la plus longue du chemin critique (14 j/h en continu, assignée à Dev C). Un point d'avancement rapproché (ex : hebdomadaire) sur ce module permettrait de détecter tout retard le plus tôt possible.</w:t>
            </w:r>
          </w:p>
        </w:tc>
      </w:tr>
      <w:tr w:rsidR="00CC01F6">
        <w:tc>
          <w:tcPr>
            <w:tcW w:w="2800" w:type="dxa"/>
          </w:tcPr>
          <w:p w:rsidR="00CC01F6" w:rsidRDefault="004A2A87">
            <w:r>
              <w:t xml:space="preserve">Prévoir une marge de sécurité sur la phase </w:t>
            </w:r>
            <w:r>
              <w:t>de tests (4.1 et 4.2)</w:t>
            </w:r>
          </w:p>
        </w:tc>
        <w:tc>
          <w:tcPr>
            <w:tcW w:w="6700" w:type="dxa"/>
          </w:tcPr>
          <w:p w:rsidR="00CC01F6" w:rsidRDefault="004A2A87">
            <w:r>
              <w:t>Les tests fonctionnels et les corrections de bugs sont sur le chemin critique et dépendent directement de la qualité du développement en amont. Un dépassement sur le module Paie se répercuterait directement ici.</w:t>
            </w:r>
          </w:p>
        </w:tc>
      </w:tr>
      <w:tr w:rsidR="00CC01F6">
        <w:tc>
          <w:tcPr>
            <w:tcW w:w="2800" w:type="dxa"/>
          </w:tcPr>
          <w:p w:rsidR="00CC01F6" w:rsidRDefault="004A2A87">
            <w:r>
              <w:t>Anticiper la formatio</w:t>
            </w:r>
            <w:r>
              <w:t>n du personnel (5.2) en parallèle de la mise en production (5.1)</w:t>
            </w:r>
          </w:p>
        </w:tc>
        <w:tc>
          <w:tcPr>
            <w:tcW w:w="6700" w:type="dxa"/>
          </w:tcPr>
          <w:p w:rsidR="00CC01F6" w:rsidRDefault="004A2A87">
            <w:r>
              <w:t>La formation (2 j/h) dépasse légèrement la mise en production (2 j/h mais terminée plus tôt) et détermine la date de clôture finale du projet. Planifier les formateurs et les créneaux en amon</w:t>
            </w:r>
            <w:r>
              <w:t>t évite un délai supplémentaire à cette étape.</w:t>
            </w:r>
          </w:p>
        </w:tc>
      </w:tr>
      <w:tr w:rsidR="00CC01F6">
        <w:tc>
          <w:tcPr>
            <w:tcW w:w="2800" w:type="dxa"/>
          </w:tcPr>
          <w:p w:rsidR="00CC01F6" w:rsidRDefault="004A2A87">
            <w:r>
              <w:t>Ne pas affecter Dev C à d'autres tâches pendant le développement du module Paie</w:t>
            </w:r>
          </w:p>
        </w:tc>
        <w:tc>
          <w:tcPr>
            <w:tcW w:w="6700" w:type="dxa"/>
          </w:tcPr>
          <w:p w:rsidR="00CC01F6" w:rsidRDefault="004A2A87">
            <w:r>
              <w:t>Dev C porte la charge continue la plus lourde du chemin critique (14 j/h). Toute interruption ou double affectation sur cette période retarderait directement l'ensemble du projet.</w:t>
            </w:r>
          </w:p>
        </w:tc>
      </w:tr>
      <w:tr w:rsidR="00CC01F6">
        <w:tc>
          <w:tcPr>
            <w:tcW w:w="2800" w:type="dxa"/>
          </w:tcPr>
          <w:p w:rsidR="00CC01F6" w:rsidRDefault="004A2A87">
            <w:r>
              <w:t>Surveiller les délais de livraison du matériel (3.2, 3.3)</w:t>
            </w:r>
          </w:p>
        </w:tc>
        <w:tc>
          <w:tcPr>
            <w:tcW w:w="6700" w:type="dxa"/>
          </w:tcPr>
          <w:p w:rsidR="00CC01F6" w:rsidRDefault="004A2A87">
            <w:r>
              <w:t>Ces tâches sont t</w:t>
            </w:r>
            <w:r>
              <w:t>raitées comme des jalons sans charge de travail dans le planning, mais un retard réel de livraison fournisseur (non modélisé ici) pourrait retarder les tests si le matériel n'est pas disponible à temps.</w:t>
            </w:r>
          </w:p>
        </w:tc>
      </w:tr>
    </w:tbl>
    <w:p w:rsidR="00CC01F6" w:rsidRDefault="00CC01F6"/>
    <w:sectPr w:rsidR="00CC01F6">
      <w:pgSz w:w="12240" w:h="15840"/>
      <w:pgMar w:top="1440" w:right="1440" w:bottom="1440" w:left="1440" w:header="708" w:footer="708" w:gutter="0"/>
      <w:cols w:space="170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2A87" w:rsidRDefault="004A2A87">
      <w:r>
        <w:separator/>
      </w:r>
    </w:p>
  </w:endnote>
  <w:endnote w:type="continuationSeparator" w:id="0">
    <w:p w:rsidR="004A2A87" w:rsidRDefault="004A2A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2A87" w:rsidRDefault="004A2A87">
      <w:r>
        <w:separator/>
      </w:r>
    </w:p>
  </w:footnote>
  <w:footnote w:type="continuationSeparator" w:id="0">
    <w:p w:rsidR="004A2A87" w:rsidRDefault="004A2A8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9F6B5D"/>
    <w:multiLevelType w:val="multilevel"/>
    <w:tmpl w:val="42F0713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1F6"/>
    <w:rsid w:val="004A2A87"/>
    <w:rsid w:val="00CC01F6"/>
    <w:rsid w:val="00D93C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7D7B5"/>
  <w15:docId w15:val="{29F1C663-4B01-465D-8794-C2F50EBB7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link w:val="Titre1Car"/>
    <w:qFormat/>
    <w:pPr>
      <w:outlineLvl w:val="0"/>
    </w:pPr>
    <w:rPr>
      <w:color w:val="2E74B5"/>
      <w:sz w:val="32"/>
      <w:szCs w:val="32"/>
    </w:rPr>
  </w:style>
  <w:style w:type="paragraph" w:styleId="Titre2">
    <w:name w:val="heading 2"/>
    <w:link w:val="Titre2Car"/>
    <w:qFormat/>
    <w:pPr>
      <w:outlineLvl w:val="1"/>
    </w:pPr>
    <w:rPr>
      <w:color w:val="2E74B5"/>
      <w:sz w:val="26"/>
      <w:szCs w:val="26"/>
    </w:rPr>
  </w:style>
  <w:style w:type="paragraph" w:styleId="Titre3">
    <w:name w:val="heading 3"/>
    <w:link w:val="Titre3Car"/>
    <w:qFormat/>
    <w:pPr>
      <w:outlineLvl w:val="2"/>
    </w:pPr>
    <w:rPr>
      <w:color w:val="1F4D78"/>
      <w:sz w:val="24"/>
      <w:szCs w:val="24"/>
    </w:rPr>
  </w:style>
  <w:style w:type="paragraph" w:styleId="Titre4">
    <w:name w:val="heading 4"/>
    <w:link w:val="Titre4Car"/>
    <w:qFormat/>
    <w:pPr>
      <w:outlineLvl w:val="3"/>
    </w:pPr>
    <w:rPr>
      <w:i/>
      <w:iCs/>
      <w:color w:val="2E74B5"/>
    </w:rPr>
  </w:style>
  <w:style w:type="paragraph" w:styleId="Titre5">
    <w:name w:val="heading 5"/>
    <w:link w:val="Titre5Car"/>
    <w:qFormat/>
    <w:pPr>
      <w:outlineLvl w:val="4"/>
    </w:pPr>
    <w:rPr>
      <w:color w:val="2E74B5"/>
    </w:rPr>
  </w:style>
  <w:style w:type="paragraph" w:styleId="Titre6">
    <w:name w:val="heading 6"/>
    <w:link w:val="Titre6Car"/>
    <w:qFormat/>
    <w:pPr>
      <w:outlineLvl w:val="5"/>
    </w:pPr>
    <w:rPr>
      <w:color w:val="1F4D78"/>
    </w:rPr>
  </w:style>
  <w:style w:type="paragraph" w:styleId="Titre7">
    <w:name w:val="heading 7"/>
    <w:basedOn w:val="Normal"/>
    <w:next w:val="Normal"/>
    <w:link w:val="Titre7Car"/>
    <w:uiPriority w:val="9"/>
    <w:unhideWhenUsed/>
    <w:qFormat/>
    <w:pPr>
      <w:keepNext/>
      <w:keepLines/>
      <w:spacing w:before="40"/>
      <w:outlineLvl w:val="6"/>
    </w:pPr>
    <w:rPr>
      <w:rFonts w:ascii="Arial" w:eastAsia="Arial" w:hAnsi="Arial" w:cs="Arial"/>
      <w:color w:val="595959" w:themeColor="text1" w:themeTint="A6"/>
    </w:rPr>
  </w:style>
  <w:style w:type="paragraph" w:styleId="Titre8">
    <w:name w:val="heading 8"/>
    <w:basedOn w:val="Normal"/>
    <w:next w:val="Normal"/>
    <w:link w:val="Titre8Car"/>
    <w:uiPriority w:val="9"/>
    <w:unhideWhenUsed/>
    <w:qFormat/>
    <w:pPr>
      <w:keepNext/>
      <w:keepLines/>
      <w:outlineLvl w:val="7"/>
    </w:pPr>
    <w:rPr>
      <w:rFonts w:ascii="Arial" w:eastAsia="Arial" w:hAnsi="Arial" w:cs="Arial"/>
      <w:i/>
      <w:iCs/>
      <w:color w:val="272727" w:themeColor="text1" w:themeTint="D8"/>
    </w:rPr>
  </w:style>
  <w:style w:type="paragraph" w:styleId="Titre9">
    <w:name w:val="heading 9"/>
    <w:basedOn w:val="Normal"/>
    <w:next w:val="Normal"/>
    <w:link w:val="Titre9Car"/>
    <w:uiPriority w:val="9"/>
    <w:unhideWhenUsed/>
    <w:qFormat/>
    <w:pPr>
      <w:keepNext/>
      <w:keepLines/>
      <w:outlineLvl w:val="8"/>
    </w:pPr>
    <w:rPr>
      <w:rFonts w:ascii="Arial" w:eastAsia="Arial" w:hAnsi="Arial" w:cs="Arial"/>
      <w:i/>
      <w:iCs/>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au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au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au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au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au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eauGrille2">
    <w:name w:val="Grid Table 2"/>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au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au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au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au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au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eauGrille3">
    <w:name w:val="Grid Table 3"/>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au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au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au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au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au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eauGrille4">
    <w:name w:val="Grid Table 4"/>
    <w:basedOn w:val="Tableau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au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au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au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au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au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eauGrille5Fonc">
    <w:name w:val="Grid Table 5 Dark"/>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eauGrille6Couleur">
    <w:name w:val="Grid Table 6 Colorful"/>
    <w:basedOn w:val="Tableau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au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au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au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au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au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eauGrille7Couleur">
    <w:name w:val="Grid Table 7 Colorful"/>
    <w:basedOn w:val="Tableau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au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au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au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au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au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eauListe1Clair">
    <w:name w:val="List Table 1 Light"/>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eauListe2">
    <w:name w:val="List Table 2"/>
    <w:basedOn w:val="Tableau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au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au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au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au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au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eauListe3">
    <w:name w:val="List Table 3"/>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au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au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au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au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au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eauListe4">
    <w:name w:val="List Table 4"/>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au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au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au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au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au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eauListe5Fonc">
    <w:name w:val="List Table 5 Dark"/>
    <w:basedOn w:val="Tableau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au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au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au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au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au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eauListe6Couleur">
    <w:name w:val="List Table 6 Colorful"/>
    <w:basedOn w:val="Tableau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au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au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au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au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au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eauListe7Couleur">
    <w:name w:val="List Table 7 Colorful"/>
    <w:basedOn w:val="Tableau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au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au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au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au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au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au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au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au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au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au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au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au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au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au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au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au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au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au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au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au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au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au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au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re1Car">
    <w:name w:val="Titre 1 Car"/>
    <w:basedOn w:val="Policepardfaut"/>
    <w:link w:val="Titre1"/>
    <w:uiPriority w:val="9"/>
    <w:rPr>
      <w:rFonts w:ascii="Arial" w:eastAsia="Arial" w:hAnsi="Arial" w:cs="Arial"/>
      <w:color w:val="365F91" w:themeColor="accent1" w:themeShade="BF"/>
      <w:sz w:val="40"/>
      <w:szCs w:val="40"/>
    </w:rPr>
  </w:style>
  <w:style w:type="character" w:customStyle="1" w:styleId="Titre2Car">
    <w:name w:val="Titre 2 Car"/>
    <w:basedOn w:val="Policepardfaut"/>
    <w:link w:val="Titre2"/>
    <w:uiPriority w:val="9"/>
    <w:rPr>
      <w:rFonts w:ascii="Arial" w:eastAsia="Arial" w:hAnsi="Arial" w:cs="Arial"/>
      <w:color w:val="365F91" w:themeColor="accent1" w:themeShade="BF"/>
      <w:sz w:val="32"/>
      <w:szCs w:val="32"/>
    </w:rPr>
  </w:style>
  <w:style w:type="character" w:customStyle="1" w:styleId="Titre3Car">
    <w:name w:val="Titre 3 Car"/>
    <w:basedOn w:val="Policepardfaut"/>
    <w:link w:val="Titre3"/>
    <w:uiPriority w:val="9"/>
    <w:rPr>
      <w:rFonts w:ascii="Arial" w:eastAsia="Arial" w:hAnsi="Arial" w:cs="Arial"/>
      <w:color w:val="365F91" w:themeColor="accent1" w:themeShade="BF"/>
      <w:sz w:val="28"/>
      <w:szCs w:val="28"/>
    </w:rPr>
  </w:style>
  <w:style w:type="character" w:customStyle="1" w:styleId="Titre4Car">
    <w:name w:val="Titre 4 Car"/>
    <w:basedOn w:val="Policepardfaut"/>
    <w:link w:val="Titre4"/>
    <w:uiPriority w:val="9"/>
    <w:rPr>
      <w:rFonts w:ascii="Arial" w:eastAsia="Arial" w:hAnsi="Arial" w:cs="Arial"/>
      <w:i/>
      <w:iCs/>
      <w:color w:val="365F91" w:themeColor="accent1" w:themeShade="BF"/>
    </w:rPr>
  </w:style>
  <w:style w:type="character" w:customStyle="1" w:styleId="Titre5Car">
    <w:name w:val="Titre 5 Car"/>
    <w:basedOn w:val="Policepardfaut"/>
    <w:link w:val="Titre5"/>
    <w:uiPriority w:val="9"/>
    <w:rPr>
      <w:rFonts w:ascii="Arial" w:eastAsia="Arial" w:hAnsi="Arial" w:cs="Arial"/>
      <w:color w:val="365F91" w:themeColor="accent1" w:themeShade="BF"/>
    </w:rPr>
  </w:style>
  <w:style w:type="character" w:customStyle="1" w:styleId="Titre6Car">
    <w:name w:val="Titre 6 Car"/>
    <w:basedOn w:val="Policepardfaut"/>
    <w:link w:val="Titre6"/>
    <w:uiPriority w:val="9"/>
    <w:rPr>
      <w:rFonts w:ascii="Arial" w:eastAsia="Arial" w:hAnsi="Arial" w:cs="Arial"/>
      <w:i/>
      <w:iCs/>
      <w:color w:val="595959" w:themeColor="text1" w:themeTint="A6"/>
    </w:rPr>
  </w:style>
  <w:style w:type="character" w:customStyle="1" w:styleId="Titre7Car">
    <w:name w:val="Titre 7 Car"/>
    <w:basedOn w:val="Policepardfaut"/>
    <w:link w:val="Titre7"/>
    <w:uiPriority w:val="9"/>
    <w:rPr>
      <w:rFonts w:ascii="Arial" w:eastAsia="Arial" w:hAnsi="Arial" w:cs="Arial"/>
      <w:color w:val="595959" w:themeColor="text1" w:themeTint="A6"/>
    </w:rPr>
  </w:style>
  <w:style w:type="character" w:customStyle="1" w:styleId="Titre8Car">
    <w:name w:val="Titre 8 Car"/>
    <w:basedOn w:val="Policepardfaut"/>
    <w:link w:val="Titre8"/>
    <w:uiPriority w:val="9"/>
    <w:rPr>
      <w:rFonts w:ascii="Arial" w:eastAsia="Arial" w:hAnsi="Arial" w:cs="Arial"/>
      <w:i/>
      <w:iCs/>
      <w:color w:val="272727" w:themeColor="text1" w:themeTint="D8"/>
    </w:rPr>
  </w:style>
  <w:style w:type="character" w:customStyle="1" w:styleId="Titre9Car">
    <w:name w:val="Titre 9 Car"/>
    <w:basedOn w:val="Policepardfaut"/>
    <w:link w:val="Titre9"/>
    <w:uiPriority w:val="9"/>
    <w:rPr>
      <w:rFonts w:ascii="Arial" w:eastAsia="Arial" w:hAnsi="Arial" w:cs="Arial"/>
      <w:i/>
      <w:iCs/>
      <w:color w:val="272727" w:themeColor="text1" w:themeTint="D8"/>
    </w:rPr>
  </w:style>
  <w:style w:type="character" w:customStyle="1" w:styleId="TitreCar">
    <w:name w:val="Titre Car"/>
    <w:basedOn w:val="Policepardfaut"/>
    <w:link w:val="Titre"/>
    <w:uiPriority w:val="10"/>
    <w:rPr>
      <w:rFonts w:ascii="Arial" w:eastAsia="Arial" w:hAnsi="Arial" w:cs="Arial"/>
      <w:spacing w:val="-10"/>
      <w:sz w:val="56"/>
      <w:szCs w:val="56"/>
    </w:rPr>
  </w:style>
  <w:style w:type="paragraph" w:styleId="Sous-titre">
    <w:name w:val="Subtitle"/>
    <w:basedOn w:val="Normal"/>
    <w:next w:val="Normal"/>
    <w:link w:val="Sous-titreCar"/>
    <w:uiPriority w:val="11"/>
    <w:qFormat/>
    <w:pPr>
      <w:numPr>
        <w:ilvl w:val="1"/>
      </w:numPr>
    </w:pPr>
    <w:rPr>
      <w:color w:val="595959" w:themeColor="text1" w:themeTint="A6"/>
      <w:spacing w:val="15"/>
      <w:sz w:val="28"/>
      <w:szCs w:val="28"/>
    </w:rPr>
  </w:style>
  <w:style w:type="character" w:customStyle="1" w:styleId="Sous-titreCar">
    <w:name w:val="Sous-titre Car"/>
    <w:basedOn w:val="Policepardfaut"/>
    <w:link w:val="Sous-titre"/>
    <w:uiPriority w:val="11"/>
    <w:rPr>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character" w:styleId="Emphaseintense">
    <w:name w:val="Intense Emphasis"/>
    <w:basedOn w:val="Policepardfaut"/>
    <w:uiPriority w:val="21"/>
    <w:qFormat/>
    <w:rPr>
      <w:i/>
      <w:iCs/>
      <w:color w:val="365F91" w:themeColor="accent1" w:themeShade="BF"/>
    </w:rPr>
  </w:style>
  <w:style w:type="paragraph" w:styleId="Citationintense">
    <w:name w:val="Intense Quote"/>
    <w:basedOn w:val="Normal"/>
    <w:next w:val="Normal"/>
    <w:link w:val="Citationintense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Pr>
      <w:i/>
      <w:iCs/>
      <w:color w:val="365F91" w:themeColor="accent1" w:themeShade="BF"/>
    </w:rPr>
  </w:style>
  <w:style w:type="character" w:styleId="Rfrenceintense">
    <w:name w:val="Intense Reference"/>
    <w:basedOn w:val="Policepardfaut"/>
    <w:uiPriority w:val="32"/>
    <w:qFormat/>
    <w:rPr>
      <w:b/>
      <w:bCs/>
      <w:smallCaps/>
      <w:color w:val="365F91" w:themeColor="accent1" w:themeShade="BF"/>
      <w:spacing w:val="5"/>
    </w:rPr>
  </w:style>
  <w:style w:type="paragraph" w:styleId="Sansinterligne">
    <w:name w:val="No Spacing"/>
    <w:basedOn w:val="Normal"/>
    <w:uiPriority w:val="1"/>
    <w:qFormat/>
  </w:style>
  <w:style w:type="character" w:styleId="Emphasepl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Rfrencepl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paragraph" w:styleId="En-tte">
    <w:name w:val="header"/>
    <w:basedOn w:val="Normal"/>
    <w:link w:val="En-tteCar"/>
    <w:uiPriority w:val="99"/>
    <w:unhideWhenUsed/>
    <w:pPr>
      <w:tabs>
        <w:tab w:val="center" w:pos="4844"/>
        <w:tab w:val="right" w:pos="9689"/>
      </w:tabs>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tabs>
        <w:tab w:val="center" w:pos="4844"/>
        <w:tab w:val="right" w:pos="9689"/>
      </w:tabs>
    </w:pPr>
  </w:style>
  <w:style w:type="character" w:customStyle="1" w:styleId="PieddepageCar">
    <w:name w:val="Pied de page Car"/>
    <w:basedOn w:val="Policepardfaut"/>
    <w:link w:val="Pieddepage"/>
    <w:uiPriority w:val="99"/>
  </w:style>
  <w:style w:type="paragraph" w:styleId="Lgende">
    <w:name w:val="caption"/>
    <w:basedOn w:val="Normal"/>
    <w:next w:val="Normal"/>
    <w:uiPriority w:val="35"/>
    <w:unhideWhenUsed/>
    <w:qFormat/>
    <w:pPr>
      <w:spacing w:after="200"/>
    </w:pPr>
    <w:rPr>
      <w:i/>
      <w:iCs/>
      <w:color w:val="1F497D" w:themeColor="text2"/>
      <w:sz w:val="18"/>
      <w:szCs w:val="18"/>
    </w:rPr>
  </w:style>
  <w:style w:type="character" w:styleId="Lienhypertextesuivivisit">
    <w:name w:val="FollowedHyperlink"/>
    <w:basedOn w:val="Policepardfaut"/>
    <w:uiPriority w:val="99"/>
    <w:semiHidden/>
    <w:unhideWhenUsed/>
    <w:rPr>
      <w:color w:val="800080" w:themeColor="followedHyperlink"/>
      <w:u w:val="single"/>
    </w:rPr>
  </w:style>
  <w:style w:type="paragraph" w:styleId="TM1">
    <w:name w:val="toc 1"/>
    <w:basedOn w:val="Normal"/>
    <w:next w:val="Normal"/>
    <w:uiPriority w:val="39"/>
    <w:unhideWhenUsed/>
    <w:pPr>
      <w:spacing w:after="100"/>
    </w:pPr>
  </w:style>
  <w:style w:type="paragraph" w:styleId="TM2">
    <w:name w:val="toc 2"/>
    <w:basedOn w:val="Normal"/>
    <w:next w:val="Normal"/>
    <w:uiPriority w:val="39"/>
    <w:unhideWhenUsed/>
    <w:pPr>
      <w:spacing w:after="100"/>
      <w:ind w:left="220"/>
    </w:pPr>
  </w:style>
  <w:style w:type="paragraph" w:styleId="TM3">
    <w:name w:val="toc 3"/>
    <w:basedOn w:val="Normal"/>
    <w:next w:val="Normal"/>
    <w:uiPriority w:val="39"/>
    <w:unhideWhenUsed/>
    <w:pPr>
      <w:spacing w:after="100"/>
      <w:ind w:left="440"/>
    </w:pPr>
  </w:style>
  <w:style w:type="paragraph" w:styleId="TM4">
    <w:name w:val="toc 4"/>
    <w:basedOn w:val="Normal"/>
    <w:next w:val="Normal"/>
    <w:uiPriority w:val="39"/>
    <w:unhideWhenUsed/>
    <w:pPr>
      <w:spacing w:after="100"/>
      <w:ind w:left="660"/>
    </w:pPr>
  </w:style>
  <w:style w:type="paragraph" w:styleId="TM5">
    <w:name w:val="toc 5"/>
    <w:basedOn w:val="Normal"/>
    <w:next w:val="Normal"/>
    <w:uiPriority w:val="39"/>
    <w:unhideWhenUsed/>
    <w:pPr>
      <w:spacing w:after="100"/>
      <w:ind w:left="880"/>
    </w:pPr>
  </w:style>
  <w:style w:type="paragraph" w:styleId="TM6">
    <w:name w:val="toc 6"/>
    <w:basedOn w:val="Normal"/>
    <w:next w:val="Normal"/>
    <w:uiPriority w:val="39"/>
    <w:unhideWhenUsed/>
    <w:pPr>
      <w:spacing w:after="100"/>
      <w:ind w:left="1100"/>
    </w:pPr>
  </w:style>
  <w:style w:type="paragraph" w:styleId="TM7">
    <w:name w:val="toc 7"/>
    <w:basedOn w:val="Normal"/>
    <w:next w:val="Normal"/>
    <w:uiPriority w:val="39"/>
    <w:unhideWhenUsed/>
    <w:pPr>
      <w:spacing w:after="100"/>
      <w:ind w:left="1320"/>
    </w:pPr>
  </w:style>
  <w:style w:type="paragraph" w:styleId="TM8">
    <w:name w:val="toc 8"/>
    <w:basedOn w:val="Normal"/>
    <w:next w:val="Normal"/>
    <w:uiPriority w:val="39"/>
    <w:unhideWhenUsed/>
    <w:pPr>
      <w:spacing w:after="100"/>
      <w:ind w:left="1540"/>
    </w:pPr>
  </w:style>
  <w:style w:type="paragraph" w:styleId="TM9">
    <w:name w:val="toc 9"/>
    <w:basedOn w:val="Normal"/>
    <w:next w:val="Normal"/>
    <w:uiPriority w:val="39"/>
    <w:unhideWhenUsed/>
    <w:pPr>
      <w:spacing w:after="100"/>
      <w:ind w:left="1760"/>
    </w:pPr>
  </w:style>
  <w:style w:type="character" w:styleId="Textedelespacerserv">
    <w:name w:val="Placeholder Text"/>
    <w:basedOn w:val="Policepardfaut"/>
    <w:uiPriority w:val="99"/>
    <w:semiHidden/>
    <w:rPr>
      <w:color w:val="666666"/>
    </w:rPr>
  </w:style>
  <w:style w:type="paragraph" w:styleId="En-ttedetabledesmatires">
    <w:name w:val="TOC Heading"/>
    <w:uiPriority w:val="39"/>
    <w:unhideWhenUsed/>
  </w:style>
  <w:style w:type="paragraph" w:styleId="Tabledesillustrations">
    <w:name w:val="table of figures"/>
    <w:basedOn w:val="Normal"/>
    <w:next w:val="Normal"/>
    <w:uiPriority w:val="99"/>
    <w:unhideWhenUsed/>
  </w:style>
  <w:style w:type="paragraph" w:styleId="Titre">
    <w:name w:val="Title"/>
    <w:link w:val="TitreCar"/>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900</Words>
  <Characters>4953</Characters>
  <Application>Microsoft Office Word</Application>
  <DocSecurity>0</DocSecurity>
  <Lines>41</Lines>
  <Paragraphs>11</Paragraphs>
  <ScaleCrop>false</ScaleCrop>
  <Company/>
  <LinksUpToDate>false</LinksUpToDate>
  <CharactersWithSpaces>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2026-09-08T22:45:00Z</dcterms:created>
  <dcterms:modified xsi:type="dcterms:W3CDTF">2026-09-23T09:46:00Z</dcterms:modified>
</cp:coreProperties>
</file>