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gcr7ohsclv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NFR — Нефункциональные требования к страховой платформе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a3e0uejknxw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Общая информация</w:t>
      </w:r>
    </w:p>
    <w:tbl>
      <w:tblPr>
        <w:tblStyle w:val="Table1"/>
        <w:tblW w:w="83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5915"/>
        <w:tblGridChange w:id="0">
          <w:tblGrid>
            <w:gridCol w:w="2390"/>
            <w:gridCol w:w="59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Поле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NFR-POLICY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Название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Нефункциональные требования к страховой платформе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Версия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Статус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Draft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Приоритет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Автор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Связанный документ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SRS — Оформление страховых полисов</w:t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2x8h6mgw1z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Производительность (Performance)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pofb5p08h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NFR-001 — Время ответа API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95% запросов на получение информации о страховых продуктах должны обрабатываться не более чем за 300 мс.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99% запросов на создание заявки должны обрабатываться не более чем за 2 секунды.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Измерение проводится на серверной стороне при согласованной рабочей нагрузке.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9nfk9qmfc5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NFR-002 — Пропускная способность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поддерживать не менее 2 000 HTTP-запросов в секунду.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указанной нагрузке должны соблюдаться требования NFR-001.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Доля серверных ошибок 5xx не должна превышать 0,1% за время нагрузочного испытания.</w:t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lk0x71awoj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Доступность (Availability)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tnwtvr91t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NFR-003 — Доступность сервиса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Доступность основных функций оформления полисов должна составлять не менее 99,9% за календарный месяц.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Плановые технические работы и исключения из расчёта доступности должны быть отдельно согласованы.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mqi9nnn5lg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NFR-004 — Восстановление после аварии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RTO:</w:t>
      </w:r>
      <w:r w:rsidDel="00000000" w:rsidR="00000000" w:rsidRPr="00000000">
        <w:rPr>
          <w:rtl w:val="0"/>
        </w:rPr>
        <w:t xml:space="preserve"> не более 30 минут.</w:t>
      </w:r>
    </w:p>
    <w:p w:rsidR="00000000" w:rsidDel="00000000" w:rsidP="00000000" w:rsidRDefault="00000000" w:rsidRPr="00000000" w14:paraId="0000002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RPO:</w:t>
      </w:r>
      <w:r w:rsidDel="00000000" w:rsidR="00000000" w:rsidRPr="00000000">
        <w:rPr>
          <w:rtl w:val="0"/>
        </w:rPr>
        <w:t xml:space="preserve"> не более 5 минут.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RTO — максимально допустимое время восстановления сервиса.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RPO — максимально допустимый период потери данных при аварии.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x2pcu8d2fn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Масштабируемость (Scalability)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c9y8wg7ql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NFR-005 — Горизонтальное масштабирование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При увеличении нагрузки система должна поддерживать добавление экземпляров прикладных сервисов без изменения их бизнес-логики.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сохранять корректность обработки запросов при одновременной работе нескольких экземпляров.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meo9nuntew4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NFR-006 — Рост объёма данных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поддерживать хранение не менее 10 млн страховых полисов.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достижении указанного объёма данных должны соблюдаться согласованные показатели производительности.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mzfzco1pez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Безопасность (Security)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v2kuxk9pl9r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NFR-007 — Защита данных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Передача персональных данных должна осуществляться по защищённым соединениям TLS 1.2 или выше.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Доступ к персональным данным должен предоставляться только авторизованным пользователям с соответствующими правами.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соответствовать применимым требованиям законодательства РФ о персональных данных.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jl9dfpvag6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NFR-008 — Аудит действий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регистрировать изменения страховых полисов и значимых данных заявок.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Запись аудита должна содержать идентификатор инициатора, тип операции, время и результат.</w:t>
      </w:r>
    </w:p>
    <w:p w:rsidR="00000000" w:rsidDel="00000000" w:rsidP="00000000" w:rsidRDefault="00000000" w:rsidRPr="00000000" w14:paraId="000000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Необходимо исключить несанкционированное изменение записей аудита.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5vi2265ebt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Надёжность (Reliability)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u9nqi70lcua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NFR-009 — Устойчивость к сбоям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Сбой одного экземпляра прикладного сервиса не должен приводить к полной недоступности системы.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повторной обработке платёжного уведомления не должно происходить повторное создание полиса.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После временного сбоя обработки система должна обеспечивать восстановление незавершённых операций.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0pgvo2c18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NFR-010 — Целостность данных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не должна допускать появления двух активных полисов в результате повторной обработки одной операции оформления.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Данные подтверждённых платежей не должны теряться при перезапуске прикладного сервиса.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c9ljxrlrtul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Наблюдаемость (Observability)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682u6n5kpo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NFR-011 — Логирование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Система должна регистрировать ошибки и значимые события обработки заявок.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должны содержать идентификатор корреляции для отслеживания операций между сервисами.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Логи не должны содержать пароли, токены доступа и иные секреты.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c0uncnn34v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NFR-012 — Мониторинг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Должны собираться метрики количества запросов, времени ответа и ошибок.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При превышении согласованных порогов ошибок или задержек должны формироваться уведомления ответственной команде.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6urezh4q0e5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Совместимость (Compatibility)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peqi66d9uqq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NFR-013 — Поддержка браузеров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Веб-приложение должно корректно работать в двух последних стабильных основных версиях: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Google Chrome.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Microsoft Edge.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Mozilla Firefox.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Safari.</w:t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iji2vwmpe3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Удобство использования (Usability)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4jh936ns58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NFR-014 — Удобство оформления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Не менее 90% участников пользовательского тестирования должны успешно оформить полис без помощи оператора.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Проверка проводится по согласованному сценарию на репрезентативной выборке пользователей.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9yjar9on8z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Сопровождаемость (Maintainability)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aa2blv4sdr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NFR-015 — Автоматизированное тестирование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Критические сценарии оформления и оплаты должны быть покрыты автоматизированными тестами.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Изменения должны проходить установленные проверки качества в CI/CD до выпуска в промышленную среду.</w:t>
      </w:r>
    </w:p>
    <w:p w:rsidR="00000000" w:rsidDel="00000000" w:rsidP="00000000" w:rsidRDefault="00000000" w:rsidRPr="00000000" w14:paraId="000000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131qnt0ne2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Проверка и приёмка</w:t>
      </w:r>
    </w:p>
    <w:tbl>
      <w:tblPr>
        <w:tblStyle w:val="Table2"/>
        <w:tblW w:w="7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0"/>
        <w:gridCol w:w="6185"/>
        <w:tblGridChange w:id="0">
          <w:tblGrid>
            <w:gridCol w:w="1610"/>
            <w:gridCol w:w="6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Способ проверки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NFR-001, 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Нагрузочное тестирование (k6, JMeter)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NFR-003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Анализ метрик доступности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NFR-004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Испытание процедуры аварийного восстановления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NFR-005, 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Нагрузочные и масштабные испытания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NFR-007, 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Аудит безопасности и проверка доступа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NFR-009, 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Тестирование отказоустойчивости и повторной обработки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NFR-011, 012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логов, метрик и оповещений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NFR-013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Кроссбраузерное тестирование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NFR-014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Пользовательское тестирование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NFR-015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Проверка CI/CD и отчётов тестирования</w:t>
            </w:r>
          </w:p>
        </w:tc>
      </w:tr>
    </w:tbl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5f9112bywz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Согласование</w:t>
      </w:r>
    </w:p>
    <w:tbl>
      <w:tblPr>
        <w:tblStyle w:val="Table3"/>
        <w:tblW w:w="4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1940"/>
        <w:tblGridChange w:id="0">
          <w:tblGrid>
            <w:gridCol w:w="2405"/>
            <w:gridCol w:w="19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Роль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Статус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Product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На согласовании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Системный аналитик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Подготовлено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Архитектор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На ревью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DevOps / SRE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На ревью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Security Engineer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На ревью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QA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На ревью</w:t>
            </w:r>
          </w:p>
        </w:tc>
      </w:tr>
    </w:tbl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