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5853eab9cc8a5889f026266b9960af00cf7d97c"/>
    <w:p>
      <w:pPr>
        <w:pStyle w:val="Heading1"/>
      </w:pPr>
      <w:r>
        <w:t xml:space="preserve">Brief: add the counterfactual and the programme to the AFS point of view</w:t>
      </w:r>
    </w:p>
    <w:p>
      <w:pPr>
        <w:pStyle w:val="FirstParagraph"/>
      </w:pPr>
      <w:r>
        <w:t xml:space="preserve">Execute this brief. It adds two elements to the point of view already built in</w:t>
      </w:r>
      <w:r>
        <w:t xml:space="preserve"> </w:t>
      </w:r>
      <w:r>
        <w:rPr>
          <w:rStyle w:val="VerbatimChar"/>
        </w:rPr>
        <w:t xml:space="preserve">05_pov_afs_centralisation.docx</w:t>
      </w:r>
      <w:r>
        <w:t xml:space="preserve"> </w:t>
      </w:r>
      <w:r>
        <w:t xml:space="preserve">and</w:t>
      </w:r>
      <w:r>
        <w:t xml:space="preserve"> </w:t>
      </w:r>
      <w:r>
        <w:rPr>
          <w:rStyle w:val="VerbatimChar"/>
        </w:rPr>
        <w:t xml:space="preserve">06_pov_afs_centralisation.pptx</w:t>
      </w:r>
      <w:r>
        <w:t xml:space="preserve">: first, how the approach and the opportunity change if centralisation is not the explicit agenda; second, how to approach and execute the cost reduction agenda as a programme. It builds only on the evidence base in this folder. It does not re-run the research, and it changes no existing assumption without saying so in the assumptions register.</w:t>
      </w:r>
    </w:p>
    <w:bookmarkStart w:id="20" w:name="why-these-two-elements-matter"/>
    <w:p>
      <w:pPr>
        <w:pStyle w:val="Heading2"/>
      </w:pPr>
      <w:r>
        <w:t xml:space="preserve">Why these two elements matter</w:t>
      </w:r>
    </w:p>
    <w:p>
      <w:pPr>
        <w:pStyle w:val="FirstParagraph"/>
      </w:pPr>
      <w:r>
        <w:t xml:space="preserve">The point of view as it stands answers one question: what is centralisation worth. It gives a hypothesis range of R276m to R806m a year, base R505m, and shows that the money sits in the non-life book, the head office and the advice business. That answer carries a hidden premise. It treats centralisation as the frame and asks what the frame is worth. The managing executive will be asked a harder question by their board and their chief financial officer: is the cost base too high regardless of structure, and if so how much of the prize needs centralisation at all. The lever grid already contains the answer in outline. Of the 54 cells, 18 are directly enabled by centralisation, 25 are adjacent and 11 are independent of the operating model. The seven leakage cells, the largest of which is claims leakage at R55m to R183m, do not depend on centralisation in any form. The first addition makes that split explicit and sizes it.</w:t>
      </w:r>
    </w:p>
    <w:p>
      <w:pPr>
        <w:pStyle w:val="BodyText"/>
      </w:pPr>
      <w:r>
        <w:t xml:space="preserve">The second gap is execution. The point of view ends on two decisions, ten management information items and a 90-day plan to turn the range into a target. It says nothing about how the programme runs after day 90, who owns each lever, in what order the money comes, how the benefits are counted or how the regulatory path for licences and policy transfers is sequenced against the operating levers. The precedents show that the delivery shape is as important as the number. Old Mutual delivered R750m of a R1bn target in year one and overshot in year two at 0.26 times cost to achieve; Phoenix and Aegon took three years and paid 1.5 to 2 times their run-rate savings because they consolidated entities and platforms. The second addition sets out the programme that gets AFS from a hypothesis range to money in the income statement.</w:t>
      </w:r>
    </w:p>
    <w:bookmarkEnd w:id="20"/>
    <w:bookmarkStart w:id="21" w:name="role-and-audience"/>
    <w:p>
      <w:pPr>
        <w:pStyle w:val="Heading2"/>
      </w:pPr>
      <w:r>
        <w:t xml:space="preserve">Role and audience</w:t>
      </w:r>
    </w:p>
    <w:p>
      <w:pPr>
        <w:pStyle w:val="FirstParagraph"/>
      </w:pPr>
      <w:r>
        <w:t xml:space="preserve">Unchanged. You are writing for an EY partner presenting to the managing executive of Absa Financial Services. The audience is numerate and time-poor and will have the chief financial officer and chief actuary test every figure. Write as a senior adviser who has run cost programmes in insurers, not as a vendor.</w:t>
      </w:r>
    </w:p>
    <w:bookmarkEnd w:id="21"/>
    <w:bookmarkStart w:id="22" w:name="inputs-read-all-before-writing"/>
    <w:p>
      <w:pPr>
        <w:pStyle w:val="Heading2"/>
      </w:pPr>
      <w:r>
        <w:t xml:space="preserve">Inputs (read all before writing)</w:t>
      </w:r>
    </w:p>
    <w:p>
      <w:pPr>
        <w:numPr>
          <w:ilvl w:val="0"/>
          <w:numId w:val="1001"/>
        </w:numPr>
        <w:pStyle w:val="Compact"/>
      </w:pPr>
      <w:r>
        <w:rPr>
          <w:rStyle w:val="VerbatimChar"/>
        </w:rPr>
        <w:t xml:space="preserve">05_pov_afs_centralisation.docx</w:t>
      </w:r>
      <w:r>
        <w:t xml:space="preserve"> </w:t>
      </w:r>
      <w:r>
        <w:t xml:space="preserve">and</w:t>
      </w:r>
      <w:r>
        <w:t xml:space="preserve"> </w:t>
      </w:r>
      <w:r>
        <w:rPr>
          <w:rStyle w:val="VerbatimChar"/>
        </w:rPr>
        <w:t xml:space="preserve">06_pov_afs_centralisation.pptx</w:t>
      </w:r>
      <w:r>
        <w:t xml:space="preserve">: the current point of view. The new material slots into these; nothing already there is rewritten except the executive summary, the recommendation and slide 2, which must reflect the additions.</w:t>
      </w:r>
    </w:p>
    <w:p>
      <w:pPr>
        <w:numPr>
          <w:ilvl w:val="0"/>
          <w:numId w:val="1001"/>
        </w:numPr>
        <w:pStyle w:val="Compact"/>
      </w:pPr>
      <w:r>
        <w:rPr>
          <w:rStyle w:val="VerbatimChar"/>
        </w:rPr>
        <w:t xml:space="preserve">01_framework.md</w:t>
      </w:r>
      <w:r>
        <w:t xml:space="preserve"> </w:t>
      </w:r>
      <w:r>
        <w:t xml:space="preserve">sections 5, 7 and 8: the lever grid with its direct, adjacent and independent classification, the seven constraints and the metric that evidences each lever.</w:t>
      </w:r>
    </w:p>
    <w:p>
      <w:pPr>
        <w:numPr>
          <w:ilvl w:val="0"/>
          <w:numId w:val="1001"/>
        </w:numPr>
        <w:pStyle w:val="Compact"/>
      </w:pPr>
      <w:r>
        <w:rPr>
          <w:rStyle w:val="VerbatimChar"/>
        </w:rPr>
        <w:t xml:space="preserve">02_afs_cost_structure.md</w:t>
      </w:r>
      <w:r>
        <w:t xml:space="preserve"> </w:t>
      </w:r>
      <w:r>
        <w:t xml:space="preserve">sections 4 and 5: the addressable base and the ten management information items.</w:t>
      </w:r>
    </w:p>
    <w:p>
      <w:pPr>
        <w:numPr>
          <w:ilvl w:val="0"/>
          <w:numId w:val="1001"/>
        </w:numPr>
        <w:pStyle w:val="Compact"/>
      </w:pPr>
      <w:r>
        <w:rPr>
          <w:rStyle w:val="VerbatimChar"/>
        </w:rPr>
        <w:t xml:space="preserve">03_benchmark.md</w:t>
      </w:r>
      <w:r>
        <w:t xml:space="preserve"> </w:t>
      </w:r>
      <w:r>
        <w:t xml:space="preserve">sections 4 and 5: the rand gaps by lever class and the precedents with their lever mix, timeframe and cost to achieve.</w:t>
      </w:r>
    </w:p>
    <w:p>
      <w:pPr>
        <w:numPr>
          <w:ilvl w:val="0"/>
          <w:numId w:val="1001"/>
        </w:numPr>
        <w:pStyle w:val="Compact"/>
      </w:pPr>
      <w:r>
        <w:rPr>
          <w:rStyle w:val="VerbatimChar"/>
        </w:rPr>
        <w:t xml:space="preserve">afs_cost_benchmark.xlsx</w:t>
      </w:r>
      <w:r>
        <w:t xml:space="preserve">: the Gap sizing tab, section H of the AFS cost base tab and the assumptions on the Normalisation tab, in particular precedent savings as a share of base (6, 9 and 13 percent) and cost to achieve as a multiple of run-rate savings (0.5, 1.0 and 1.8).</w:t>
      </w:r>
    </w:p>
    <w:p>
      <w:pPr>
        <w:numPr>
          <w:ilvl w:val="0"/>
          <w:numId w:val="1001"/>
        </w:numPr>
        <w:pStyle w:val="Compact"/>
      </w:pPr>
      <w:r>
        <w:rPr>
          <w:rStyle w:val="VerbatimChar"/>
        </w:rPr>
        <w:t xml:space="preserve">00_summary.md</w:t>
      </w:r>
      <w:r>
        <w:t xml:space="preserve"> </w:t>
      </w:r>
      <w:r>
        <w:t xml:space="preserve">and</w:t>
      </w:r>
      <w:r>
        <w:t xml:space="preserve"> </w:t>
      </w:r>
      <w:r>
        <w:rPr>
          <w:rStyle w:val="VerbatimChar"/>
        </w:rPr>
        <w:t xml:space="preserve">04_pov_brief.md</w:t>
      </w:r>
      <w:r>
        <w:t xml:space="preserve"> </w:t>
      </w:r>
      <w:r>
        <w:t xml:space="preserve">for the rules and the voice.</w:t>
      </w:r>
    </w:p>
    <w:bookmarkEnd w:id="22"/>
    <w:bookmarkStart w:id="23" w:name="rules"/>
    <w:p>
      <w:pPr>
        <w:pStyle w:val="Heading2"/>
      </w:pPr>
      <w:r>
        <w:t xml:space="preserve">Rules</w:t>
      </w:r>
    </w:p>
    <w:p>
      <w:pPr>
        <w:pStyle w:val="FirstParagraph"/>
      </w:pPr>
      <w:r>
        <w:t xml:space="preserve">The rules in</w:t>
      </w:r>
      <w:r>
        <w:t xml:space="preserve"> </w:t>
      </w:r>
      <w:r>
        <w:rPr>
          <w:rStyle w:val="VerbatimChar"/>
        </w:rPr>
        <w:t xml:space="preserve">04_pov_brief.md</w:t>
      </w:r>
      <w:r>
        <w:t xml:space="preserve"> </w:t>
      </w:r>
      <w:r>
        <w:t xml:space="preserve">stand in full. Four additions. First, every new number is built in the workbook before it is written in prose, in a new section I on the AFS cost base tab and new rows on the Normalisation tab, and every new assumption carries its dagger, its low, base and high and its rationale with data_ids. Second, the counterfactual is a comparison between two programmes on the same base, not a second valuation; present it as the increment that centralisation adds and the cost and time it adds, so the reader can see what they are buying. Third, the programme section is specific about owners, sequence and measures, and generic about nothing; where the public record cannot name an owner or a date, say the item is for management and point to the management information request. Fourth, keep the same prose discipline: UK English, answer first, short sentences, no em dashes, no Oxford commas, none of the banned words.</w:t>
      </w:r>
    </w:p>
    <w:bookmarkEnd w:id="23"/>
    <w:bookmarkStart w:id="28" w:name="Xe14c33954742bf30af011c88c640d205ef1bbdd"/>
    <w:p>
      <w:pPr>
        <w:pStyle w:val="Heading2"/>
      </w:pPr>
      <w:r>
        <w:t xml:space="preserve">Addition one: if centralisation were not the agenda</w:t>
      </w:r>
    </w:p>
    <w:bookmarkStart w:id="24" w:name="what-to-argue"/>
    <w:p>
      <w:pPr>
        <w:pStyle w:val="Heading3"/>
      </w:pPr>
      <w:r>
        <w:t xml:space="preserve">What to argue</w:t>
      </w:r>
    </w:p>
    <w:p>
      <w:pPr>
        <w:pStyle w:val="FirstParagraph"/>
      </w:pPr>
      <w:r>
        <w:t xml:space="preserve">The argument runs in four steps. First, the cost base is high regardless of structure. Non-Life SA carries overhead of 12.3 percent of revenue against a non-life peer median of 3.8 percent, the head office carries R326m and lost R288m before tax, and the advice block last reported R1 724m of cost against R1 104m of income. None of those facts depends on how AFS is organised. Second, most of the levers do not need centralisation. The 25 adjacent cells (productivity, demand and most of the price column) and the 11 independent cells (leakage and external price) can be worked on the present structure of two insurers, three FSPs and one head office. Third, what centralisation adds is the 18 direct cells, which cluster in three places: one policy administration and claims estate across Absa Life, Instant Life and AIC; shared control functions, one actuarial function and fewer licences in the head office; and FSP register and nominee consolidation in the advice and investment block. Those are the cells that carry the licence constraints in</w:t>
      </w:r>
      <w:r>
        <w:t xml:space="preserve"> </w:t>
      </w:r>
      <w:r>
        <w:rPr>
          <w:rStyle w:val="VerbatimChar"/>
        </w:rPr>
        <w:t xml:space="preserve">01_framework.md</w:t>
      </w:r>
      <w:r>
        <w:t xml:space="preserve"> </w:t>
      </w:r>
      <w:r>
        <w:t xml:space="preserve">section 7, the regulatory path and the higher cost to achieve. Fourth, the choice is therefore not centralise or do not centralise. It is whether to run a two-year operating programme at low cost to achieve, or a three-year structural programme that adds the direct cells at 1.5 to 2 times cost to achieve and carries the VAT and licence risk. The counterfactual makes that a priced choice.</w:t>
      </w:r>
    </w:p>
    <w:bookmarkEnd w:id="24"/>
    <w:bookmarkStart w:id="25" w:name="how-to-size-it"/>
    <w:p>
      <w:pPr>
        <w:pStyle w:val="Heading3"/>
      </w:pPr>
      <w:r>
        <w:t xml:space="preserve">How to size it</w:t>
      </w:r>
    </w:p>
    <w:p>
      <w:pPr>
        <w:pStyle w:val="FirstParagraph"/>
      </w:pPr>
      <w:r>
        <w:t xml:space="preserve">Build two cases on the same FY2025 base and show the increment. Do this in the workbook first.</w:t>
      </w:r>
    </w:p>
    <w:p>
      <w:pPr>
        <w:pStyle w:val="BodyText"/>
      </w:pPr>
      <w:r>
        <w:t xml:space="preserve">Case A, the cost agenda without centralisation. Apply to the addressable base of R3 524m to R4 566m only the precedent percentages from programmes that did not consolidate licences or platforms: Old Mutual at 5.9 percent targeted and 7.3 percent delivered (PR-005, PR-013), MMI at 5.6 percent (PR-034) and Momentum Reset and Grow at 7.6 percent (PR-041). Record this as a new Normalisation assumption, precedent savings without structural levers, with low, base and high drawn from those three programmes and the rationale stated. Add claims leakage in full (R55m to R183m), because it is independent. Add the reinsurance line only at the entity-level repricing share, since group-wide placement under the insurance group designation is a direct cell; state the share as an assumption. Exclude the trapped capital and licence line entirely, since it is structural. Apply the cost to achieve multiple for headcount and procurement programmes, 0.25 to 0.7 times (PR-009, PR-069, PR-076, PR-082, PR-089), as a second new assumption. Timeframe two years, from the South African precedents.</w:t>
      </w:r>
    </w:p>
    <w:p>
      <w:pPr>
        <w:pStyle w:val="BodyText"/>
      </w:pPr>
      <w:r>
        <w:t xml:space="preserve">Case B, centralisation as the agenda. This is the existing section H: the full precedent range of 6 to 13 percent, leakage, reinsurance on group placement and the capital and licence line shown separately, at the blended cost to achieve of 0.5 to 1.8 times. Timeframe three years.</w:t>
      </w:r>
    </w:p>
    <w:p>
      <w:pPr>
        <w:pStyle w:val="BodyText"/>
      </w:pPr>
      <w:r>
        <w:t xml:space="preserve">The increment is B less A on each line: run-rate savings, economic value, cost to achieve and years to full run-rate. Present it as a table with low, base and high for A, B and the increment, every row tagged Derived or Assumption with its data_ids, and a chart of the two cases side by side as stacked bars on the same scale as the existing prize chart. Then map the increment back to the lever grid: list the 18 direct cells with the rand attached to each where the gap sizing allows it (policy administration and claims consolidation from the non-life M1 gap; head office structural levers from the comparable M2 stretch to top quartile; capital and licence from pool 5) and mark the rest as unsized pending management information. Do not force a rand figure onto a cell the evidence cannot carry.</w:t>
      </w:r>
    </w:p>
    <w:p>
      <w:pPr>
        <w:pStyle w:val="BodyText"/>
      </w:pPr>
      <w:r>
        <w:t xml:space="preserve">Expect the result to show that the operating programme captures the larger share of the accounting prize at a fraction of the cost and in less time, and that centralisation buys a smaller increment plus the economic capital line, at higher cost and longer duration, with regulatory and VAT risk attached. If the workbook shows something different, write what it shows.</w:t>
      </w:r>
    </w:p>
    <w:bookmarkEnd w:id="25"/>
    <w:bookmarkStart w:id="26" w:name="how-the-approach-differs"/>
    <w:p>
      <w:pPr>
        <w:pStyle w:val="Heading3"/>
      </w:pPr>
      <w:r>
        <w:t xml:space="preserve">How the approach differs</w:t>
      </w:r>
    </w:p>
    <w:p>
      <w:pPr>
        <w:pStyle w:val="FirstParagraph"/>
      </w:pPr>
      <w:r>
        <w:t xml:space="preserve">Say plainly how the work would be framed if the agenda were cost rather than centralisation. The starting point moves from the operating model to the income statement and the unit costs: cost per policy, cost per claim, cost per adviser, cost per licence. The first-order levers become leakage, premium collection, procurement, failure demand and spans and layers, in that order, because they are independent or adjacent and they pay back inside the year. Platform and licence decisions are deferred until the operating programme has established the baseline, which also removes the risk of consolidating onto a platform before the product estate has been rationalised. The regulatory engagement shrinks to the FSCA conduct items and the reinsurance programme; there is no section 50 transfer, no licence amendment, no PA notification of shared control functions and no VAT exposure on recharges. The head office is addressed through its own cost by nature, spans and layers and demand, not through licence count. And the question put to management changes: not what is centralisation worth, but what is the cost base worth and what structure does it need to get there. Close the section on the point that centralisation remains the right answer for the economic capital line and for the non-life platform estate, and that both are better decided from inside a running programme than from a target operating model paper.</w:t>
      </w:r>
    </w:p>
    <w:bookmarkEnd w:id="26"/>
    <w:bookmarkStart w:id="27" w:name="where-it-goes"/>
    <w:p>
      <w:pPr>
        <w:pStyle w:val="Heading3"/>
      </w:pPr>
      <w:r>
        <w:t xml:space="preserve">Where it goes</w:t>
      </w:r>
    </w:p>
    <w:p>
      <w:pPr>
        <w:pStyle w:val="FirstParagraph"/>
      </w:pPr>
      <w:r>
        <w:t xml:space="preserve">In the document, insert it as a new section 7 titled If centralisation were not the agenda, between the current section 6 on what centralisation can and cannot do and the current section 7 on the size of the prize, and renumber what follows. Three pages: the argument, the two-case table with the chart and the approach. In the deck, add one slide after slide 11, THE COUNTERFACTUAL: the two-case chart on the right, the topline stating what the operating programme alone captures and what centralisation adds, and three prose-bullets on cost, time and risk.</w:t>
      </w:r>
    </w:p>
    <w:bookmarkEnd w:id="27"/>
    <w:bookmarkEnd w:id="28"/>
    <w:bookmarkStart w:id="32" w:name="X3709a66a2fa53eb9e57c2300fb051cd07c7b5d6"/>
    <w:p>
      <w:pPr>
        <w:pStyle w:val="Heading2"/>
      </w:pPr>
      <w:r>
        <w:t xml:space="preserve">Addition two: running the cost reduction agenda as a programme</w:t>
      </w:r>
    </w:p>
    <w:bookmarkStart w:id="29" w:name="what-to-argue-1"/>
    <w:p>
      <w:pPr>
        <w:pStyle w:val="Heading3"/>
      </w:pPr>
      <w:r>
        <w:t xml:space="preserve">What to argue</w:t>
      </w:r>
    </w:p>
    <w:p>
      <w:pPr>
        <w:pStyle w:val="FirstParagraph"/>
      </w:pPr>
      <w:r>
        <w:t xml:space="preserve">The number is not the hard part. The precedents show that South African insurers delivered their targets, and that the ones which overshot did so because the programme was owned at executive level, baselined early, sequenced from the fast money to the structural money, and reported against the income statement rather than against a benefits register. The programme section sets out that shape for AFS. It must answer six questions the managing executive will ask: who owns it, what is the baseline, in what order does the money come, how is it counted, how is the regulatory path run alongside and what does it cost to run.</w:t>
      </w:r>
    </w:p>
    <w:bookmarkEnd w:id="29"/>
    <w:bookmarkStart w:id="30" w:name="the-programme-design"/>
    <w:p>
      <w:pPr>
        <w:pStyle w:val="Heading3"/>
      </w:pPr>
      <w:r>
        <w:t xml:space="preserve">The programme design</w:t>
      </w:r>
    </w:p>
    <w:p>
      <w:pPr>
        <w:pStyle w:val="FirstParagraph"/>
      </w:pPr>
      <w:r>
        <w:t xml:space="preserve">Governance. The managing executive sponsors and chairs a monthly steering committee; the chief financial officer owns the baseline and the benefits count; each of the nine functions in the cost tree has a named lever owner accountable for its cells; a programme office of a few people runs the cadence, the risk register and the decision log. The two insurer boards and the FSP key individuals are consulted on every item that touches a licence, because accountability for control functions cannot be centralised even where the work is. Say where EY sits: baseline, sizing, benefits method, programme office support and the regulatory and tax workstreams, with the delivery of each lever owned by AFS.</w:t>
      </w:r>
    </w:p>
    <w:p>
      <w:pPr>
        <w:pStyle w:val="BodyText"/>
      </w:pPr>
      <w:r>
        <w:t xml:space="preserve">Baseline and benefits method. The FY2025 base is frozen at the start, by legal entity and by nature, from the ten management information items. Benefits are counted as run-rate savings against the frozen base, net of cost to achieve, with in-year and run-rate shown separately and gross and net of reinvestment, and with attributable and non-attributable kept apart so that a saving inside insurance service expenses is not confused with one in other operating expenses. One-off items, revenue effects and the bank fee are excluded from the count. The combined ratio, the comparable expense ratio and the overhead ratio by division are re-run each quarter against the peer set as the external check. Every saving is signed off by the chief financial officer before it is reported, and the register distinguishes identified, actioned, delivered and banked.</w:t>
      </w:r>
    </w:p>
    <w:p>
      <w:pPr>
        <w:pStyle w:val="BodyText"/>
      </w:pPr>
      <w:r>
        <w:t xml:space="preserve">Sequence in three waves, from the lever grid. Wave one, months zero to nine, is the independent money: a claims leakage audit on a sample of paid claims, premium collection and debit order retry, commission clawback, procurement on group terms, unused licences. It needs no structural decision, it funds the programme and it tests the baseline. Wave two, months three to eighteen, is the adjacent money: straight-through new business and claims, failure demand in the contact centre, product version and rate table retirement, spans and layers in the head office and the advice block, adviser productivity and the remuneration model. Wave three, months six to thirty-six, is the direct money and it opens only if the counterfactual decision in addition one goes that way: the non-life platform and claims estate, shared control functions and one actuarial function under intra-group outsourcing with PA notification, FSP register consolidation, group-wide reinsurance placement under the insurance group designation, and the capital and licence actions. Each wave has a gate: wave two opens when the baseline is signed off, wave three when the tax ruling on recharges and the regulatory path are in hand.</w:t>
      </w:r>
    </w:p>
    <w:p>
      <w:pPr>
        <w:pStyle w:val="BodyText"/>
      </w:pPr>
      <w:r>
        <w:t xml:space="preserve">Regulatory and tax workstream. Run it from day one, in parallel, because it is the long pole. It covers the licence map and which licences are avoidable, the section 50 transfer process for any policy move, intra-group outsourcing notifications for shared control functions, FAIS re-registration for FSP consolidation, the binder and outsourcing caps on any change to distribution fees, and the VAT treatment of recharges with a ruling sought before any shared service is stood up. Absa has done the transfer work before, with the Guardrisk Life moves in 2020 and 2021; cite it as the internal precedent and the timing reference.</w:t>
      </w:r>
    </w:p>
    <w:p>
      <w:pPr>
        <w:pStyle w:val="BodyText"/>
      </w:pPr>
      <w:r>
        <w:t xml:space="preserve">The bank interface. The R774m fee is a transfer price. The programme measures AFS on the legal entity view and shows the activity view alongside, and any change to the distribution agreement is a Group decision outside the benefits count. Say so once and do not let the programme claim the fee.</w:t>
      </w:r>
    </w:p>
    <w:p>
      <w:pPr>
        <w:pStyle w:val="BodyText"/>
      </w:pPr>
      <w:r>
        <w:t xml:space="preserve">People. Most of the money in waves two and three is headcount. State the consultation requirements and the lead time they add, and show the precedent split: Old Mutual took 48 percent of its savings from people and operating model, 18 percent from IT and 7 percent from procurement (PR-014 to PR-016). Use that split as the planning assumption for AFS until management information replaces it, and record it on the Normalisation tab.</w:t>
      </w:r>
    </w:p>
    <w:p>
      <w:pPr>
        <w:pStyle w:val="BodyText"/>
      </w:pPr>
      <w:r>
        <w:t xml:space="preserve">Cost to achieve and shape. Budget the programme at the precedent multiples, 0.25 to 0.7 times run-rate for waves one and two and 1.5 to 2 times for wave three, phased so that wave one pays for the programme office and the baseline work. Show the three-year shape as a chart: cumulative run-rate savings by wave against cumulative cost to achieve, low, base and high, built from section I of the workbook. Precedents overshot targets in year two; say that the risk in the record is cost and time, not the size of the saving.</w:t>
      </w:r>
    </w:p>
    <w:p>
      <w:pPr>
        <w:pStyle w:val="BodyText"/>
      </w:pPr>
      <w:r>
        <w:t xml:space="preserve">Measures. For each lever use the metric already defined in</w:t>
      </w:r>
      <w:r>
        <w:t xml:space="preserve"> </w:t>
      </w:r>
      <w:r>
        <w:rPr>
          <w:rStyle w:val="VerbatimChar"/>
        </w:rPr>
        <w:t xml:space="preserve">01_framework.md</w:t>
      </w:r>
      <w:r>
        <w:t xml:space="preserve"> </w:t>
      </w:r>
      <w:r>
        <w:t xml:space="preserve">section 8: cost per licence, cost per in-force policy, straight-through rate, cost per transaction, annual premium equivalent per adviser, managers to staff ratio, share of repeat and avoidable contacts, net reinsurance cost as a share of revenue, leakage as a share of claims paid, failed debit orders not recovered in the month. Put them in one table with the lever, the owner, the wave and the data source, and mark which ones are available today from the public record (few) and which come from the management information request (most).</w:t>
      </w:r>
    </w:p>
    <w:p>
      <w:pPr>
        <w:pStyle w:val="BodyText"/>
      </w:pPr>
      <w:r>
        <w:t xml:space="preserve">First 90 days. Keep the existing 90-day plan and extend it: weeks one to six collect the ten items and freeze the baseline; weeks seven to ten rebuild the sizing and set the target by lever with owners; weeks eleven to thirteen take the two decisions, launch wave one and stand up the regulatory and tax workstream. Add a one-page programme charter as an appendix: objective, scope by perimeter, governance, benefits method, waves with their gates and the ten items with owner and date.</w:t>
      </w:r>
    </w:p>
    <w:bookmarkEnd w:id="30"/>
    <w:bookmarkStart w:id="31" w:name="where-it-goes-1"/>
    <w:p>
      <w:pPr>
        <w:pStyle w:val="Heading3"/>
      </w:pPr>
      <w:r>
        <w:t xml:space="preserve">Where it goes</w:t>
      </w:r>
    </w:p>
    <w:p>
      <w:pPr>
        <w:pStyle w:val="FirstParagraph"/>
      </w:pPr>
      <w:r>
        <w:t xml:space="preserve">In the document, insert it as a new section 8 titled Running it as a programme, after the counterfactual and before the size of the prize, or after the size of the prize if the flow reads better; four pages plus the charter appendix. In the deck, add two slides after the counterfactual: THE PROGRAMME, with the three waves and gates as a simple timeline graphic and the governance in prose-bullets; and THE FIRST YEAR, with the cumulative savings and cost chart and the measures that will be live by month twelve.</w:t>
      </w:r>
    </w:p>
    <w:bookmarkEnd w:id="31"/>
    <w:bookmarkEnd w:id="32"/>
    <w:bookmarkStart w:id="33" w:name="changes-to-the-existing-material"/>
    <w:p>
      <w:pPr>
        <w:pStyle w:val="Heading2"/>
      </w:pPr>
      <w:r>
        <w:t xml:space="preserve">Changes to the existing material</w:t>
      </w:r>
    </w:p>
    <w:p>
      <w:pPr>
        <w:pStyle w:val="FirstParagraph"/>
      </w:pPr>
      <w:r>
        <w:t xml:space="preserve">Executive summary and slide 2. Add two sentences. The first says what the operating programme alone captures and what centralisation adds, in the workbook’s numbers. The second says the programme runs in three waves over three years, starting with the independent money, and that the structural wave opens only on the counterfactual decision. Keep the range, the base and the three places the money sits exactly as they are.</w:t>
      </w:r>
    </w:p>
    <w:p>
      <w:pPr>
        <w:pStyle w:val="BodyText"/>
      </w:pPr>
      <w:r>
        <w:t xml:space="preserve">Recommendation. The two decisions become three. The third is whether to run the operating programme alone or the structural programme, decided at the wave three gate on the evidence from the baseline, not now.</w:t>
      </w:r>
    </w:p>
    <w:p>
      <w:pPr>
        <w:pStyle w:val="BodyText"/>
      </w:pPr>
      <w:r>
        <w:t xml:space="preserve">Workbook. Add section I to the AFS cost base tab with cases A and B and the increment, the three-wave phasing and the measures table. Add the new assumptions to the Normalisation tab with the same colour scheme: blue on yellow for inputs, black on green for derived. Recalculate and confirm that the existing section H totals do not change.</w:t>
      </w:r>
    </w:p>
    <w:p>
      <w:pPr>
        <w:pStyle w:val="BodyText"/>
      </w:pPr>
      <w:r>
        <w:t xml:space="preserve">Summary. Add a paragraph to</w:t>
      </w:r>
      <w:r>
        <w:t xml:space="preserve"> </w:t>
      </w:r>
      <w:r>
        <w:rPr>
          <w:rStyle w:val="VerbatimChar"/>
        </w:rPr>
        <w:t xml:space="preserve">00_summary.md</w:t>
      </w:r>
      <w:r>
        <w:t xml:space="preserve"> </w:t>
      </w:r>
      <w:r>
        <w:t xml:space="preserve">under the hypotheses stating the counterfactual result and the programme shape in two sentences each.</w:t>
      </w:r>
    </w:p>
    <w:bookmarkEnd w:id="33"/>
    <w:bookmarkStart w:id="34" w:name="checks-before-delivery"/>
    <w:p>
      <w:pPr>
        <w:pStyle w:val="Heading2"/>
      </w:pPr>
      <w:r>
        <w:t xml:space="preserve">Checks before delivery</w:t>
      </w:r>
    </w:p>
    <w:p>
      <w:pPr>
        <w:numPr>
          <w:ilvl w:val="0"/>
          <w:numId w:val="1002"/>
        </w:numPr>
        <w:pStyle w:val="Compact"/>
      </w:pPr>
      <w:r>
        <w:t xml:space="preserve">Every new figure traces to section I, the Normalisation tab or a data_id. Re-run the number trace script over the document and the deck and list any exception.</w:t>
      </w:r>
    </w:p>
    <w:p>
      <w:pPr>
        <w:numPr>
          <w:ilvl w:val="0"/>
          <w:numId w:val="1002"/>
        </w:numPr>
        <w:pStyle w:val="Compact"/>
      </w:pPr>
      <w:r>
        <w:t xml:space="preserve">Section H totals in the workbook are unchanged; the counterfactual adds rows and does not alter existing ones.</w:t>
      </w:r>
    </w:p>
    <w:p>
      <w:pPr>
        <w:numPr>
          <w:ilvl w:val="0"/>
          <w:numId w:val="1002"/>
        </w:numPr>
        <w:pStyle w:val="Compact"/>
      </w:pPr>
      <w:r>
        <w:t xml:space="preserve">The executive summary, slide 2 and the recommendation say the same thing in the same numbers.</w:t>
      </w:r>
    </w:p>
    <w:p>
      <w:pPr>
        <w:numPr>
          <w:ilvl w:val="0"/>
          <w:numId w:val="1002"/>
        </w:numPr>
        <w:pStyle w:val="Compact"/>
      </w:pPr>
      <w:r>
        <w:t xml:space="preserve">Every new table and chart carries a source line. The two new charts use the same palette and scale as the existing prize chart.</w:t>
      </w:r>
    </w:p>
    <w:p>
      <w:pPr>
        <w:numPr>
          <w:ilvl w:val="0"/>
          <w:numId w:val="1002"/>
        </w:numPr>
        <w:pStyle w:val="Compact"/>
      </w:pPr>
      <w:r>
        <w:t xml:space="preserve">Search both files for em dashes, Oxford commas and the banned words.</w:t>
      </w:r>
    </w:p>
    <w:p>
      <w:pPr>
        <w:numPr>
          <w:ilvl w:val="0"/>
          <w:numId w:val="1002"/>
        </w:numPr>
        <w:pStyle w:val="Compact"/>
      </w:pPr>
      <w:r>
        <w:t xml:space="preserve">Render both files and inspect every page and slide; the document should run to about 28 pages before the appendices and the deck to no more than 19 slides including the EY boilerplate.</w:t>
      </w:r>
    </w:p>
    <w:p>
      <w:pPr>
        <w:numPr>
          <w:ilvl w:val="0"/>
          <w:numId w:val="1002"/>
        </w:numPr>
        <w:pStyle w:val="Compact"/>
      </w:pPr>
      <w:r>
        <w:t xml:space="preserve">Commit the Word, PowerPoint, workbook and summary to the outputs folder; do not commit the rendering scratch files.</w:t>
      </w:r>
    </w:p>
    <w:bookmarkEnd w:id="34"/>
    <w:bookmarkStart w:id="35" w:name="what-not-to-do"/>
    <w:p>
      <w:pPr>
        <w:pStyle w:val="Heading2"/>
      </w:pPr>
      <w:r>
        <w:t xml:space="preserve">What not to do</w:t>
      </w:r>
    </w:p>
    <w:p>
      <w:pPr>
        <w:pStyle w:val="FirstParagraph"/>
      </w:pPr>
      <w:r>
        <w:t xml:space="preserve">Do not present case A as a target or the increment as the value of centralisation in any form other than a hypothesis range. Do not change the precedent percentages, the realisation factors or the cost to achieve multiples already on the Normalisation tab; add new rows beside them. Do not let the programme section name owners by person; name them by role. Do not describe a programme the public record cannot evidence, such as a headcount number or a platform name; where the record is silent, say the item is for management. Do not claim the bank fee, the Kenya entities or the sold businesses in any case. Do not quote the 40 percent cost-to-income ratio. Do not write the client’s name as anything other than Absa Financial Services or AFS.</w:t>
      </w:r>
    </w:p>
    <w:bookmarkEnd w:id="35"/>
    <w:bookmarkEnd w:id="36"/>
    <w:sectPr>
      <w:pgSz w:w="11906" w:h="16838"/>
      <w:pgMar w:top="1134" w:right="1418" w:bottom="1134" w:left="1418"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2026-10-08T08:27:14Z</dcterms:created>
  <dcterms:modified xsi:type="dcterms:W3CDTF">2026-10-08T08:27:14Z</dcterms:modified>
</cp:coreProperties>
</file>

<file path=docProps/custom.xml><?xml version="1.0" encoding="utf-8"?>
<Properties xmlns="http://schemas.openxmlformats.org/officeDocument/2006/custom-properties" xmlns:vt="http://schemas.openxmlformats.org/officeDocument/2006/docPropsVTypes"/>
</file>