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747480"/>
          <w:sz w:val="15"/>
          <w:szCs w:val="15"/>
        </w:rPr>
        <w:t xml:space="preserve">CONSERVATION INTERNATIONAL  |  RFP 0032026  |  BRAND-DELIVERY SUPPORT MODELS</w:t>
      </w:r>
    </w:p>
    <w:p>
      <w:pPr>
        <w:spacing w:after="80"/>
      </w:pPr>
      <w:r>
        <w:rPr>
          <w:b/>
          <w:bCs/>
          <w:color w:val="2E2E38"/>
          <w:sz w:val="44"/>
          <w:szCs w:val="44"/>
        </w:rPr>
        <w:t xml:space="preserve">Research pass 1: benchmark scan</w:t>
      </w:r>
    </w:p>
    <w:p>
      <w:pPr>
        <w:pBdr>
          <w:bottom w:val="single" w:color="FFE600" w:sz="24" w:space="8"/>
        </w:pBdr>
        <w:spacing w:after="160"/>
      </w:pPr>
      <w:r>
        <w:rPr>
          <w:color w:val="747480"/>
          <w:sz w:val="24"/>
          <w:szCs w:val="24"/>
        </w:rPr>
        <w:t xml:space="preserve">Thirty-one brands, networks and mechanisms to shape the Activity One method</w:t>
      </w:r>
    </w:p>
    <w:p>
      <w:pPr>
        <w:spacing w:after="240"/>
      </w:pPr>
      <w:r>
        <w:rPr>
          <w:color w:val="747480"/>
          <w:sz w:val="16"/>
          <w:szCs w:val="16"/>
        </w:rPr>
        <w:t xml:space="preserve">EY bid team working draft 2  |  19 September 2026  |  Desk research; figures as published by each source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FFE600" w:sz="36"/>
              <w:bottom w:val="none" w:color="FFFFFF" w:sz="0"/>
              <w:right w:val="none" w:color="FFFFFF" w:sz="0"/>
            </w:tcBorders>
            <w:shd w:fill="F6F6F8" w:color="auto" w:val="clear"/>
            <w:tcMar>
              <w:top w:type="dxa" w:w="160"/>
              <w:left w:type="dxa" w:w="220"/>
              <w:bottom w:type="dxa" w:w="120"/>
              <w:right w:type="dxa" w:w="220"/>
            </w:tcMar>
          </w:tcPr>
          <w:p>
            <w:pPr>
              <w:spacing w:after="80"/>
            </w:pPr>
            <w:r>
              <w:rPr>
                <w:b/>
                <w:bCs/>
                <w:sz w:val="20"/>
                <w:szCs w:val="20"/>
              </w:rPr>
              <w:t xml:space="preserve">Summary</w:t>
            </w:r>
          </w:p>
          <w:p>
            <w:pPr>
              <w:spacing w:after="140"/>
            </w:pPr>
            <w:r>
              <w:t xml:space="preserve">This pass identifies 31 benchmarks for CI’s brand-delivery support models and sorts them into seven archetypes by what the central entity does, from shared services at one end to curated commercial collectives at the other. Draft 2 adds nine candidates, splits standards into site standards and enterprise marks, and names three design choices that cut across every archetype. Each benchmark is profiled on scale, funding, governance and read-across, then rated against CI’s own design aims. Thirteen merit deep-dives: eight case studies, two of them clustered, and five light-touch checks.</w:t>
            </w:r>
          </w:p>
          <w:p>
            <w:pPr>
              <w:spacing w:after="40"/>
            </w:pPr>
            <w:r>
              <w:t xml:space="preserve">The early evidence already leans one way. Aggregation saves most in shared production, standards and data. In Africa much of that aggregation layer already exists in conservancy associations, and the best-known lodges already sit in commercial collections; the brand gap is the emerging areas. Brands endure when members or visitors pay for what they deliver. National tourism boards must be partners rather than rivals.</w:t>
            </w:r>
          </w:p>
        </w:tc>
      </w:tr>
    </w:tbl>
    <w:p>
      <w:pPr>
        <w:pStyle w:val="Heading1"/>
      </w:pPr>
      <w:r>
        <w:t xml:space="preserve">1. Purpose and selection logic</w:t>
      </w:r>
    </w:p>
    <w:p>
      <w:pPr>
        <w:spacing w:after="140"/>
      </w:pPr>
      <w:r>
        <w:t xml:space="preserve">CI wants at least three brand-delivery support models for emerging protected areas, ranging from a grant-funded technical assistance retainer that parks draw down on to a commercially run brand platform inspired by Leading Hotels of the World. Activity One asks for a review of African regional and multi-destination initiatives, naming Africa’s Eden and Boundless Southern Africa, alongside global multi-brand platforms. This pass builds the long-list that review will draw on. It is not yet the POV.</w:t>
      </w:r>
    </w:p>
    <w:p>
      <w:pPr>
        <w:spacing w:after="140"/>
      </w:pPr>
      <w:r>
        <w:t xml:space="preserve">Candidates had to pass five tests; first, aggregation, meaning one brand, service or standard serving many sites or owners. Second, relevance to protected areas, nature or heritage. Third, a legible funding model that shows who pays and why. Fourth, governance that spans jurisdictions or stakeholder groups. Fifth, a record long enough to show durability or an instructive failure. Thirty-one benchmarks passed, nine of them added in this draft. We grouped them by what the central entity does, since that choice drives cost, control and who pays.</w:t>
      </w:r>
    </w:p>
    <w:p>
      <w:pPr>
        <w:spacing w:after="140"/>
      </w:pPr>
      <w:r>
        <w:t xml:space="preserve">Scale shapes the answer. The Africa Keystone Protected Area Partnership launched in September 2025 around 162 protected areas, and its partners put the cost of managing them well at US$1.2bn a year. CI’s tourism team has narrowed its focus to 15 emerging areas. A model built for 15 must be able to stretch towards 162.</w:t>
      </w:r>
    </w:p>
    <w:p>
      <w:pPr>
        <w:pStyle w:val="Heading1"/>
      </w:pPr>
      <w:r>
        <w:t xml:space="preserve">2. Seven archetypes along CI’s solution spectrum</w:t>
      </w:r>
    </w:p>
    <w:p>
      <w:pPr>
        <w:spacing w:after="140"/>
      </w:pPr>
      <w:r>
        <w:t xml:space="preserve">CI’s brief describes a spectrum from a service parks use to a platform that sells on their behalf. The benchmarks fall into seven archetypes along it. The first five describe what a CI facility could do at its centre; the last two supply brand architecture lessons and revenue modules that any model can carry.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900"/>
        <w:gridCol w:w="1800"/>
        <w:gridCol w:w="2046"/>
      </w:tblGrid>
      <w:tr>
        <w:trPr>
          <w:tblHeader/>
        </w:trPr>
        <w:tc>
          <w:tcPr>
            <w:tcW w:type="dxa" w:w="17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Archetype and sub-types</w:t>
            </w:r>
          </w:p>
        </w:tc>
        <w:tc>
          <w:tcPr>
            <w:tcW w:type="dxa" w:w="23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What the centre does</w:t>
            </w:r>
          </w:p>
        </w:tc>
        <w:tc>
          <w:tcPr>
            <w:tcW w:type="dxa" w:w="19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Members and payers</w:t>
            </w:r>
          </w:p>
        </w:tc>
        <w:tc>
          <w:tcPr>
            <w:tcW w:type="dxa" w:w="18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Where it sits against CI’s brief</w:t>
            </w:r>
          </w:p>
        </w:tc>
        <w:tc>
          <w:tcPr>
            <w:tcW w:type="dxa" w:w="2046"/>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Benchmarks in this pass</w:t>
            </w:r>
          </w:p>
        </w:tc>
      </w:tr>
      <w:tr>
        <w:trPr>
          <w:cantSplit/>
        </w:trPr>
        <w:tc>
          <w:tcPr>
            <w:tcW w:type="dxa" w:w="17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b/>
                <w:bCs/>
                <w:sz w:val="17"/>
                <w:szCs w:val="17"/>
              </w:rPr>
              <w:t xml:space="preserve">1. Shared service</w:t>
            </w:r>
          </w:p>
          <w:p>
            <w:pPr>
              <w:spacing w:after="0" w:line="240"/>
            </w:pPr>
            <w:r>
              <w:rPr>
                <w:color w:val="747480"/>
                <w:sz w:val="15"/>
                <w:szCs w:val="15"/>
              </w:rPr>
              <w:t xml:space="preserve">In-house service unit; conservancy association; coaching network</w:t>
            </w:r>
          </w:p>
        </w:tc>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Provides back-office capability many sites draw on: design systems, monitoring, coaching, governance and enterprise support.</w:t>
            </w:r>
          </w:p>
        </w:tc>
        <w:tc>
          <w:tcPr>
            <w:tcW w:type="dxa" w:w="19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Members: sites, landholders or businesses. Payers: donors, governments or member fees.</w:t>
            </w:r>
          </w:p>
        </w:tc>
        <w:tc>
          <w:tcPr>
            <w:tcW w:type="dxa" w:w="18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CI’s ‘simple version’: a technical assistance retainer parks draw down on</w:t>
            </w:r>
          </w:p>
        </w:tc>
        <w:tc>
          <w:tcPr>
            <w:tcW w:type="dxa" w:w="20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NPS Harpers Ferry Center; NRT; NACSO (new); MMWCA (new); The Long Run</w:t>
            </w:r>
          </w:p>
        </w:tc>
      </w:tr>
      <w:tr>
        <w:trPr>
          <w:cantSplit/>
        </w:trPr>
        <w:tc>
          <w:tcPr>
            <w:tcW w:type="dxa" w:w="17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b/>
                <w:bCs/>
                <w:sz w:val="17"/>
                <w:szCs w:val="17"/>
              </w:rPr>
              <w:t xml:space="preserve">2. Site standard</w:t>
            </w:r>
          </w:p>
          <w:p>
            <w:pPr>
              <w:spacing w:after="0" w:line="240"/>
            </w:pPr>
            <w:r>
              <w:rPr>
                <w:color w:val="747480"/>
                <w:sz w:val="15"/>
                <w:szCs w:val="15"/>
              </w:rPr>
              <w:t xml:space="preserve">Global owner with national operators; national scheme</w:t>
            </w:r>
          </w:p>
        </w:tc>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Certifies places against criteria, verifies them and runs a peer network; sites earn, and can lose, the right to the mark.</w:t>
            </w:r>
          </w:p>
        </w:tc>
        <w:tc>
          <w:tcPr>
            <w:tcW w:type="dxa" w:w="19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Members: protected areas, destinations, beaches. Payers: sites, their authorities and national operators.</w:t>
            </w:r>
          </w:p>
        </w:tc>
        <w:tc>
          <w:tcPr>
            <w:tcW w:type="dxa" w:w="18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Middle ground: brand credibility without a consumer-facing company</w:t>
            </w:r>
          </w:p>
        </w:tc>
        <w:tc>
          <w:tcPr>
            <w:tcW w:type="dxa" w:w="20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EUROPARC Charter (ECST); UNESCO Global Geoparks; Slovenia Green; Blue Flag (new)</w:t>
            </w:r>
          </w:p>
        </w:tc>
      </w:tr>
      <w:tr>
        <w:trPr>
          <w:cantSplit/>
        </w:trPr>
        <w:tc>
          <w:tcPr>
            <w:tcW w:type="dxa" w:w="17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b/>
                <w:bCs/>
                <w:sz w:val="17"/>
                <w:szCs w:val="17"/>
              </w:rPr>
              <w:t xml:space="preserve">3. Enterprise mark (new)</w:t>
            </w:r>
          </w:p>
          <w:p>
            <w:pPr>
              <w:spacing w:after="0" w:line="240"/>
            </w:pPr>
            <w:r>
              <w:rPr>
                <w:color w:val="747480"/>
                <w:sz w:val="15"/>
                <w:szCs w:val="15"/>
              </w:rPr>
              <w:t xml:space="preserve">Business standard; product mark</w:t>
            </w:r>
          </w:p>
        </w:tc>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Certifies businesses or products whose practices benefit people and wildlife, and opens trade channels for them.</w:t>
            </w:r>
          </w:p>
        </w:tc>
        <w:tc>
          <w:tcPr>
            <w:tcW w:type="dxa" w:w="19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Members: lodges, operators, producers. Payers: certified businesses, tour operators and donors.</w:t>
            </w:r>
          </w:p>
        </w:tc>
        <w:tc>
          <w:tcPr>
            <w:tcW w:type="dxa" w:w="18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Carries a park’s story to the businesses and products around it; supports CI’s merchandise stream</w:t>
            </w:r>
          </w:p>
        </w:tc>
        <w:tc>
          <w:tcPr>
            <w:tcW w:type="dxa" w:w="20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Fair Trade Tourism (new); Certified Wildlife Friendly (new)</w:t>
            </w:r>
          </w:p>
        </w:tc>
      </w:tr>
      <w:tr>
        <w:trPr>
          <w:cantSplit/>
        </w:trPr>
        <w:tc>
          <w:tcPr>
            <w:tcW w:type="dxa" w:w="17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b/>
                <w:bCs/>
                <w:sz w:val="17"/>
                <w:szCs w:val="17"/>
              </w:rPr>
              <w:t xml:space="preserve">4. Place marketer</w:t>
            </w:r>
          </w:p>
          <w:p>
            <w:pPr>
              <w:spacing w:after="0" w:line="240"/>
            </w:pPr>
            <w:r>
              <w:rPr>
                <w:color w:val="747480"/>
                <w:sz w:val="15"/>
                <w:szCs w:val="15"/>
              </w:rPr>
              <w:t xml:space="preserve">Publicly hosted brand; member-funded club of places; national brand buying reach</w:t>
            </w:r>
          </w:p>
        </w:tc>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Markets a shared place identity across sites or borders to trade and consumers.</w:t>
            </w:r>
          </w:p>
        </w:tc>
        <w:tc>
          <w:tcPr>
            <w:tcW w:type="dxa" w:w="19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Members: governments, destinations or businesses. Payers: governments and donors, or the members.</w:t>
            </w:r>
          </w:p>
        </w:tc>
        <w:tc>
          <w:tcPr>
            <w:tcW w:type="dxa" w:w="18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Tests how any model reconciles with national destination brands</w:t>
            </w:r>
          </w:p>
        </w:tc>
        <w:tc>
          <w:tcPr>
            <w:tcW w:type="dxa" w:w="20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Boundless Southern Africa; KAZA ‘Rivers of Life’; Africa’s Eden Tourism; World Heritage Journeys; EDEN; Alpine Pearls (new); Visit Rwanda (new)</w:t>
            </w:r>
          </w:p>
        </w:tc>
      </w:tr>
      <w:tr>
        <w:trPr>
          <w:cantSplit/>
        </w:trPr>
        <w:tc>
          <w:tcPr>
            <w:tcW w:type="dxa" w:w="17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b/>
                <w:bCs/>
                <w:sz w:val="17"/>
                <w:szCs w:val="17"/>
              </w:rPr>
              <w:t xml:space="preserve">5. Curator and distributor</w:t>
            </w:r>
          </w:p>
          <w:p>
            <w:pPr>
              <w:spacing w:after="0" w:line="240"/>
            </w:pPr>
            <w:r>
              <w:rPr>
                <w:color w:val="747480"/>
                <w:sz w:val="15"/>
                <w:szCs w:val="15"/>
              </w:rPr>
              <w:t xml:space="preserve">Independent consortium; hosted or borrowed-brand collection; tourism-board collectives; low-cost regional curation</w:t>
            </w:r>
          </w:p>
        </w:tc>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Selects members against criteria, then sells them through one brand, trade network, loyalty scheme and booking channels.</w:t>
            </w:r>
          </w:p>
        </w:tc>
        <w:tc>
          <w:tcPr>
            <w:tcW w:type="dxa" w:w="19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Members: hotels, lodges, experience businesses. Payers: members, through fees and commissions.</w:t>
            </w:r>
          </w:p>
        </w:tc>
        <w:tc>
          <w:tcPr>
            <w:tcW w:type="dxa" w:w="18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CI’s ‘complex version’: the LHW-style platform, or a collection hosted on an existing one</w:t>
            </w:r>
          </w:p>
        </w:tc>
        <w:tc>
          <w:tcPr>
            <w:tcW w:type="dxa" w:w="20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LHW; Relais &amp; Châteaux; SLH (new); Beyond Green (new); National Geographic Unique Lodges; Signature Experiences of Australia; Experience Mekong Collection</w:t>
            </w:r>
          </w:p>
        </w:tc>
      </w:tr>
      <w:tr>
        <w:trPr>
          <w:cantSplit/>
        </w:trPr>
        <w:tc>
          <w:tcPr>
            <w:tcW w:type="dxa" w:w="1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b/>
                <w:bCs/>
                <w:sz w:val="17"/>
                <w:szCs w:val="17"/>
              </w:rPr>
              <w:t xml:space="preserve">6. Portfolio umbrella</w:t>
            </w:r>
          </w:p>
          <w:p>
            <w:pPr>
              <w:spacing w:after="0" w:line="240"/>
            </w:pPr>
            <w:r>
              <w:rPr>
                <w:color w:val="747480"/>
                <w:sz w:val="15"/>
                <w:szCs w:val="15"/>
              </w:rPr>
              <w:t xml:space="preserve">Manager or owner of many sites</w:t>
            </w:r>
          </w:p>
        </w:tc>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Manages or owns many sites and carries an institutional brand above the site brands.</w:t>
            </w:r>
          </w:p>
        </w:tc>
        <w:tc>
          <w:tcPr>
            <w:tcW w:type="dxa" w:w="19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Sites sit inside the portfolio. Payers: donors, visitors and members.</w:t>
            </w:r>
          </w:p>
        </w:tc>
        <w:tc>
          <w:tcPr>
            <w:tcW w:type="dxa" w:w="18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Brand architecture lessons; potential delivery partners</w:t>
            </w:r>
          </w:p>
        </w:tc>
        <w:tc>
          <w:tcPr>
            <w:tcW w:type="dxa" w:w="20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African Parks; National Trust; Rewilding Europe</w:t>
            </w:r>
          </w:p>
        </w:tc>
      </w:tr>
      <w:tr>
        <w:trPr>
          <w:cantSplit/>
        </w:trPr>
        <w:tc>
          <w:tcPr>
            <w:tcW w:type="dxa" w:w="1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b/>
                <w:bCs/>
                <w:sz w:val="17"/>
                <w:szCs w:val="17"/>
              </w:rPr>
              <w:t xml:space="preserve">7. Revenue engine</w:t>
            </w:r>
          </w:p>
          <w:p>
            <w:pPr>
              <w:spacing w:after="0" w:line="240"/>
            </w:pPr>
            <w:r>
              <w:rPr>
                <w:color w:val="747480"/>
                <w:sz w:val="15"/>
                <w:szCs w:val="15"/>
              </w:rPr>
              <w:t xml:space="preserve">Consumer pass or membership; matched public funds; corporate levy or licence</w:t>
            </w:r>
          </w:p>
        </w:tc>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A monetisation mechanism that can bolt onto any model.</w:t>
            </w:r>
          </w:p>
        </w:tc>
        <w:tc>
          <w:tcPr>
            <w:tcW w:type="dxa" w:w="19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Payers: visitors, industry or corporate brands.</w:t>
            </w:r>
          </w:p>
        </w:tc>
        <w:tc>
          <w:tcPr>
            <w:tcW w:type="dxa" w:w="18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Maps to CI’s named streams: wild cards, memberships, sponsorship</w:t>
            </w:r>
          </w:p>
        </w:tc>
        <w:tc>
          <w:tcPr>
            <w:tcW w:type="dxa" w:w="20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SANParks Wild Card; Brand USA match; The Lion’s Share Fund</w:t>
            </w:r>
          </w:p>
        </w:tc>
      </w:tr>
    </w:tbl>
    <w:p>
      <w:pPr>
        <w:pStyle w:val="Heading2"/>
      </w:pPr>
      <w:r>
        <w:t xml:space="preserve">2.1 What changed in draft 2</w:t>
      </w:r>
    </w:p>
    <w:p>
      <w:pPr>
        <w:spacing w:after="140"/>
      </w:pPr>
      <w:r>
        <w:t xml:space="preserve">Three refinements follow from the new candidates. First, standards now split in two. Site standards certify places, and Blue Flag joins the Geoparks, the ECST and Slovenia Green; enterprise marks certify businesses and products, a new archetype holding Fair Trade Tourism and Certified Wildlife Friendly. Second, place marketers and curators now carry sub-types, because the new cases showed different economics inside each. A member-funded club of places such as Alpine Pearls works nothing like a state-funded national brand such as Visit Rwanda. A collection hosted on an existing platform, such as Beyond Green or SLH’s Considerate Collection, avoids the distribution costs an independent consortium must carry. Third, three design choices cut across every archetype and belong in the option design.</w:t>
      </w:r>
    </w:p>
    <w:p>
      <w:pPr>
        <w:pStyle w:val="Heading2"/>
      </w:pPr>
      <w:r>
        <w:t xml:space="preserve">2.2 Three design choices that cut across the archetypes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446"/>
      </w:tblGrid>
      <w:tr>
        <w:trPr>
          <w:tblHeader/>
        </w:trPr>
        <w:tc>
          <w:tcPr>
            <w:tcW w:type="dxa" w:w="19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Design choice</w:t>
            </w:r>
          </w:p>
        </w:tc>
        <w:tc>
          <w:tcPr>
            <w:tcW w:type="dxa" w:w="44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Options seen in the benchmarks</w:t>
            </w:r>
          </w:p>
        </w:tc>
        <w:tc>
          <w:tcPr>
            <w:tcW w:type="dxa" w:w="3446"/>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What it means for CI</w:t>
            </w:r>
          </w:p>
        </w:tc>
      </w:tr>
      <w:tr>
        <w:trPr>
          <w:cantSplit/>
        </w:trPr>
        <w:tc>
          <w:tcPr>
            <w:tcW w:type="dxa" w:w="19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b/>
                <w:bCs/>
                <w:sz w:val="17"/>
                <w:szCs w:val="17"/>
              </w:rPr>
              <w:t xml:space="preserve">Who belongs and pays</w:t>
            </w:r>
          </w:p>
        </w:tc>
        <w:tc>
          <w:tcPr>
            <w:tcW w:type="dxa" w:w="44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Sites or landholders: NRT, NACSO, MMWCA, Alpine Pearls, Geoparks. Businesses: LHW, SLH, Beyond Green, Africa’s Eden Tourism, The Long Run. Visitors: SANParks Wild Card, National Trust. Corporates: The Lion’s Share Fund.</w:t>
            </w:r>
          </w:p>
        </w:tc>
        <w:tc>
          <w:tcPr>
            <w:tcW w:type="dxa" w:w="3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Park authorities are the obvious members but the weakest payers. Lodges, operators and visitors hold the money; the model must decide whom it serves first.</w:t>
            </w:r>
          </w:p>
        </w:tc>
      </w:tr>
      <w:tr>
        <w:trPr>
          <w:cantSplit/>
        </w:trPr>
        <w:tc>
          <w:tcPr>
            <w:tcW w:type="dxa" w:w="19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b/>
                <w:bCs/>
                <w:sz w:val="17"/>
                <w:szCs w:val="17"/>
              </w:rPr>
              <w:t xml:space="preserve">How it crosses borders</w:t>
            </w:r>
          </w:p>
        </w:tc>
        <w:tc>
          <w:tcPr>
            <w:tcW w:type="dxa" w:w="44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One regional secretariat: Boundless Southern Africa, KAZA. National operators under a global owner: Blue Flag, ECST national sections. Mutual recognition of national schemes: Fair Trade Tourism. A cross-border legal vehicle: Alpine Pearls, an EGTC since 2022. A global company: LHW, SLH, Preferred Hotel Group.</w:t>
            </w:r>
          </w:p>
        </w:tc>
        <w:tc>
          <w:tcPr>
            <w:tcW w:type="dxa" w:w="3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CI’s 15 areas span Southern, Eastern and Western Africa. National operators and mutual recognition have scaled further than single secretariats in this set.</w:t>
            </w:r>
          </w:p>
        </w:tc>
      </w:tr>
      <w:tr>
        <w:trPr>
          <w:cantSplit/>
        </w:trPr>
        <w:tc>
          <w:tcPr>
            <w:tcW w:type="dxa" w:w="19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b/>
                <w:bCs/>
                <w:sz w:val="17"/>
                <w:szCs w:val="17"/>
              </w:rPr>
              <w:t xml:space="preserve">How it relates to the national brand</w:t>
            </w:r>
          </w:p>
        </w:tc>
        <w:tc>
          <w:tcPr>
            <w:tcW w:type="dxa" w:w="44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Owned by the tourism board: Slovenia Green, Signature Experiences of Australia, Visit Rwanda. Co-brand hub: KAZA ‘Rivers of Life’. Independent: LHW, National Geographic Unique Lodges, The Long Run.</w:t>
            </w:r>
          </w:p>
        </w:tc>
        <w:tc>
          <w:tcPr>
            <w:tcW w:type="dxa" w:w="3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Board ownership aligns incentives but ties the model to public budgets. A co-brand hub leaves the board in charge of the national story while the parks supply proof.</w:t>
            </w:r>
          </w:p>
        </w:tc>
      </w:tr>
    </w:tbl>
    <w:p>
      <w:pPr>
        <w:sectPr>
          <w:footerReference w:type="default" r:id="rId7"/>
          <w:pgSz w:w="11906" w:h="16838" w:orient="portrait"/>
          <w:pgMar w:top="1080" w:right="1080" w:bottom="1080" w:left="1080" w:header="708" w:footer="708" w:gutter="0"/>
          <w:pgNumType/>
          <w:docGrid w:linePitch="360"/>
        </w:sectPr>
      </w:pPr>
    </w:p>
    <w:p>
      <w:pPr>
        <w:pStyle w:val="Heading1"/>
      </w:pPr>
      <w:r>
        <w:t xml:space="preserve">3. Benchmark long-list</w:t>
      </w:r>
    </w:p>
    <w:p>
      <w:pPr>
        <w:spacing w:after="140"/>
      </w:pPr>
      <w:r>
        <w:t xml:space="preserve">Each benchmark is profiled on four lenses: scale and offer; funding; governance and control; read-across for CI. Figures are as published by each source and dated where the source dates them. Benchmarks added in draft 2 carry a NEW tag. Sources are listed at the end.</w:t>
      </w:r>
    </w:p>
    <w:p>
      <w:pPr>
        <w:pStyle w:val="Heading2"/>
      </w:pPr>
      <w:r>
        <w:t xml:space="preserve">3.1 Shared service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500"/>
        <w:gridCol w:w="2078"/>
        <w:gridCol w:w="3200"/>
      </w:tblGrid>
      <w:tr>
        <w:trPr>
          <w:tblHeader/>
        </w:trPr>
        <w:tc>
          <w:tcPr>
            <w:tcW w:type="dxa" w:w="22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Benchmark</w:t>
            </w:r>
          </w:p>
        </w:tc>
        <w:tc>
          <w:tcPr>
            <w:tcW w:type="dxa" w:w="47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Scale and offer</w:t>
            </w:r>
          </w:p>
        </w:tc>
        <w:tc>
          <w:tcPr>
            <w:tcW w:type="dxa" w:w="25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Funding</w:t>
            </w:r>
          </w:p>
        </w:tc>
        <w:tc>
          <w:tcPr>
            <w:tcW w:type="dxa" w:w="2078"/>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Governance and control</w:t>
            </w:r>
          </w:p>
        </w:tc>
        <w:tc>
          <w:tcPr>
            <w:tcW w:type="dxa" w:w="32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Read-across for CI</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Northern Rangelands Trust (NRT)</w:t>
            </w:r>
          </w:p>
          <w:p>
            <w:pPr>
              <w:spacing w:after="0" w:line="240"/>
            </w:pPr>
            <w:r>
              <w:rPr>
                <w:color w:val="747480"/>
                <w:sz w:val="15"/>
                <w:szCs w:val="15"/>
              </w:rPr>
              <w:t xml:space="preserve">Kenya and Uganda  |  est. 2004</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Membership organisation owned and led by the 43 community conservancies it serves. Operates as a shared resource for governance, security, fundraising and enterprise; NRT Trading incubates and scales conservation businesses. Its Conservancy Livelihoods Fund (2015) has channelled more than US$3m to member projects.</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Raised KSh 854m for conservancy operations in 2016. Aims for thirds: commercial, government and donor. Conservancy tourism revenue passed US$1.3m in 2019, then fell by more than half in 2020.</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Member-owned. NRT does not own land; it gives conservancies a formal structure for dealing with government, NGOs and partners.</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Closest African precedent for CI’s retainer option. Site identities such as Il Ngwesi and Westgate survive under a support organisation. Also shows how exposed tourism income is to shocks.</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NACSO </w:t>
            </w:r>
            <w:r>
              <w:rPr>
                <w:b/>
                <w:bCs/>
                <w:color w:val="2E2E38"/>
                <w:sz w:val="13"/>
                <w:szCs w:val="13"/>
                <w:shd w:fill="FFE600" w:color="auto" w:val="clear"/>
              </w:rPr>
              <w:t xml:space="preserve"> NEW </w:t>
            </w:r>
          </w:p>
          <w:p>
            <w:pPr>
              <w:spacing w:after="0" w:line="240"/>
            </w:pPr>
            <w:r>
              <w:rPr>
                <w:color w:val="747480"/>
                <w:sz w:val="15"/>
                <w:szCs w:val="15"/>
              </w:rPr>
              <w:t xml:space="preserve">Namibian Association of CBNRM Support Organisations  |  national support network</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Links the NGOs and institutions that support Namibia’s 86 registered communal conservancies, which cover about 166,000 km² (some 20% of the country) and 245,000 people. Working groups cover enterprise and livelihoods, institutional development and natural resources. Every conservancy uses the same Event Book monitoring system, and NACSO publishes an annual State of Community Conservation report. By 2019 conservancies held 63 joint-venture tourism agreements; 42 joint-venture lodges now operate.</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 organisations and their donors fund the network (budget to confirm). Conservancies earn from joint-venture tourism and conservation hunting: in 2022 residents earned N$75m in cash income, 64% of it from joint-venture tourism.</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Association of support organisations. Conservancies are registered by the environment ministry and must hold elections and AGMs and keep game-management and benefit-distribution plans.</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A national-scale shared service with a common data spine. The joint-venture model, where private operators bring capital and marketing, shows emerging areas plugging into existing brands rather than building their own.</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Maasai Mara Wildlife Conservancies Association (MMWCA) </w:t>
            </w:r>
            <w:r>
              <w:rPr>
                <w:b/>
                <w:bCs/>
                <w:color w:val="2E2E38"/>
                <w:sz w:val="13"/>
                <w:szCs w:val="13"/>
                <w:shd w:fill="FFE600" w:color="auto" w:val="clear"/>
              </w:rPr>
              <w:t xml:space="preserve"> NEW </w:t>
            </w:r>
          </w:p>
          <w:p>
            <w:pPr>
              <w:spacing w:after="0" w:line="240"/>
            </w:pPr>
            <w:r>
              <w:rPr>
                <w:color w:val="747480"/>
                <w:sz w:val="15"/>
                <w:szCs w:val="15"/>
              </w:rPr>
              <w:t xml:space="preserve">Kenya  |  est. 2013</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Membership organisation for the Mara conservancies, formed in late 2013 with eight members after Kenya’s 2013 wildlife act. Now 24 conservancies at different stages, covering about 178,700 ha, with some 16,500 landowners, 50 tourism partners and a team of 30+. Supports governance, conservation, advocacy and fundraising; one of 12 regional associations of the Kenya Wildlife Conservancies Association.</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Start-up support from The Nature Conservancy and a US$5.2m USAID grant. The conservancy model runs on tourism partners paying monthly lease fees to landowners: more than US$7.5m in 2019. In 2020 CI and MMWCA set up the US$5m Maasai Mara Rescue Fund to bridge lease payments when tourism collapsed.</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 conservancies; landowners lease their plots into each conservancy under agreements with tourism partners.</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Proof that the aggregation layer already exists in parts of CI’s target geography, and that CI has worked with it. Low-density conservancy tourism is itself a brand proposition against the crowded national reserve.</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NPS Harpers Ferry Center and Unigrid</w:t>
            </w:r>
          </w:p>
          <w:p>
            <w:pPr>
              <w:spacing w:after="0" w:line="240"/>
            </w:pPr>
            <w:r>
              <w:rPr>
                <w:color w:val="747480"/>
                <w:sz w:val="15"/>
                <w:szCs w:val="15"/>
              </w:rPr>
              <w:t xml:space="preserve">USA  |  centre 1970, Unigrid 1977</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The National Park Service’s centralised design bureau, with more than 100 staff across publications, cartography, exhibits, film and signage. Massimo Vignelli’s Unigrid gives every park brochure the same modular grid, black bands, typeface and map format. The centre prints 24 to 28 million brochures a year for 400+ park units at a few cents a copy.</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Federal budget. The centre works with each park to create and revise its brochure.</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In-house service unit; the design system itself enforces consistency.</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The strongest cost-efficiency proof in the set: one system, local content, negligible marginal cost. Points to a shared brand kit and studio for CI’s 15 areas before any consumer-facing brand.</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The Long Run</w:t>
            </w:r>
          </w:p>
          <w:p>
            <w:pPr>
              <w:spacing w:after="0" w:line="240"/>
            </w:pPr>
            <w:r>
              <w:rPr>
                <w:color w:val="747480"/>
                <w:sz w:val="15"/>
                <w:szCs w:val="15"/>
              </w:rPr>
              <w:t xml:space="preserve">Global  |  est. 2009</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Membership body for nature-based tourism businesses, founded by Jochen Zeitz; 60 to 70+ members that together safeguard more than 23m acres. Fellow Members receive onsite expert visits, remote support and peer calls under a 4C framework (conservation, community, culture, commerce) and work towards the Global Ecosphere Retreats (GER) standard, recognised by GSTC in 2015.</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Membership organisation; fee levels not published.</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Central team sets and reviews the standard, developed with NEPCon (now Preferred by Nature). GER status is time-limited and reassessed.</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A coaching-plus-standard pathway: Fellow Members get about five years to reach GER. African members include Grootbos, Tswalu (GER in 2024) and Sasaab. A direct template for a tiered technical assistance offer.</w:t>
            </w:r>
          </w:p>
        </w:tc>
      </w:tr>
    </w:tbl>
    <w:p>
      <w:pPr>
        <w:pStyle w:val="Heading2"/>
      </w:pPr>
      <w:r>
        <w:t xml:space="preserve">3.2 Site standard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500"/>
        <w:gridCol w:w="2078"/>
        <w:gridCol w:w="3200"/>
      </w:tblGrid>
      <w:tr>
        <w:trPr>
          <w:tblHeader/>
        </w:trPr>
        <w:tc>
          <w:tcPr>
            <w:tcW w:type="dxa" w:w="22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Benchmark</w:t>
            </w:r>
          </w:p>
        </w:tc>
        <w:tc>
          <w:tcPr>
            <w:tcW w:type="dxa" w:w="47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Scale and offer</w:t>
            </w:r>
          </w:p>
        </w:tc>
        <w:tc>
          <w:tcPr>
            <w:tcW w:type="dxa" w:w="25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Funding</w:t>
            </w:r>
          </w:p>
        </w:tc>
        <w:tc>
          <w:tcPr>
            <w:tcW w:type="dxa" w:w="2078"/>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Governance and control</w:t>
            </w:r>
          </w:p>
        </w:tc>
        <w:tc>
          <w:tcPr>
            <w:tcW w:type="dxa" w:w="32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Read-across for CI</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European Charter for Sustainable Tourism in Protected Areas (ECST)</w:t>
            </w:r>
          </w:p>
          <w:p>
            <w:pPr>
              <w:spacing w:after="0" w:line="240"/>
            </w:pPr>
            <w:r>
              <w:rPr>
                <w:color w:val="747480"/>
                <w:sz w:val="15"/>
                <w:szCs w:val="15"/>
              </w:rPr>
              <w:t xml:space="preserve">EUROPARC  |  developed from 1995, awarded since 2001</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A three-part award: Part I for the protected area, Part II for local business partners on three-year commitments, Part III for tour operators. Each area runs a permanent stakeholder forum and a five-year strategy and action plan, verified on site by an external assessor. Awardees may use the Charter logo while the award is valid.</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Protected areas must first be members of EUROPARC, the federation founded in 1973.</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Federation of protected area authorities; national sections adapt the method.</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The nearest template for multi-stakeholder brand management at park level. The network counted 164 areas in 20 countries in 2017; EUROPARC’s 2026 factsheet lists 91 areas in 13 countries, 1,500+ business partners and 41 tour operators. Why it contracted is a priority question.</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UNESCO Global Geoparks</w:t>
            </w:r>
          </w:p>
          <w:p>
            <w:pPr>
              <w:spacing w:after="0" w:line="240"/>
            </w:pPr>
            <w:r>
              <w:rPr>
                <w:color w:val="747480"/>
                <w:sz w:val="15"/>
                <w:szCs w:val="15"/>
              </w:rPr>
              <w:t xml:space="preserve">Global  |  UNESCO designation since 2015</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229 geoparks in 48 countries (May 2026). Designation plus network membership, with strict logo rules. Two evaluators revalidate each geopark every four years: a green card renews status for four years, a yellow card allows two years to close gaps and a red card removes the designation.</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Each geopark funds its own operation and must budget for evaluation missions.</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The UNESCO Global Geoparks Council decides; UNESCO’s Executive Board endorses.</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A brand with consequences. Recent revalidation advice on visibility, signage and geotourism products mirrors CI’s diagnosis for emerging areas.</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Slovenia Green</w:t>
            </w:r>
          </w:p>
          <w:p>
            <w:pPr>
              <w:spacing w:after="0" w:line="240"/>
            </w:pPr>
            <w:r>
              <w:rPr>
                <w:color w:val="747480"/>
                <w:sz w:val="15"/>
                <w:szCs w:val="15"/>
              </w:rPr>
              <w:t xml:space="preserve">Green Scheme of Slovenian Tourism  |  est. 2014</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National certification run under the SLOVENIA GREEN umbrella brand, with 200+ members including 59 destinations by 2022. Destinations earn bronze to platinum labels; providers certify as accommodation, parks, agencies, attractions, beaches or cuisine. Members get a manual, training, promotion, co-operative marketing and access to grants. Labels renew every three years.</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The Tourist Board manages and promotes the scheme; destinations bear the cost of the accredited assessor and the international platform.</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Slovenian Tourist Board owns it; GoodPlace is the accredited assessor; Green Destinations is the international partner. Criteria draw on ETIS and GSTC.</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A national tourism board owning the label removes brand rivalry. Four municipalities in Karst and Brkini merged into one destination label on renewal, an aggregation step CI’s areas could copy.</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Blue Flag </w:t>
            </w:r>
            <w:r>
              <w:rPr>
                <w:b/>
                <w:bCs/>
                <w:color w:val="2E2E38"/>
                <w:sz w:val="13"/>
                <w:szCs w:val="13"/>
                <w:shd w:fill="FFE600" w:color="auto" w:val="clear"/>
              </w:rPr>
              <w:t xml:space="preserve"> NEW </w:t>
            </w:r>
          </w:p>
          <w:p>
            <w:pPr>
              <w:spacing w:after="0" w:line="240"/>
            </w:pPr>
            <w:r>
              <w:rPr>
                <w:color w:val="747480"/>
                <w:sz w:val="15"/>
                <w:szCs w:val="15"/>
              </w:rPr>
              <w:t xml:space="preserve">Foundation for Environmental Education (FEE)  |  since 1987</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Annual eco-label for beaches, marinas and tourism boats: 4,302 beaches, 736 marinas and 158 boats in 52 countries in 2025. Sites must meet 33 criteria (38 for marinas, 51 for boats) covering water quality, environmental education, management and safety, and are monitored through the season. Began as a French pilot in 1985.</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Run in each country by a national operator, typically an environmental NGO and often publicly funded: in Ireland An Taisce runs it with funding from the housing and local government department.</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FEE, based in Copenhagen, owns the standard; national operators and juries implement it. Global partnership agreements with UNEP and UN Tourism.</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The strongest proof that one standard can scale across jurisdictions through national operators. Annual renewal keeps the flag honest. In Africa, Morocco runs it through the Mohammed VI Foundation for the Protection of the Environment.</w:t>
            </w:r>
          </w:p>
        </w:tc>
      </w:tr>
    </w:tbl>
    <w:p>
      <w:pPr>
        <w:pStyle w:val="Heading2"/>
      </w:pPr>
      <w:r>
        <w:t xml:space="preserve">3.3 Enterprise mark</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500"/>
        <w:gridCol w:w="2078"/>
        <w:gridCol w:w="3200"/>
      </w:tblGrid>
      <w:tr>
        <w:trPr>
          <w:tblHeader/>
        </w:trPr>
        <w:tc>
          <w:tcPr>
            <w:tcW w:type="dxa" w:w="22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Benchmark</w:t>
            </w:r>
          </w:p>
        </w:tc>
        <w:tc>
          <w:tcPr>
            <w:tcW w:type="dxa" w:w="47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Scale and offer</w:t>
            </w:r>
          </w:p>
        </w:tc>
        <w:tc>
          <w:tcPr>
            <w:tcW w:type="dxa" w:w="25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Funding</w:t>
            </w:r>
          </w:p>
        </w:tc>
        <w:tc>
          <w:tcPr>
            <w:tcW w:type="dxa" w:w="2078"/>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Governance and control</w:t>
            </w:r>
          </w:p>
        </w:tc>
        <w:tc>
          <w:tcPr>
            <w:tcW w:type="dxa" w:w="32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Read-across for CI</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Fair Trade Tourism (FTT) </w:t>
            </w:r>
            <w:r>
              <w:rPr>
                <w:b/>
                <w:bCs/>
                <w:color w:val="2E2E38"/>
                <w:sz w:val="13"/>
                <w:szCs w:val="13"/>
                <w:shd w:fill="FFE600" w:color="auto" w:val="clear"/>
              </w:rPr>
              <w:t xml:space="preserve"> NEW </w:t>
            </w:r>
          </w:p>
          <w:p>
            <w:pPr>
              <w:spacing w:after="0" w:line="240"/>
            </w:pPr>
            <w:r>
              <w:rPr>
                <w:color w:val="747480"/>
                <w:sz w:val="15"/>
                <w:szCs w:val="15"/>
              </w:rPr>
              <w:t xml:space="preserve">Southern Africa  |  began as Fair Trade in Tourism South Africa</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Certifies tourism businesses against a firm-level standard plus a trade standard for fair commercial terms. ‘Fair Trade Holidays’ must spend at least half their bed-nights in certified or recognised properties. The regional portfolio reached 188 businesses in eight countries: FTT’s own certification in South Africa, Madagascar and Mozambique, and mutual recognition of national schemes in Botswana, Kenya, Namibia, Seychelles and Tanzania. GSTC-recognised since 2013.</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Regional scale-up funded mainly by Switzerland’s SECO. Tour operators paid a development contribution, a small share of each holiday’s price, into a central fund. Certifying a package cost around €3,000, with larger firms paying more to subsidise smaller ones.</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Non-profit. From 2012 it planned to separate certification, to be outsourced, from market development. More recently it has partnered with SATSA, which endorses its certification.</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An African-led mark that crossed borders cheaply through mutual recognition. Its arc from donor-funded expansion to an industry-association partnership is a caution on the economics of standalone certification.</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Certified Wildlife Friendly </w:t>
            </w:r>
            <w:r>
              <w:rPr>
                <w:b/>
                <w:bCs/>
                <w:color w:val="2E2E38"/>
                <w:sz w:val="13"/>
                <w:szCs w:val="13"/>
                <w:shd w:fill="FFE600" w:color="auto" w:val="clear"/>
              </w:rPr>
              <w:t xml:space="preserve"> NEW </w:t>
            </w:r>
          </w:p>
          <w:p>
            <w:pPr>
              <w:spacing w:after="0" w:line="240"/>
            </w:pPr>
            <w:r>
              <w:rPr>
                <w:color w:val="747480"/>
                <w:sz w:val="15"/>
                <w:szCs w:val="15"/>
              </w:rPr>
              <w:t xml:space="preserve">Wildlife Friendly Enterprise Network (WFEN)  |  founded 2007</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A family of labels (Wildlife Friendly and Predator Friendly, global and North American) certifying enterprises and products whose practices protect threatened wildlife, across agriculture, fibre, food, cosmetics, coffee and tourism. Standards are expert-driven and tailored locally with stakeholder input. Certified enterprises help conserve 14m+ ha and benefit 500,000+ people (2024). African examples include Elephant Pepper in Zambia.</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Fee model not published; to confirm.</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WFEN sets standards with conservation partners; a GSTC member.</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Shows how a conservation mark can travel onto products, giving communities around a park a merchandise and market-access route that carries the park’s story.</w:t>
            </w:r>
          </w:p>
        </w:tc>
      </w:tr>
    </w:tbl>
    <w:p>
      <w:pPr>
        <w:pStyle w:val="Heading2"/>
      </w:pPr>
      <w:r>
        <w:t xml:space="preserve">3.4 Place marketer</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500"/>
        <w:gridCol w:w="2078"/>
        <w:gridCol w:w="3200"/>
      </w:tblGrid>
      <w:tr>
        <w:trPr>
          <w:tblHeader/>
        </w:trPr>
        <w:tc>
          <w:tcPr>
            <w:tcW w:type="dxa" w:w="22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Benchmark</w:t>
            </w:r>
          </w:p>
        </w:tc>
        <w:tc>
          <w:tcPr>
            <w:tcW w:type="dxa" w:w="47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Scale and offer</w:t>
            </w:r>
          </w:p>
        </w:tc>
        <w:tc>
          <w:tcPr>
            <w:tcW w:type="dxa" w:w="25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Funding</w:t>
            </w:r>
          </w:p>
        </w:tc>
        <w:tc>
          <w:tcPr>
            <w:tcW w:type="dxa" w:w="2078"/>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Governance and control</w:t>
            </w:r>
          </w:p>
        </w:tc>
        <w:tc>
          <w:tcPr>
            <w:tcW w:type="dxa" w:w="32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Read-across for CI</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Boundless Southern Africa</w:t>
            </w:r>
          </w:p>
          <w:p>
            <w:pPr>
              <w:spacing w:after="0" w:line="240"/>
            </w:pPr>
            <w:r>
              <w:rPr>
                <w:color w:val="747480"/>
                <w:sz w:val="15"/>
                <w:szCs w:val="15"/>
              </w:rPr>
              <w:t xml:space="preserve">SADC  |  secretariat 2007, brand launched May 2008</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Launched at Tourism Indaba 2008 for seven transfrontier conservation areas (TFCAs), later extended to all of SADC’s TFCAs, of which 12 are formally recognised. Markets places by ecosystem rather than national border under a nature, culture and community message. Activity spans trade shows (WTM Africa, Indaba), press trips, social media, cross-border itineraries and a pipeline of 51 bankable investment opportunities.</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Secretariat hosted by South Africa’s then Department of Environmental Affairs and Tourism from 2007; recent reporting sits within the SADC Tourism Programme 2020-2030, with GIZ support.</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SADC TFCA Network; rooted in a TFCA strategy nine SADC tourism ministers endorsed in 2005. Supports RETOSA.</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Named by CI. Eighteen years of evidence on a publicly hosted transfrontier brand. The deep-dive must test outcomes: recognition, trade adoption, bookings and cost.</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KAZA TFCA: ‘Rivers of Life’ and UniVisa</w:t>
            </w:r>
          </w:p>
          <w:p>
            <w:pPr>
              <w:spacing w:after="0" w:line="240"/>
            </w:pPr>
            <w:r>
              <w:rPr>
                <w:color w:val="747480"/>
                <w:sz w:val="15"/>
                <w:szCs w:val="15"/>
              </w:rPr>
              <w:t xml:space="preserve">Angola, Botswana, Namibia, Zambia, Zimbabwe</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Around 520,000 km², home to some 228,000 elephants (2022 survey). The ‘Rivers of Life’ destination brand and campaign, unveiled at a KAZA Heads of State Summit in Livingstone (reported May 2025), comes with an online brand hub so operators can co-brand. KAZA UniVisa: piloted from November 2014 (47,000+ visitors during the pilot) and permanent since December 2016; US$50 for 30 days across Zambia and Zimbabwe, including day trips to Botswana.</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Partner states plus development finance: a KfW Phase III grant, a €5m EU commitment (2025) and World Bank support for UniVisa.</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KAZA Secretariat and Ministerial Committee with a rotating chair (Zimbabwe from 2025).</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The newest African co-brand built for stakeholder adoption. UniVisa shows that access policy can matter as much as communication.</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Africa’s Eden Tourism</w:t>
            </w:r>
          </w:p>
          <w:p>
            <w:pPr>
              <w:spacing w:after="0" w:line="240"/>
            </w:pPr>
            <w:r>
              <w:rPr>
                <w:color w:val="747480"/>
                <w:sz w:val="15"/>
                <w:szCs w:val="15"/>
              </w:rPr>
              <w:t xml:space="preserve">Regional association  |  domiciled in Botswana</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Not-for-profit, private-sector-led association with a pay-to-play, tiered membership across eight countries: Angola, Botswana, Madagascar, Malawi, Mozambique, Namibia, Zambia and Zimbabwe (grown from a four-country core). Runs international roadshows and regional exhibitions. Publishes a magazine with 10,000 printed copies distributed through shows, member properties and airlines. Members sign a pledge and code of business practice.</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 fees by tier; values to confirm.</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Representational membership that cuts across borders and sub-sectors.</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Named by CI, and the only African benchmark where the private sector pays for a cross-border identity. Mind the name: a separate Netherlands-based operator called Africa’s Eden runs conservation tourism in Gabon, the Central African Republic and São Tomé and Príncipe.</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Alpine Pearls </w:t>
            </w:r>
            <w:r>
              <w:rPr>
                <w:b/>
                <w:bCs/>
                <w:color w:val="2E2E38"/>
                <w:sz w:val="13"/>
                <w:szCs w:val="13"/>
                <w:shd w:fill="FFE600" w:color="auto" w:val="clear"/>
              </w:rPr>
              <w:t xml:space="preserve"> NEW </w:t>
            </w:r>
          </w:p>
          <w:p>
            <w:pPr>
              <w:spacing w:after="0" w:line="240"/>
            </w:pPr>
            <w:r>
              <w:rPr>
                <w:color w:val="747480"/>
                <w:sz w:val="15"/>
                <w:szCs w:val="15"/>
              </w:rPr>
              <w:t xml:space="preserve">Austria, Germany, Italy, Slovenia  |  est. 2006</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Network of Alpine villages that guarantee a car-free holiday: traffic-calmed centres, transfer services, free local mobility for guest-card holders in most members, and support for regional products and culture. Founded by 17 destinations in 2006 out of two EU projects (Alps Mobility I and II) initiated by Austria’s environment ministry. Grew to about 24 villages in six countries; now 18 in four.</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 destinations fund an annual budget adopted by the general meeting and share liability in proportion to their contributions.</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Since 2022 a European Grouping of Territorial Cooperation (EGTC), an EU legal vehicle for cross-border public bodies, with a general meeting and a director.</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The closest analogue to a club of 15 places in several countries with one proposition and shared criteria. The EGTC is a legal answer to cross-border governance; the fall from six countries to four needs explaining.</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World Heritage Journeys of the European Union</w:t>
            </w:r>
          </w:p>
          <w:p>
            <w:pPr>
              <w:spacing w:after="0" w:line="240"/>
            </w:pPr>
            <w:r>
              <w:rPr>
                <w:color w:val="747480"/>
                <w:sz w:val="15"/>
                <w:szCs w:val="15"/>
              </w:rPr>
              <w:t xml:space="preserve">UNESCO, EU and National Geographic  |  launched September 2018</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One storytelling platform for 34 World Heritage sites in 19 EU countries, organised into four thematic routes: Royal, Ancient, Romantic and Underground Europe. Built to lengthen stays and move visitors beyond the hubs; published in English, Chinese and French.</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EU co-funding with UNESCO and National Geographic. Solimar International led destination development and stakeholder engagement and reports 1m+ digital impressions a year.</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A steering committee for each route brought together site managers and tourism institutions.</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Thematic routes let small sites borrow appeal from a shared story. A cheaper alternative to building 15 separate park brands.</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EDEN: European Destinations of Excellence</w:t>
            </w:r>
          </w:p>
          <w:p>
            <w:pPr>
              <w:spacing w:after="0" w:line="240"/>
            </w:pPr>
            <w:r>
              <w:rPr>
                <w:color w:val="747480"/>
                <w:sz w:val="15"/>
                <w:szCs w:val="15"/>
              </w:rPr>
              <w:t xml:space="preserve">European Commission  |  2006-07, relaunched 2021</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National competitions on annual themes, including tourism and protected areas, rewarded 175 emerging destinations in 27 countries. After a 2019 evaluation the Commission redesigned the scheme as a single European award carrying a year of EU-level communication and branding support; 43 destinations competed for the 2022 title.</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European Commission, through the COSME programme.</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Commission with national tourism bodies running the national rounds.</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The closest precedent for CI’s core problem: visibility for emerging places. Why the Commission narrowed support to one winner matters; the 2019 evaluation study belongs on the Activity One reading list.</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Visit Rwanda </w:t>
            </w:r>
            <w:r>
              <w:rPr>
                <w:b/>
                <w:bCs/>
                <w:color w:val="2E2E38"/>
                <w:sz w:val="13"/>
                <w:szCs w:val="13"/>
                <w:shd w:fill="FFE600" w:color="auto" w:val="clear"/>
              </w:rPr>
              <w:t xml:space="preserve"> NEW </w:t>
            </w:r>
          </w:p>
          <w:p>
            <w:pPr>
              <w:spacing w:after="0" w:line="240"/>
            </w:pPr>
            <w:r>
              <w:rPr>
                <w:color w:val="747480"/>
                <w:sz w:val="15"/>
                <w:szCs w:val="15"/>
              </w:rPr>
              <w:t xml:space="preserve">Rwanda Development Board  |  football partnerships since 2018</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National destination brand that buys global reach through football: Arsenal sleeve sponsorship from 2018 (about £10m a year, more than £80m over eight years, ended with the 2025/26 season), Paris Saint-Germain from 2019, a five-year Bayern Munich deal from 2023 and Atlético de Madrid to 2028, plus club academies in Rwanda. Promotes tourism, conservation and business events.</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State budget: the destination pays the clubs. RDB reports tourism revenue of US$650m in 2024, up 47% since 2018, and about US$685m in 2025; in 2023 it said the Arsenal and PSG deals had generated more than US$160m in value.</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Rwanda Development Board, a government agency.</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Sponsorship here is a cost of reach, not a revenue line, and any park brand in Rwanda sits beneath this national brand. It also carries political exposure: in February 2026 the DRC urged the clubs to end the deals over the conflict in eastern DRC.</w:t>
            </w:r>
          </w:p>
        </w:tc>
      </w:tr>
    </w:tbl>
    <w:p>
      <w:pPr>
        <w:pStyle w:val="Heading2"/>
      </w:pPr>
      <w:r>
        <w:t xml:space="preserve">3.5 Curator and distributor</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500"/>
        <w:gridCol w:w="2078"/>
        <w:gridCol w:w="3200"/>
      </w:tblGrid>
      <w:tr>
        <w:trPr>
          <w:tblHeader/>
        </w:trPr>
        <w:tc>
          <w:tcPr>
            <w:tcW w:type="dxa" w:w="22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Benchmark</w:t>
            </w:r>
          </w:p>
        </w:tc>
        <w:tc>
          <w:tcPr>
            <w:tcW w:type="dxa" w:w="47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Scale and offer</w:t>
            </w:r>
          </w:p>
        </w:tc>
        <w:tc>
          <w:tcPr>
            <w:tcW w:type="dxa" w:w="25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Funding</w:t>
            </w:r>
          </w:p>
        </w:tc>
        <w:tc>
          <w:tcPr>
            <w:tcW w:type="dxa" w:w="2078"/>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Governance and control</w:t>
            </w:r>
          </w:p>
        </w:tc>
        <w:tc>
          <w:tcPr>
            <w:tcW w:type="dxa" w:w="32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Read-across for CI</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The Leading Hotels of the World (LHW)</w:t>
            </w:r>
          </w:p>
          <w:p>
            <w:pPr>
              <w:spacing w:after="0" w:line="240"/>
            </w:pPr>
            <w:r>
              <w:rPr>
                <w:color w:val="747480"/>
                <w:sz w:val="15"/>
                <w:szCs w:val="15"/>
              </w:rPr>
              <w:t xml:space="preserve">Founded 1928  |  HQ New York</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Marketing consortium of 400+ independently owned luxury hotels in 80+ countries. Entry requires nomination by an existing member and an inspection against distinctiveness criteria. Members gain the brand, global sales, reservations and the Leaders Club loyalty programme, points-based since 2018.</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Independent members buy marketing, sales and distribution; fee terms are not public. The Leaders Club was a paid consumer tier (US$150 to US$175 a year; US$1,120 for ‘Unlimited’ in 2014) until June 2021, when LHW made it free.</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Selective admission; standards held through inspection.</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CI’s named reference. The paid consumer club did not survive; value sits in member-paid distribution. For CI the paying members would be lodges and operators in and around the parks, not park authorities.</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Relais &amp; Châteaux</w:t>
            </w:r>
          </w:p>
          <w:p>
            <w:pPr>
              <w:spacing w:after="0" w:line="240"/>
            </w:pPr>
            <w:r>
              <w:rPr>
                <w:color w:val="747480"/>
                <w:sz w:val="15"/>
                <w:szCs w:val="15"/>
              </w:rPr>
              <w:t xml:space="preserve">Founded 1954  |  Paris</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Non-profit association under French law of 580 independent hotels and restaurants in 65 countries, employing 42,000 people. Members reported €3.308bn of business in 2025, up 7%; 34 joined that year and applications rose 14% to 615. African members include Royal Chundu (Zambia), Zarafa Camp (Botswana) and Sitatunga Private Island (Botswana).</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 association; the US is the largest source market, at 42% of revenue.</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Association of owners and chefs; growth deliberately selective.</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Proof that a non-profit association can run a premium commercial brand at scale, and that values commitments such as its Slow Food partnership become brand content.</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Small Luxury Hotels of the World (SLH) </w:t>
            </w:r>
            <w:r>
              <w:rPr>
                <w:b/>
                <w:bCs/>
                <w:color w:val="2E2E38"/>
                <w:sz w:val="13"/>
                <w:szCs w:val="13"/>
                <w:shd w:fill="FFE600" w:color="auto" w:val="clear"/>
              </w:rPr>
              <w:t xml:space="preserve"> NEW </w:t>
            </w:r>
          </w:p>
          <w:p>
            <w:pPr>
              <w:spacing w:after="0" w:line="240"/>
            </w:pPr>
            <w:r>
              <w:rPr>
                <w:color w:val="747480"/>
                <w:sz w:val="15"/>
                <w:szCs w:val="15"/>
              </w:rPr>
              <w:t xml:space="preserve">35 years old in 2025  |  HQ London</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Collection of about 600 independent boutique hotels (2024), adding 80 in 2024 and 87 in the first nine months of 2025. Themed sub-collections guide choice: the Considerate Collection, launched in 2021 with 25 hotels, reached 82 in 41 countries by late 2025, admitted on merit against three pillars (environment, community, culture) and the top tiers of SLH’s GSTC-aligned sustainability criteria. A Wellbeing Collection followed.</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 hotels; fee terms not public. A loyalty alliance lets World of Hyatt members earn and redeem points at participating SLH hotels (250+ by late 2019).</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Independent collection; merit-based admission to its sub-collections.</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Two moves CI could copy: themed sub-collections inside a larger portfolio, and renting loyalty and distribution from a bigger partner rather than building them.</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Beyond Green </w:t>
            </w:r>
            <w:r>
              <w:rPr>
                <w:b/>
                <w:bCs/>
                <w:color w:val="2E2E38"/>
                <w:sz w:val="13"/>
                <w:szCs w:val="13"/>
                <w:shd w:fill="FFE600" w:color="auto" w:val="clear"/>
              </w:rPr>
              <w:t xml:space="preserve"> NEW </w:t>
            </w:r>
          </w:p>
          <w:p>
            <w:pPr>
              <w:spacing w:after="0" w:line="240"/>
            </w:pPr>
            <w:r>
              <w:rPr>
                <w:color w:val="747480"/>
                <w:sz w:val="15"/>
                <w:szCs w:val="15"/>
              </w:rPr>
              <w:t xml:space="preserve">Preferred Hotel Group  |  launched 2020-21</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Sustainability-led brand launched with 24 founding members in 15 countries, a third of them African safari camps and lodges: &amp;Beyond Bateleur (Kenya), Mnemba (Tanzania) and Sossusvlei (Namibia); Wilderness Mombo, DumaTau, Hoanib and Linkwasha; and Xigera. Members are vetted on 50+ indicators aligned with global sustainable tourism criteria and the SDGs, across three pillars.</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Members buy Preferred’s platform services: distribution technology, sales, marketing, quality assurance and sustainability support, a shared GDS chain code and the I Prefer loyalty programme.</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Owned and operated by Preferred Hotel Group, the Ueberroth family’s company. Built on Costas Christ’s Beyond Green Travel, acquired in February 2020; Christ also led inspections for National Geographic Unique Lodges.</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Africa’s best-known conservation lodges already sit in commercial sustainability collections. A ‘Keystone collection’ hosted by an existing platform is a credible alternative to building CI’s own.</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National Geographic Unique Lodges of the World</w:t>
            </w:r>
          </w:p>
          <w:p>
            <w:pPr>
              <w:spacing w:after="0" w:line="240"/>
            </w:pPr>
            <w:r>
              <w:rPr>
                <w:color w:val="747480"/>
                <w:sz w:val="15"/>
                <w:szCs w:val="15"/>
              </w:rPr>
              <w:t xml:space="preserve">Launched January 2015</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Launched with 24 charter lodges on six continents, five in Africa: Grootbos and Sabi Sabi Earth Lodge (South Africa), Rubondo Island Camp and Sayari Camp (Tanzania) and Kasbah du Toubkal (Morocco). Reached 63 properties by around 2020, adding Duba Plains (Botswana) and Jaci’s Lodges (South Africa). Experts inspect each lodge. Guests who book through the collection get a ‘National Geographic Exclusive’ experience; itineraries link to National Geographic Private Expeditions sold through Virtuoso advisers.</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Commercial participation by lodges; terms not public.</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National Geographic controls selection and the brand.</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Borrowing a trusted conservation brand is faster than building one. A CI or partner co-brand could play the same role for park-linked lodges.</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Signature Experiences of Australia</w:t>
            </w:r>
          </w:p>
          <w:p>
            <w:pPr>
              <w:spacing w:after="0" w:line="240"/>
            </w:pPr>
            <w:r>
              <w:rPr>
                <w:color w:val="747480"/>
                <w:sz w:val="15"/>
                <w:szCs w:val="15"/>
              </w:rPr>
              <w:t xml:space="preserve">Tourism Australia  |  includes Luxury Lodges and Great Walks</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Tourism Australia packages and promotes eight industry-led collectives, among them Luxury Lodges of Australia (a membership association of about 18 to 19 independent lodges, camps and yachts), Great Walks of Australia, Ultimate Winery Experiences, Great Golf Courses, Discover Aboriginal Experiences and Australian Wildlife Journeys. The programme targets high-yield special-interest travellers and aims to spread visitors regionally, lengthen stays and lift spend.</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Collectives are membership associations with their own executive officers; Tourism Australia supplies research, a trade portal and promotion.</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Tourism Australia partners only with collectives that have a compelling proposition and a shared vision; the programme sits under the national ‘There’s Nothing Like Australia’ positioning.</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The clearest model for reconciling niche collectives with a national brand. A collective of about 20 members is close in scale to CI’s 15 areas.</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Experience Mekong Collection</w:t>
            </w:r>
          </w:p>
          <w:p>
            <w:pPr>
              <w:spacing w:after="0" w:line="240"/>
            </w:pPr>
            <w:r>
              <w:rPr>
                <w:color w:val="747480"/>
                <w:sz w:val="15"/>
                <w:szCs w:val="15"/>
              </w:rPr>
              <w:t xml:space="preserve">Six Greater Mekong countries  |  est. 2017</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The Mekong Tourism Coordinating Office curates 350+ small responsible businesses against three tests: community impact, an authentic local experience and an innovative, viable business model. Members get a certified badge, a feature page, a free booth at the Mekong Tourism Forum and discounted marketing services. Annual Showcases by theme (Do, Shop, Stay, Taste, Tour, Cruise) combine public voting with university case studies.</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Secretariat funded by the six governments; industry partners supply discounted services.</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MTCO with the Mekong Tourism Advisory Group.</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A low-cost regional curation brand for small operators across borders. Its reach depends on a funded secretariat.</w:t>
            </w:r>
          </w:p>
        </w:tc>
      </w:tr>
    </w:tbl>
    <w:p>
      <w:pPr>
        <w:pStyle w:val="Heading2"/>
      </w:pPr>
      <w:r>
        <w:t xml:space="preserve">3.6 Portfolio umbrella</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500"/>
        <w:gridCol w:w="2078"/>
        <w:gridCol w:w="3200"/>
      </w:tblGrid>
      <w:tr>
        <w:trPr>
          <w:tblHeader/>
        </w:trPr>
        <w:tc>
          <w:tcPr>
            <w:tcW w:type="dxa" w:w="22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Benchmark</w:t>
            </w:r>
          </w:p>
        </w:tc>
        <w:tc>
          <w:tcPr>
            <w:tcW w:type="dxa" w:w="47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Scale and offer</w:t>
            </w:r>
          </w:p>
        </w:tc>
        <w:tc>
          <w:tcPr>
            <w:tcW w:type="dxa" w:w="25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Funding</w:t>
            </w:r>
          </w:p>
        </w:tc>
        <w:tc>
          <w:tcPr>
            <w:tcW w:type="dxa" w:w="2078"/>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Governance and control</w:t>
            </w:r>
          </w:p>
        </w:tc>
        <w:tc>
          <w:tcPr>
            <w:tcW w:type="dxa" w:w="32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Read-across for CI</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African Parks</w:t>
            </w:r>
          </w:p>
          <w:p>
            <w:pPr>
              <w:spacing w:after="0" w:line="240"/>
            </w:pPr>
            <w:r>
              <w:rPr>
                <w:color w:val="747480"/>
                <w:sz w:val="15"/>
                <w:szCs w:val="15"/>
              </w:rPr>
              <w:t xml:space="preserve">Est. 2000  |  Keystone partner</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Manages 24 protected areas in 13 countries covering more than 20m ha (end 2025), up from seven parks in six countries in 2011; targets 30 parks by 2030. Takes on full, long-term management responsibility in partnership with governments and communities; parks keep their own identities under the African Parks name.</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Donor funding plus park revenue; under delegated management, revenue is typically ring-fenced at park level.</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Park-level entities created jointly with governments.</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Its management typology (delegated, co-management, technical support) maps onto CI’s stakeholder list. Brand architecture lesson: an institutional umbrella above park brands.</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National Trust</w:t>
            </w:r>
          </w:p>
          <w:p>
            <w:pPr>
              <w:spacing w:after="0" w:line="240"/>
            </w:pPr>
            <w:r>
              <w:rPr>
                <w:color w:val="747480"/>
                <w:sz w:val="15"/>
                <w:szCs w:val="15"/>
              </w:rPr>
              <w:t xml:space="preserve">England, Wales and Northern Ireland  |  charity</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One membership brand across the places in its care. 2024/25 income of £766.2m: property income £321m, membership £309.4m, fundraising £123.2m. 25.9m visits; 2.61m memberships covering 5.35m people; 403,000 new members; 83.3% retention. A £48-a-year young persons’ tier lifted joiners aged 18 to 25 by 39%.</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Members and visitors first, then donors.</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Charity incorporated by Act of Parliament and governed by a board of trustees.</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The reference case for one brand, many places and recurring consumer revenue. Also a warning: memberships slipped 0.4% as cost-pressed visitors paid on the day.</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Rewilding Europe</w:t>
            </w:r>
          </w:p>
          <w:p>
            <w:pPr>
              <w:spacing w:after="0" w:line="240"/>
            </w:pPr>
            <w:r>
              <w:rPr>
                <w:color w:val="747480"/>
                <w:sz w:val="15"/>
                <w:szCs w:val="15"/>
              </w:rPr>
              <w:t xml:space="preserve">Network of rewilding areas across Europe</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Pairs a conservation brand with enterprise tools. Rewilding Europe Capital (from 2014) had lent more than €1.3m to 20 enterprises by the end of 2018 and deploys €6m from the EIB’s Natural Capital Financing Facility. Rewilding Europe Travel sells wildlife-watching and safari-style trips. In Portugal’s Côa Valley a cluster of loan-backed businesses passes guest levies to rewilding and land purchase.</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Philanthropy, including the Dutch Postcode Lottery, plus development finance and enterprise income.</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To confirm in the deep-dive.</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Monetises through enterprises and levies rather than through the brand itself. Critics call this commodification of nature, a stakeholder risk CI should anticipate.</w:t>
            </w:r>
          </w:p>
        </w:tc>
      </w:tr>
    </w:tbl>
    <w:p>
      <w:pPr>
        <w:pStyle w:val="Heading2"/>
      </w:pPr>
      <w:r>
        <w:t xml:space="preserve">3.7 Revenue engine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500"/>
        <w:gridCol w:w="2078"/>
        <w:gridCol w:w="3200"/>
      </w:tblGrid>
      <w:tr>
        <w:trPr>
          <w:tblHeader/>
        </w:trPr>
        <w:tc>
          <w:tcPr>
            <w:tcW w:type="dxa" w:w="22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Benchmark</w:t>
            </w:r>
          </w:p>
        </w:tc>
        <w:tc>
          <w:tcPr>
            <w:tcW w:type="dxa" w:w="47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Scale and offer</w:t>
            </w:r>
          </w:p>
        </w:tc>
        <w:tc>
          <w:tcPr>
            <w:tcW w:type="dxa" w:w="25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Funding</w:t>
            </w:r>
          </w:p>
        </w:tc>
        <w:tc>
          <w:tcPr>
            <w:tcW w:type="dxa" w:w="2078"/>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Governance and control</w:t>
            </w:r>
          </w:p>
        </w:tc>
        <w:tc>
          <w:tcPr>
            <w:tcW w:type="dxa" w:w="32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Read-across for CI</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SANParks Wild Card</w:t>
            </w:r>
          </w:p>
          <w:p>
            <w:pPr>
              <w:spacing w:after="0" w:line="240"/>
            </w:pPr>
            <w:r>
              <w:rPr>
                <w:color w:val="747480"/>
                <w:sz w:val="15"/>
                <w:szCs w:val="15"/>
              </w:rPr>
              <w:t xml:space="preserve">South Africa and Eswatini</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Annual pass giving unlimited entry to 80+ parks and reserves run by five conservation partners: SANParks, CapeNature, Ezemvelo KZN Wildlife, Msinsi and Big Game Parks (Eswatini). Sold by cluster and household size; recent All Parks rates were R835 individual, R1,375 couple and R1,680 family, with international rates from R3,780. A tour operator version loads entry vouchers onto guides’ cards.</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Visitors pay once instead of daily conservation fees; tariffs rise each year in line with CPI.</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SANParks manages the programme, including CRM and loyalty, with four conservation partners.</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The best African proof of CI’s ‘wild card’ idea. It works because five agencies pooled 80+ parks around a large domestic market. How revenue is shared between partners is the key question.</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Brand USA</w:t>
            </w:r>
          </w:p>
          <w:p>
            <w:pPr>
              <w:spacing w:after="0" w:line="240"/>
            </w:pPr>
            <w:r>
              <w:rPr>
                <w:color w:val="747480"/>
                <w:sz w:val="15"/>
                <w:szCs w:val="15"/>
              </w:rPr>
              <w:t xml:space="preserve">USA  |  Travel Promotion Act 2009, operating from 2011</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Public-private destination marketer working with 800+ partner organisations (2018). Industry cash and in-kind contributions, such as flights, rooms, media and content, unlock a 1:1 match from the ESTA visitor fee, capped at US$100m a year, for up to US$200m in total.</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No general taxpayer money. COVID cut ESTA receipts to US$62m in FY2020 and forced emergency funding in 2022; 2025 legislation cut the match cap to US$20m, and a November 2025 bill seeks to release US$160m of surplus fees.</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Department of Commerce approves annual goals, values in-kind contributions and releases the match.</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A match rule crowds in private money, including in-kind media. Earmarked visitor fees are exposed to politics and demand shocks.</w:t>
            </w:r>
          </w:p>
        </w:tc>
      </w:tr>
      <w:tr>
        <w:trPr>
          <w:cantSplit/>
        </w:trPr>
        <w:tc>
          <w:tcPr>
            <w:tcW w:type="dxa" w:w="22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b/>
                <w:bCs/>
                <w:sz w:val="17"/>
                <w:szCs w:val="17"/>
              </w:rPr>
              <w:t xml:space="preserve">The Lion’s Share Fund</w:t>
            </w:r>
          </w:p>
          <w:p>
            <w:pPr>
              <w:spacing w:after="0" w:line="240"/>
            </w:pPr>
            <w:r>
              <w:rPr>
                <w:color w:val="747480"/>
                <w:sz w:val="15"/>
                <w:szCs w:val="15"/>
              </w:rPr>
              <w:t xml:space="preserve">UNDP-led  |  launched 2018</w:t>
            </w:r>
          </w:p>
        </w:tc>
        <w:tc>
          <w:tcPr>
            <w:tcW w:type="dxa" w:w="4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Brands pledge 0.5% of media spend on any advert featuring an animal. Founded by FINCH with UNDP, with Mars as founding partner alongside Clemenger BBDO and Nielsen; about 50 brands had signed by 2020, including Gucci. Targets US$100m a year.</w:t>
            </w:r>
          </w:p>
        </w:tc>
        <w:tc>
          <w:tcPr>
            <w:tcW w:type="dxa" w:w="25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Voluntary corporate contributions.</w:t>
            </w:r>
          </w:p>
        </w:tc>
        <w:tc>
          <w:tcPr>
            <w:tcW w:type="dxa" w:w="2078"/>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UNDP leads with a coalition of businesses and UN partners.</w:t>
            </w:r>
          </w:p>
        </w:tc>
        <w:tc>
          <w:tcPr>
            <w:tcW w:type="dxa" w:w="3200"/>
            <w:tcBorders>
              <w:top w:val="single" w:color="C4C4CD" w:sz="4"/>
              <w:left w:val="single" w:color="C4C4CD" w:sz="4"/>
              <w:bottom w:val="single" w:color="C4C4CD" w:sz="4"/>
              <w:right w:val="single" w:color="C4C4CD" w:sz="4"/>
            </w:tcBorders>
            <w:shd w:fill="F6F6F8" w:color="auto" w:val="clear"/>
            <w:tcMar>
              <w:top w:type="dxa" w:w="70"/>
              <w:left w:type="dxa" w:w="100"/>
              <w:bottom w:type="dxa" w:w="70"/>
              <w:right w:type="dxa" w:w="100"/>
            </w:tcMar>
          </w:tcPr>
          <w:p>
            <w:pPr>
              <w:spacing w:after="40" w:line="240"/>
            </w:pPr>
            <w:r>
              <w:rPr>
                <w:sz w:val="17"/>
                <w:szCs w:val="17"/>
              </w:rPr>
              <w:t xml:space="preserve">Monetises wildlife imagery that brands already use. A park-brand licence or imagery levy could be tested with airlines, banks and beverage brands that trade on African wildlife.</w:t>
            </w:r>
          </w:p>
        </w:tc>
      </w:tr>
    </w:tbl>
    <w:p>
      <w:pPr>
        <w:pStyle w:val="Heading1"/>
      </w:pPr>
      <w:r>
        <w:t xml:space="preserve">4. Initial read against CI’s design aims</w:t>
      </w:r>
    </w:p>
    <w:p>
      <w:pPr>
        <w:spacing w:after="140"/>
      </w:pPr>
      <w:r>
        <w:t xml:space="preserve">CI’s terms of reference list seven aims for any model. We rated each benchmark against six of them, plus two conditions from Activity Two (operating across jurisdictions and working for sites of wide-ranging capacity) and a flag for African evidence. The ratings are team judgement on the desk evidence gathered in this pass and will move as deep-dives land.</w:t>
      </w:r>
    </w:p>
    <w:p>
      <w:pPr>
        <w:spacing w:after="120"/>
      </w:pPr>
      <w:r>
        <w:rPr>
          <w:b/>
          <w:bCs/>
        </w:rPr>
        <w:t xml:space="preserve">H</w:t>
      </w:r>
      <w:r>
        <w:t xml:space="preserve"> strong evidence   </w:t>
      </w:r>
      <w:r>
        <w:rPr>
          <w:b/>
          <w:bCs/>
        </w:rPr>
        <w:t xml:space="preserve">M</w:t>
      </w:r>
      <w:r>
        <w:t xml:space="preserve"> partial   </w:t>
      </w:r>
      <w:r>
        <w:rPr>
          <w:b/>
          <w:bCs/>
        </w:rPr>
        <w:t xml:space="preserve">L</w:t>
      </w:r>
      <w:r>
        <w:t xml:space="preserve"> weak or absent   </w:t>
      </w:r>
      <w:r>
        <w:rPr>
          <w:b/>
          <w:bCs/>
        </w:rPr>
        <w:t xml:space="preserve">?</w:t>
      </w:r>
      <w:r>
        <w:t xml:space="preserve"> not yet evidenced   </w:t>
      </w:r>
      <w:r>
        <w:rPr>
          <w:b/>
          <w:bCs/>
        </w:rPr>
        <w:t xml:space="preserve">n/a</w:t>
      </w:r>
      <w:r>
        <w:t xml:space="preserve"> not applicable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005"/>
        <w:gridCol w:w="1297"/>
        <w:gridCol w:w="1297"/>
        <w:gridCol w:w="1297"/>
        <w:gridCol w:w="1297"/>
        <w:gridCol w:w="1297"/>
        <w:gridCol w:w="1297"/>
        <w:gridCol w:w="1297"/>
        <w:gridCol w:w="1297"/>
        <w:gridCol w:w="1297"/>
      </w:tblGrid>
      <w:tr>
        <w:trPr>
          <w:tblHeader/>
        </w:trPr>
        <w:tc>
          <w:tcPr>
            <w:tcW w:type="dxa" w:w="3005"/>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Benchmark</w:t>
            </w:r>
          </w:p>
        </w:tc>
        <w:tc>
          <w:tcPr>
            <w:tcW w:type="dxa" w:w="1297"/>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Self-funding</w:t>
            </w:r>
          </w:p>
        </w:tc>
        <w:tc>
          <w:tcPr>
            <w:tcW w:type="dxa" w:w="1297"/>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Aggregation</w:t>
            </w:r>
          </w:p>
        </w:tc>
        <w:tc>
          <w:tcPr>
            <w:tcW w:type="dxa" w:w="1297"/>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Conservation-led</w:t>
            </w:r>
          </w:p>
        </w:tc>
        <w:tc>
          <w:tcPr>
            <w:tcW w:type="dxa" w:w="1297"/>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Data</w:t>
            </w:r>
          </w:p>
        </w:tc>
        <w:tc>
          <w:tcPr>
            <w:tcW w:type="dxa" w:w="1297"/>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Segments and appeal</w:t>
            </w:r>
          </w:p>
        </w:tc>
        <w:tc>
          <w:tcPr>
            <w:tcW w:type="dxa" w:w="1297"/>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National brand fit</w:t>
            </w:r>
          </w:p>
        </w:tc>
        <w:tc>
          <w:tcPr>
            <w:tcW w:type="dxa" w:w="1297"/>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Cross-border</w:t>
            </w:r>
          </w:p>
        </w:tc>
        <w:tc>
          <w:tcPr>
            <w:tcW w:type="dxa" w:w="1297"/>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Low-capacity fit</w:t>
            </w:r>
          </w:p>
        </w:tc>
        <w:tc>
          <w:tcPr>
            <w:tcW w:type="dxa" w:w="1297"/>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African evidence</w:t>
            </w:r>
          </w:p>
        </w:tc>
      </w:tr>
      <w:tr>
        <w:trPr>
          <w:cantSplit/>
        </w:trPr>
        <w:tc>
          <w:tcPr>
            <w:tcW w:type="dxa" w:w="14678"/>
            <w:gridSpan w:val="10"/>
            <w:tcBorders>
              <w:top w:val="single" w:color="C4C4CD" w:sz="4"/>
              <w:left w:val="single" w:color="C4C4CD" w:sz="4"/>
              <w:bottom w:val="single" w:color="C4C4CD" w:sz="4"/>
              <w:right w:val="single" w:color="C4C4CD" w:sz="4"/>
            </w:tcBorders>
            <w:shd w:fill="F6F6F8" w:color="auto" w:val="clear"/>
            <w:tcMar>
              <w:top w:type="dxa" w:w="30"/>
              <w:left w:type="dxa" w:w="80"/>
              <w:bottom w:type="dxa" w:w="30"/>
              <w:right w:type="dxa" w:w="80"/>
            </w:tcMar>
          </w:tcPr>
          <w:p>
            <w:pPr>
              <w:keepNext/>
              <w:spacing w:after="0" w:line="240"/>
            </w:pPr>
            <w:r>
              <w:rPr>
                <w:b/>
                <w:bCs/>
                <w:color w:val="747480"/>
                <w:sz w:val="15"/>
                <w:szCs w:val="15"/>
              </w:rPr>
              <w:t xml:space="preserve">Shared service</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Northern Rangelands Trust</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747480"/>
                <w:sz w:val="15"/>
                <w:szCs w:val="15"/>
              </w:rPr>
              <w:t xml:space="preserve">n/a</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NACSO </w:t>
            </w:r>
            <w:r>
              <w:rPr>
                <w:b/>
                <w:bCs/>
                <w:color w:val="2E2E38"/>
                <w:sz w:val="13"/>
                <w:szCs w:val="13"/>
                <w:shd w:fill="FFE600" w:color="auto" w:val="clear"/>
              </w:rPr>
              <w:t xml:space="preserve"> NEW </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MMWCA </w:t>
            </w:r>
            <w:r>
              <w:rPr>
                <w:b/>
                <w:bCs/>
                <w:color w:val="2E2E38"/>
                <w:sz w:val="13"/>
                <w:szCs w:val="13"/>
                <w:shd w:fill="FFE600" w:color="auto" w:val="clear"/>
              </w:rPr>
              <w:t xml:space="preserve"> NEW </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NPS Harpers Ferry Center</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The Long Run</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747480"/>
                <w:sz w:val="15"/>
                <w:szCs w:val="15"/>
              </w:rPr>
              <w:t xml:space="preserve">n/a</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r>
      <w:tr>
        <w:trPr>
          <w:cantSplit/>
        </w:trPr>
        <w:tc>
          <w:tcPr>
            <w:tcW w:type="dxa" w:w="14678"/>
            <w:gridSpan w:val="10"/>
            <w:tcBorders>
              <w:top w:val="single" w:color="C4C4CD" w:sz="4"/>
              <w:left w:val="single" w:color="C4C4CD" w:sz="4"/>
              <w:bottom w:val="single" w:color="C4C4CD" w:sz="4"/>
              <w:right w:val="single" w:color="C4C4CD" w:sz="4"/>
            </w:tcBorders>
            <w:shd w:fill="F6F6F8" w:color="auto" w:val="clear"/>
            <w:tcMar>
              <w:top w:type="dxa" w:w="30"/>
              <w:left w:type="dxa" w:w="80"/>
              <w:bottom w:type="dxa" w:w="30"/>
              <w:right w:type="dxa" w:w="80"/>
            </w:tcMar>
          </w:tcPr>
          <w:p>
            <w:pPr>
              <w:keepNext/>
              <w:spacing w:after="0" w:line="240"/>
            </w:pPr>
            <w:r>
              <w:rPr>
                <w:b/>
                <w:bCs/>
                <w:color w:val="747480"/>
                <w:sz w:val="15"/>
                <w:szCs w:val="15"/>
              </w:rPr>
              <w:t xml:space="preserve">Site standard</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EUROPARC Charter (ECST)</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UNESCO Global Geoparks</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Slovenia Green</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Blue Flag </w:t>
            </w:r>
            <w:r>
              <w:rPr>
                <w:b/>
                <w:bCs/>
                <w:color w:val="2E2E38"/>
                <w:sz w:val="13"/>
                <w:szCs w:val="13"/>
                <w:shd w:fill="FFE600" w:color="auto" w:val="clear"/>
              </w:rPr>
              <w:t xml:space="preserve"> NEW </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r>
      <w:tr>
        <w:trPr>
          <w:cantSplit/>
        </w:trPr>
        <w:tc>
          <w:tcPr>
            <w:tcW w:type="dxa" w:w="14678"/>
            <w:gridSpan w:val="10"/>
            <w:tcBorders>
              <w:top w:val="single" w:color="C4C4CD" w:sz="4"/>
              <w:left w:val="single" w:color="C4C4CD" w:sz="4"/>
              <w:bottom w:val="single" w:color="C4C4CD" w:sz="4"/>
              <w:right w:val="single" w:color="C4C4CD" w:sz="4"/>
            </w:tcBorders>
            <w:shd w:fill="F6F6F8" w:color="auto" w:val="clear"/>
            <w:tcMar>
              <w:top w:type="dxa" w:w="30"/>
              <w:left w:type="dxa" w:w="80"/>
              <w:bottom w:type="dxa" w:w="30"/>
              <w:right w:type="dxa" w:w="80"/>
            </w:tcMar>
          </w:tcPr>
          <w:p>
            <w:pPr>
              <w:keepNext/>
              <w:spacing w:after="0" w:line="240"/>
            </w:pPr>
            <w:r>
              <w:rPr>
                <w:b/>
                <w:bCs/>
                <w:color w:val="747480"/>
                <w:sz w:val="15"/>
                <w:szCs w:val="15"/>
              </w:rPr>
              <w:t xml:space="preserve">Enterprise mark</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Fair Trade Tourism </w:t>
            </w:r>
            <w:r>
              <w:rPr>
                <w:b/>
                <w:bCs/>
                <w:color w:val="2E2E38"/>
                <w:sz w:val="13"/>
                <w:szCs w:val="13"/>
                <w:shd w:fill="FFE600" w:color="auto" w:val="clear"/>
              </w:rPr>
              <w:t xml:space="preserve"> NEW </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Certified Wildlife Friendly </w:t>
            </w:r>
            <w:r>
              <w:rPr>
                <w:b/>
                <w:bCs/>
                <w:color w:val="2E2E38"/>
                <w:sz w:val="13"/>
                <w:szCs w:val="13"/>
                <w:shd w:fill="FFE600" w:color="auto" w:val="clear"/>
              </w:rPr>
              <w:t xml:space="preserve"> NEW </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747480"/>
                <w:sz w:val="15"/>
                <w:szCs w:val="15"/>
              </w:rPr>
              <w:t xml:space="preserve">n/a</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r>
      <w:tr>
        <w:trPr>
          <w:cantSplit/>
        </w:trPr>
        <w:tc>
          <w:tcPr>
            <w:tcW w:type="dxa" w:w="14678"/>
            <w:gridSpan w:val="10"/>
            <w:tcBorders>
              <w:top w:val="single" w:color="C4C4CD" w:sz="4"/>
              <w:left w:val="single" w:color="C4C4CD" w:sz="4"/>
              <w:bottom w:val="single" w:color="C4C4CD" w:sz="4"/>
              <w:right w:val="single" w:color="C4C4CD" w:sz="4"/>
            </w:tcBorders>
            <w:shd w:fill="F6F6F8" w:color="auto" w:val="clear"/>
            <w:tcMar>
              <w:top w:type="dxa" w:w="30"/>
              <w:left w:type="dxa" w:w="80"/>
              <w:bottom w:type="dxa" w:w="30"/>
              <w:right w:type="dxa" w:w="80"/>
            </w:tcMar>
          </w:tcPr>
          <w:p>
            <w:pPr>
              <w:keepNext/>
              <w:spacing w:after="0" w:line="240"/>
            </w:pPr>
            <w:r>
              <w:rPr>
                <w:b/>
                <w:bCs/>
                <w:color w:val="747480"/>
                <w:sz w:val="15"/>
                <w:szCs w:val="15"/>
              </w:rPr>
              <w:t xml:space="preserve">Place marketer</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Boundless Southern Africa</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KAZA ‘Rivers of Life’</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Africa’s Eden Tourism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Alpine Pearls </w:t>
            </w:r>
            <w:r>
              <w:rPr>
                <w:b/>
                <w:bCs/>
                <w:color w:val="2E2E38"/>
                <w:sz w:val="13"/>
                <w:szCs w:val="13"/>
                <w:shd w:fill="FFE600" w:color="auto" w:val="clear"/>
              </w:rPr>
              <w:t xml:space="preserve"> NEW </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World Heritage Journeys</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EDEN</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Visit Rwanda </w:t>
            </w:r>
            <w:r>
              <w:rPr>
                <w:b/>
                <w:bCs/>
                <w:color w:val="2E2E38"/>
                <w:sz w:val="13"/>
                <w:szCs w:val="13"/>
                <w:shd w:fill="FFE600" w:color="auto" w:val="clear"/>
              </w:rPr>
              <w:t xml:space="preserve"> NEW </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r>
      <w:tr>
        <w:trPr>
          <w:cantSplit/>
        </w:trPr>
        <w:tc>
          <w:tcPr>
            <w:tcW w:type="dxa" w:w="14678"/>
            <w:gridSpan w:val="10"/>
            <w:tcBorders>
              <w:top w:val="single" w:color="C4C4CD" w:sz="4"/>
              <w:left w:val="single" w:color="C4C4CD" w:sz="4"/>
              <w:bottom w:val="single" w:color="C4C4CD" w:sz="4"/>
              <w:right w:val="single" w:color="C4C4CD" w:sz="4"/>
            </w:tcBorders>
            <w:shd w:fill="F6F6F8" w:color="auto" w:val="clear"/>
            <w:tcMar>
              <w:top w:type="dxa" w:w="30"/>
              <w:left w:type="dxa" w:w="80"/>
              <w:bottom w:type="dxa" w:w="30"/>
              <w:right w:type="dxa" w:w="80"/>
            </w:tcMar>
          </w:tcPr>
          <w:p>
            <w:pPr>
              <w:keepNext/>
              <w:spacing w:after="0" w:line="240"/>
            </w:pPr>
            <w:r>
              <w:rPr>
                <w:b/>
                <w:bCs/>
                <w:color w:val="747480"/>
                <w:sz w:val="15"/>
                <w:szCs w:val="15"/>
              </w:rPr>
              <w:t xml:space="preserve">Curator and distributor</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LHW</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Relais &amp; Châteaux</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SLH </w:t>
            </w:r>
            <w:r>
              <w:rPr>
                <w:b/>
                <w:bCs/>
                <w:color w:val="2E2E38"/>
                <w:sz w:val="13"/>
                <w:szCs w:val="13"/>
                <w:shd w:fill="FFE600" w:color="auto" w:val="clear"/>
              </w:rPr>
              <w:t xml:space="preserve"> NEW </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Beyond Green </w:t>
            </w:r>
            <w:r>
              <w:rPr>
                <w:b/>
                <w:bCs/>
                <w:color w:val="2E2E38"/>
                <w:sz w:val="13"/>
                <w:szCs w:val="13"/>
                <w:shd w:fill="FFE600" w:color="auto" w:val="clear"/>
              </w:rPr>
              <w:t xml:space="preserve"> NEW </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National Geographic Unique Lodges</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Signature Experiences of Australia</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Experience Mekong Collection</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r>
      <w:tr>
        <w:trPr>
          <w:cantSplit/>
        </w:trPr>
        <w:tc>
          <w:tcPr>
            <w:tcW w:type="dxa" w:w="14678"/>
            <w:gridSpan w:val="10"/>
            <w:tcBorders>
              <w:top w:val="single" w:color="C4C4CD" w:sz="4"/>
              <w:left w:val="single" w:color="C4C4CD" w:sz="4"/>
              <w:bottom w:val="single" w:color="C4C4CD" w:sz="4"/>
              <w:right w:val="single" w:color="C4C4CD" w:sz="4"/>
            </w:tcBorders>
            <w:shd w:fill="F6F6F8" w:color="auto" w:val="clear"/>
            <w:tcMar>
              <w:top w:type="dxa" w:w="30"/>
              <w:left w:type="dxa" w:w="80"/>
              <w:bottom w:type="dxa" w:w="30"/>
              <w:right w:type="dxa" w:w="80"/>
            </w:tcMar>
          </w:tcPr>
          <w:p>
            <w:pPr>
              <w:keepNext/>
              <w:spacing w:after="0" w:line="240"/>
            </w:pPr>
            <w:r>
              <w:rPr>
                <w:b/>
                <w:bCs/>
                <w:color w:val="747480"/>
                <w:sz w:val="15"/>
                <w:szCs w:val="15"/>
              </w:rPr>
              <w:t xml:space="preserve">Portfolio umbrella</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African Parks</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National Trust</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Rewilding Europe</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r>
      <w:tr>
        <w:trPr>
          <w:cantSplit/>
        </w:trPr>
        <w:tc>
          <w:tcPr>
            <w:tcW w:type="dxa" w:w="14678"/>
            <w:gridSpan w:val="10"/>
            <w:tcBorders>
              <w:top w:val="single" w:color="C4C4CD" w:sz="4"/>
              <w:left w:val="single" w:color="C4C4CD" w:sz="4"/>
              <w:bottom w:val="single" w:color="C4C4CD" w:sz="4"/>
              <w:right w:val="single" w:color="C4C4CD" w:sz="4"/>
            </w:tcBorders>
            <w:shd w:fill="F6F6F8" w:color="auto" w:val="clear"/>
            <w:tcMar>
              <w:top w:type="dxa" w:w="30"/>
              <w:left w:type="dxa" w:w="80"/>
              <w:bottom w:type="dxa" w:w="30"/>
              <w:right w:type="dxa" w:w="80"/>
            </w:tcMar>
          </w:tcPr>
          <w:p>
            <w:pPr>
              <w:keepNext/>
              <w:spacing w:after="0" w:line="240"/>
            </w:pPr>
            <w:r>
              <w:rPr>
                <w:b/>
                <w:bCs/>
                <w:color w:val="747480"/>
                <w:sz w:val="15"/>
                <w:szCs w:val="15"/>
              </w:rPr>
              <w:t xml:space="preserve">Revenue engine</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SANParks Wild Card</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Brand USA</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r>
      <w:tr>
        <w:trPr>
          <w:cantSplit/>
        </w:trPr>
        <w:tc>
          <w:tcPr>
            <w:tcW w:type="dxa" w:w="3005"/>
            <w:tcBorders>
              <w:top w:val="single" w:color="C4C4CD" w:sz="4"/>
              <w:left w:val="single" w:color="C4C4CD" w:sz="4"/>
              <w:bottom w:val="single" w:color="C4C4CD" w:sz="4"/>
              <w:right w:val="single" w:color="C4C4CD" w:sz="4"/>
            </w:tcBorders>
            <w:tcMar>
              <w:top w:type="dxa" w:w="30"/>
              <w:left w:type="dxa" w:w="80"/>
              <w:bottom w:type="dxa" w:w="30"/>
              <w:right w:type="dxa" w:w="80"/>
            </w:tcMar>
            <w:vAlign w:val="center"/>
          </w:tcPr>
          <w:p>
            <w:pPr>
              <w:spacing w:after="0" w:line="240"/>
            </w:pPr>
            <w:r>
              <w:rPr>
                <w:b/>
                <w:bCs/>
                <w:sz w:val="15"/>
                <w:szCs w:val="15"/>
              </w:rPr>
              <w:t xml:space="preserve">The Lion’s Share Fund</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F6A8"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M</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EDEDF0"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L</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747480"/>
                <w:sz w:val="15"/>
                <w:szCs w:val="15"/>
              </w:rPr>
              <w:t xml:space="preserve">n/a</w:t>
            </w:r>
          </w:p>
        </w:tc>
        <w:tc>
          <w:tcPr>
            <w:tcW w:type="dxa" w:w="1297"/>
            <w:tcBorders>
              <w:top w:val="single" w:color="C4C4CD" w:sz="4"/>
              <w:left w:val="single" w:color="C4C4CD" w:sz="4"/>
              <w:bottom w:val="single" w:color="C4C4CD" w:sz="4"/>
              <w:right w:val="single" w:color="C4C4CD" w:sz="4"/>
            </w:tcBorders>
            <w:shd w:fill="FFE600" w:color="auto" w:val="clear"/>
            <w:tcMar>
              <w:top w:type="dxa" w:w="30"/>
              <w:left w:type="dxa" w:w="80"/>
              <w:bottom w:type="dxa" w:w="30"/>
              <w:right w:type="dxa" w:w="80"/>
            </w:tcMar>
            <w:vAlign w:val="center"/>
          </w:tcPr>
          <w:p>
            <w:pPr>
              <w:spacing w:after="0" w:line="240"/>
              <w:jc w:val="center"/>
            </w:pPr>
            <w:r>
              <w:rPr>
                <w:b/>
                <w:bCs/>
                <w:color w:val="2E2E38"/>
                <w:sz w:val="15"/>
                <w:szCs w:val="15"/>
              </w:rPr>
              <w:t xml:space="preserve">H</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w:t>
            </w:r>
          </w:p>
        </w:tc>
        <w:tc>
          <w:tcPr>
            <w:tcW w:type="dxa" w:w="1297"/>
            <w:tcBorders>
              <w:top w:val="single" w:color="C4C4CD" w:sz="4"/>
              <w:left w:val="single" w:color="C4C4CD" w:sz="4"/>
              <w:bottom w:val="single" w:color="C4C4CD" w:sz="4"/>
              <w:right w:val="single" w:color="C4C4CD" w:sz="4"/>
            </w:tcBorders>
            <w:shd w:fill="FFFFFF" w:color="auto" w:val="clear"/>
            <w:tcMar>
              <w:top w:type="dxa" w:w="30"/>
              <w:left w:type="dxa" w:w="80"/>
              <w:bottom w:type="dxa" w:w="30"/>
              <w:right w:type="dxa" w:w="80"/>
            </w:tcMar>
            <w:vAlign w:val="center"/>
          </w:tcPr>
          <w:p>
            <w:pPr>
              <w:spacing w:after="0" w:line="240"/>
              <w:jc w:val="center"/>
            </w:pPr>
            <w:r>
              <w:rPr>
                <w:b w:val="false"/>
                <w:bCs w:val="false"/>
                <w:color w:val="2E2E38"/>
                <w:sz w:val="15"/>
                <w:szCs w:val="15"/>
              </w:rPr>
              <w:t xml:space="preserve">?</w:t>
            </w:r>
          </w:p>
        </w:tc>
      </w:tr>
    </w:tbl>
    <w:p>
      <w:pPr>
        <w:sectPr>
          <w:footerReference w:type="default" r:id="rId8"/>
          <w:pgSz w:w="16838" w:h="11906" w:orient="landscape"/>
          <w:pgMar w:top="1080" w:right="1080" w:bottom="1080" w:left="1080" w:header="708" w:footer="708" w:gutter="0"/>
          <w:pgNumType/>
          <w:docGrid w:linePitch="360"/>
        </w:sectPr>
      </w:pPr>
    </w:p>
    <w:p>
      <w:pPr>
        <w:pStyle w:val="Heading1"/>
      </w:pPr>
      <w:r>
        <w:t xml:space="preserve">5. Recommended deep-dives for Activity One</w:t>
      </w:r>
    </w:p>
    <w:p>
      <w:pPr>
        <w:spacing w:after="140"/>
      </w:pPr>
      <w:r>
        <w:t xml:space="preserve">Thirteen benchmarks or clusters earn a deep-dive: eight case studies in Tier 1, two of them clustered, and five light-touch checks in Tier 2. Tier 1 covers the two African initiatives CI named, the newest African co-brand, Africa’s conservancy associations, three global references and a commercial cluster built around the build, host or borrow question. Each Tier 2 check answers one specific design question.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2700"/>
        <w:gridCol w:w="4346"/>
      </w:tblGrid>
      <w:tr>
        <w:trPr>
          <w:tblHeader/>
        </w:trPr>
        <w:tc>
          <w:tcPr>
            <w:tcW w:type="dxa" w:w="20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Benchmark</w:t>
            </w:r>
          </w:p>
        </w:tc>
        <w:tc>
          <w:tcPr>
            <w:tcW w:type="dxa" w:w="7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Tier</w:t>
            </w:r>
          </w:p>
        </w:tc>
        <w:tc>
          <w:tcPr>
            <w:tcW w:type="dxa" w:w="27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Why it earns a deep-dive</w:t>
            </w:r>
          </w:p>
        </w:tc>
        <w:tc>
          <w:tcPr>
            <w:tcW w:type="dxa" w:w="4346"/>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Questions the deep-dive must answer</w:t>
            </w:r>
          </w:p>
        </w:tc>
      </w:tr>
      <w:tr>
        <w:trPr>
          <w:cantSplit/>
        </w:trPr>
        <w:tc>
          <w:tcPr>
            <w:tcW w:type="dxa" w:w="20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b/>
                <w:bCs/>
                <w:sz w:val="17"/>
                <w:szCs w:val="17"/>
              </w:rPr>
              <w:t xml:space="preserve">Boundless Southern Africa</w:t>
            </w:r>
          </w:p>
        </w:tc>
        <w:tc>
          <w:tcPr>
            <w:tcW w:type="dxa" w:w="700"/>
            <w:tcBorders>
              <w:top w:val="single" w:color="C4C4CD" w:sz="4"/>
              <w:left w:val="single" w:color="C4C4CD" w:sz="4"/>
              <w:bottom w:val="single" w:color="C4C4CD" w:sz="4"/>
              <w:right w:val="single" w:color="C4C4CD" w:sz="4"/>
            </w:tcBorders>
            <w:shd w:fill="FFE600" w:color="auto" w:val="clear"/>
            <w:tcMar>
              <w:top w:type="dxa" w:w="70"/>
              <w:left w:type="dxa" w:w="100"/>
              <w:bottom w:type="dxa" w:w="70"/>
              <w:right w:type="dxa" w:w="100"/>
            </w:tcMar>
            <w:vAlign w:val="center"/>
          </w:tcPr>
          <w:p>
            <w:pPr>
              <w:spacing w:after="0"/>
              <w:jc w:val="center"/>
            </w:pPr>
            <w:r>
              <w:rPr>
                <w:b/>
                <w:bCs/>
                <w:sz w:val="17"/>
                <w:szCs w:val="17"/>
              </w:rPr>
              <w:t xml:space="preserve">1</w:t>
            </w:r>
          </w:p>
        </w:tc>
        <w:tc>
          <w:tcPr>
            <w:tcW w:type="dxa" w:w="2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Named by CI; the longest-running African transfrontier brand, publicly hosted since 2007.</w:t>
            </w:r>
          </w:p>
        </w:tc>
        <w:tc>
          <w:tcPr>
            <w:tcW w:type="dxa" w:w="43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What have 18 years bought in recognition, trade adoption and bookings? What does the secretariat cost a year? Did private operators ever pay in, and if not, why not?</w:t>
            </w:r>
          </w:p>
        </w:tc>
      </w:tr>
      <w:tr>
        <w:trPr>
          <w:cantSplit/>
        </w:trPr>
        <w:tc>
          <w:tcPr>
            <w:tcW w:type="dxa" w:w="20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b/>
                <w:bCs/>
                <w:sz w:val="17"/>
                <w:szCs w:val="17"/>
              </w:rPr>
              <w:t xml:space="preserve">Africa’s Eden Tourism</w:t>
            </w:r>
          </w:p>
        </w:tc>
        <w:tc>
          <w:tcPr>
            <w:tcW w:type="dxa" w:w="700"/>
            <w:tcBorders>
              <w:top w:val="single" w:color="C4C4CD" w:sz="4"/>
              <w:left w:val="single" w:color="C4C4CD" w:sz="4"/>
              <w:bottom w:val="single" w:color="C4C4CD" w:sz="4"/>
              <w:right w:val="single" w:color="C4C4CD" w:sz="4"/>
            </w:tcBorders>
            <w:shd w:fill="FFE600" w:color="auto" w:val="clear"/>
            <w:tcMar>
              <w:top w:type="dxa" w:w="70"/>
              <w:left w:type="dxa" w:w="100"/>
              <w:bottom w:type="dxa" w:w="70"/>
              <w:right w:type="dxa" w:w="100"/>
            </w:tcMar>
            <w:vAlign w:val="center"/>
          </w:tcPr>
          <w:p>
            <w:pPr>
              <w:spacing w:after="0"/>
              <w:jc w:val="center"/>
            </w:pPr>
            <w:r>
              <w:rPr>
                <w:b/>
                <w:bCs/>
                <w:sz w:val="17"/>
                <w:szCs w:val="17"/>
              </w:rPr>
              <w:t xml:space="preserve">1</w:t>
            </w:r>
          </w:p>
        </w:tc>
        <w:tc>
          <w:tcPr>
            <w:tcW w:type="dxa" w:w="2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Named by CI; the only African cross-border identity the private sector pays for.</w:t>
            </w:r>
          </w:p>
        </w:tc>
        <w:tc>
          <w:tcPr>
            <w:tcW w:type="dxa" w:w="43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Tiers, fees and member numbers. What members say they get. How it works with national tourism boards.</w:t>
            </w:r>
          </w:p>
        </w:tc>
      </w:tr>
      <w:tr>
        <w:trPr>
          <w:cantSplit/>
        </w:trPr>
        <w:tc>
          <w:tcPr>
            <w:tcW w:type="dxa" w:w="20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b/>
                <w:bCs/>
                <w:sz w:val="17"/>
                <w:szCs w:val="17"/>
              </w:rPr>
              <w:t xml:space="preserve">KAZA ‘Rivers of Life’ and UniVisa</w:t>
            </w:r>
          </w:p>
        </w:tc>
        <w:tc>
          <w:tcPr>
            <w:tcW w:type="dxa" w:w="700"/>
            <w:tcBorders>
              <w:top w:val="single" w:color="C4C4CD" w:sz="4"/>
              <w:left w:val="single" w:color="C4C4CD" w:sz="4"/>
              <w:bottom w:val="single" w:color="C4C4CD" w:sz="4"/>
              <w:right w:val="single" w:color="C4C4CD" w:sz="4"/>
            </w:tcBorders>
            <w:shd w:fill="FFE600" w:color="auto" w:val="clear"/>
            <w:tcMar>
              <w:top w:type="dxa" w:w="70"/>
              <w:left w:type="dxa" w:w="100"/>
              <w:bottom w:type="dxa" w:w="70"/>
              <w:right w:type="dxa" w:w="100"/>
            </w:tcMar>
            <w:vAlign w:val="center"/>
          </w:tcPr>
          <w:p>
            <w:pPr>
              <w:spacing w:after="0"/>
              <w:jc w:val="center"/>
            </w:pPr>
            <w:r>
              <w:rPr>
                <w:b/>
                <w:bCs/>
                <w:sz w:val="17"/>
                <w:szCs w:val="17"/>
              </w:rPr>
              <w:t xml:space="preserve">1</w:t>
            </w:r>
          </w:p>
        </w:tc>
        <w:tc>
          <w:tcPr>
            <w:tcW w:type="dxa" w:w="2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The newest African co-brand, designed for operators to adopt.</w:t>
            </w:r>
          </w:p>
        </w:tc>
        <w:tc>
          <w:tcPr>
            <w:tcW w:type="dxa" w:w="43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Brand hub adoption to date. Campaign budget and funders. UniVisa uptake since 2016 and its effect on multi-country itineraries.</w:t>
            </w:r>
          </w:p>
        </w:tc>
      </w:tr>
      <w:tr>
        <w:trPr>
          <w:cantSplit/>
        </w:trPr>
        <w:tc>
          <w:tcPr>
            <w:tcW w:type="dxa" w:w="20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b/>
                <w:bCs/>
                <w:sz w:val="17"/>
                <w:szCs w:val="17"/>
              </w:rPr>
              <w:t xml:space="preserve">African conservancy associations: NRT, NACSO and MMWCA</w:t>
            </w:r>
          </w:p>
        </w:tc>
        <w:tc>
          <w:tcPr>
            <w:tcW w:type="dxa" w:w="700"/>
            <w:tcBorders>
              <w:top w:val="single" w:color="C4C4CD" w:sz="4"/>
              <w:left w:val="single" w:color="C4C4CD" w:sz="4"/>
              <w:bottom w:val="single" w:color="C4C4CD" w:sz="4"/>
              <w:right w:val="single" w:color="C4C4CD" w:sz="4"/>
            </w:tcBorders>
            <w:shd w:fill="FFE600" w:color="auto" w:val="clear"/>
            <w:tcMar>
              <w:top w:type="dxa" w:w="70"/>
              <w:left w:type="dxa" w:w="100"/>
              <w:bottom w:type="dxa" w:w="70"/>
              <w:right w:type="dxa" w:w="100"/>
            </w:tcMar>
            <w:vAlign w:val="center"/>
          </w:tcPr>
          <w:p>
            <w:pPr>
              <w:spacing w:after="0"/>
              <w:jc w:val="center"/>
            </w:pPr>
            <w:r>
              <w:rPr>
                <w:b/>
                <w:bCs/>
                <w:sz w:val="17"/>
                <w:szCs w:val="17"/>
              </w:rPr>
              <w:t xml:space="preserve">1</w:t>
            </w:r>
          </w:p>
        </w:tc>
        <w:tc>
          <w:tcPr>
            <w:tcW w:type="dxa" w:w="2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The aggregation layer that already exists in CI’s target geography; CI co-created the Maasai Mara Rescue Fund with MMWCA.</w:t>
            </w:r>
          </w:p>
        </w:tc>
        <w:tc>
          <w:tcPr>
            <w:tcW w:type="dxa" w:w="43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What each association provides and what it costs per conservancy. How joint-venture and lease models share revenue. Where brand and marketing support is missing. Whether they would host or join a CI facility.</w:t>
            </w:r>
          </w:p>
        </w:tc>
      </w:tr>
      <w:tr>
        <w:trPr>
          <w:cantSplit/>
        </w:trPr>
        <w:tc>
          <w:tcPr>
            <w:tcW w:type="dxa" w:w="20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b/>
                <w:bCs/>
                <w:sz w:val="17"/>
                <w:szCs w:val="17"/>
              </w:rPr>
              <w:t xml:space="preserve">The Long Run</w:t>
            </w:r>
          </w:p>
        </w:tc>
        <w:tc>
          <w:tcPr>
            <w:tcW w:type="dxa" w:w="700"/>
            <w:tcBorders>
              <w:top w:val="single" w:color="C4C4CD" w:sz="4"/>
              <w:left w:val="single" w:color="C4C4CD" w:sz="4"/>
              <w:bottom w:val="single" w:color="C4C4CD" w:sz="4"/>
              <w:right w:val="single" w:color="C4C4CD" w:sz="4"/>
            </w:tcBorders>
            <w:shd w:fill="FFE600" w:color="auto" w:val="clear"/>
            <w:tcMar>
              <w:top w:type="dxa" w:w="70"/>
              <w:left w:type="dxa" w:w="100"/>
              <w:bottom w:type="dxa" w:w="70"/>
              <w:right w:type="dxa" w:w="100"/>
            </w:tcMar>
            <w:vAlign w:val="center"/>
          </w:tcPr>
          <w:p>
            <w:pPr>
              <w:spacing w:after="0"/>
              <w:jc w:val="center"/>
            </w:pPr>
            <w:r>
              <w:rPr>
                <w:b/>
                <w:bCs/>
                <w:sz w:val="17"/>
                <w:szCs w:val="17"/>
              </w:rPr>
              <w:t xml:space="preserve">1</w:t>
            </w:r>
          </w:p>
        </w:tc>
        <w:tc>
          <w:tcPr>
            <w:tcW w:type="dxa" w:w="2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Coaching-plus-standard pathway with strong African membership.</w:t>
            </w:r>
          </w:p>
        </w:tc>
        <w:tc>
          <w:tcPr>
            <w:tcW w:type="dxa" w:w="43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Fee levels and what they buy. Cost of onsite support. Time to GER. What members value most.</w:t>
            </w:r>
          </w:p>
        </w:tc>
      </w:tr>
      <w:tr>
        <w:trPr>
          <w:cantSplit/>
        </w:trPr>
        <w:tc>
          <w:tcPr>
            <w:tcW w:type="dxa" w:w="20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b/>
                <w:bCs/>
                <w:sz w:val="17"/>
                <w:szCs w:val="17"/>
              </w:rPr>
              <w:t xml:space="preserve">Slovenia Green</w:t>
            </w:r>
          </w:p>
        </w:tc>
        <w:tc>
          <w:tcPr>
            <w:tcW w:type="dxa" w:w="700"/>
            <w:tcBorders>
              <w:top w:val="single" w:color="C4C4CD" w:sz="4"/>
              <w:left w:val="single" w:color="C4C4CD" w:sz="4"/>
              <w:bottom w:val="single" w:color="C4C4CD" w:sz="4"/>
              <w:right w:val="single" w:color="C4C4CD" w:sz="4"/>
            </w:tcBorders>
            <w:shd w:fill="FFE600" w:color="auto" w:val="clear"/>
            <w:tcMar>
              <w:top w:type="dxa" w:w="70"/>
              <w:left w:type="dxa" w:w="100"/>
              <w:bottom w:type="dxa" w:w="70"/>
              <w:right w:type="dxa" w:w="100"/>
            </w:tcMar>
            <w:vAlign w:val="center"/>
          </w:tcPr>
          <w:p>
            <w:pPr>
              <w:spacing w:after="0"/>
              <w:jc w:val="center"/>
            </w:pPr>
            <w:r>
              <w:rPr>
                <w:b/>
                <w:bCs/>
                <w:sz w:val="17"/>
                <w:szCs w:val="17"/>
              </w:rPr>
              <w:t xml:space="preserve">1</w:t>
            </w:r>
          </w:p>
        </w:tc>
        <w:tc>
          <w:tcPr>
            <w:tcW w:type="dxa" w:w="2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A national tourism board owns the label.</w:t>
            </w:r>
          </w:p>
        </w:tc>
        <w:tc>
          <w:tcPr>
            <w:tcW w:type="dxa" w:w="43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Cost to a destination. How labels feed national campaigns. What alignment would look like with tourism boards in CI’s priority countries.</w:t>
            </w:r>
          </w:p>
        </w:tc>
      </w:tr>
      <w:tr>
        <w:trPr>
          <w:cantSplit/>
        </w:trPr>
        <w:tc>
          <w:tcPr>
            <w:tcW w:type="dxa" w:w="20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b/>
                <w:bCs/>
                <w:sz w:val="17"/>
                <w:szCs w:val="17"/>
              </w:rPr>
              <w:t xml:space="preserve">Signature Experiences of Australia</w:t>
            </w:r>
          </w:p>
        </w:tc>
        <w:tc>
          <w:tcPr>
            <w:tcW w:type="dxa" w:w="700"/>
            <w:tcBorders>
              <w:top w:val="single" w:color="C4C4CD" w:sz="4"/>
              <w:left w:val="single" w:color="C4C4CD" w:sz="4"/>
              <w:bottom w:val="single" w:color="C4C4CD" w:sz="4"/>
              <w:right w:val="single" w:color="C4C4CD" w:sz="4"/>
            </w:tcBorders>
            <w:shd w:fill="FFE600" w:color="auto" w:val="clear"/>
            <w:tcMar>
              <w:top w:type="dxa" w:w="70"/>
              <w:left w:type="dxa" w:w="100"/>
              <w:bottom w:type="dxa" w:w="70"/>
              <w:right w:type="dxa" w:w="100"/>
            </w:tcMar>
            <w:vAlign w:val="center"/>
          </w:tcPr>
          <w:p>
            <w:pPr>
              <w:spacing w:after="0"/>
              <w:jc w:val="center"/>
            </w:pPr>
            <w:r>
              <w:rPr>
                <w:b/>
                <w:bCs/>
                <w:sz w:val="17"/>
                <w:szCs w:val="17"/>
              </w:rPr>
              <w:t xml:space="preserve">1</w:t>
            </w:r>
          </w:p>
        </w:tc>
        <w:tc>
          <w:tcPr>
            <w:tcW w:type="dxa" w:w="2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Collectives backed by a national tourism organisation, at a scale close to CI’s 15 areas.</w:t>
            </w:r>
          </w:p>
        </w:tc>
        <w:tc>
          <w:tcPr>
            <w:tcW w:type="dxa" w:w="43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 fees and collective budgets. Tourism Australia’s contribution. Trade and consumer results.</w:t>
            </w:r>
          </w:p>
        </w:tc>
      </w:tr>
      <w:tr>
        <w:trPr>
          <w:cantSplit/>
        </w:trPr>
        <w:tc>
          <w:tcPr>
            <w:tcW w:type="dxa" w:w="20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b/>
                <w:bCs/>
                <w:sz w:val="17"/>
                <w:szCs w:val="17"/>
              </w:rPr>
              <w:t xml:space="preserve">Commercial collectives: LHW and Relais &amp; Châteaux, with SLH, Beyond Green and National Geographic Unique Lodges</w:t>
            </w:r>
          </w:p>
        </w:tc>
        <w:tc>
          <w:tcPr>
            <w:tcW w:type="dxa" w:w="700"/>
            <w:tcBorders>
              <w:top w:val="single" w:color="C4C4CD" w:sz="4"/>
              <w:left w:val="single" w:color="C4C4CD" w:sz="4"/>
              <w:bottom w:val="single" w:color="C4C4CD" w:sz="4"/>
              <w:right w:val="single" w:color="C4C4CD" w:sz="4"/>
            </w:tcBorders>
            <w:shd w:fill="FFE600" w:color="auto" w:val="clear"/>
            <w:tcMar>
              <w:top w:type="dxa" w:w="70"/>
              <w:left w:type="dxa" w:w="100"/>
              <w:bottom w:type="dxa" w:w="70"/>
              <w:right w:type="dxa" w:w="100"/>
            </w:tcMar>
            <w:vAlign w:val="center"/>
          </w:tcPr>
          <w:p>
            <w:pPr>
              <w:spacing w:after="0"/>
              <w:jc w:val="center"/>
            </w:pPr>
            <w:r>
              <w:rPr>
                <w:b/>
                <w:bCs/>
                <w:sz w:val="17"/>
                <w:szCs w:val="17"/>
              </w:rPr>
              <w:t xml:space="preserve">1</w:t>
            </w:r>
          </w:p>
        </w:tc>
        <w:tc>
          <w:tcPr>
            <w:tcW w:type="dxa" w:w="2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CI’s named commercial reference, and the build, host or borrow choice.</w:t>
            </w:r>
          </w:p>
        </w:tc>
        <w:tc>
          <w:tcPr>
            <w:tcW w:type="dxa" w:w="43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Fee structures and member benefits. Admission and exit rules. Why LHW dropped its paid Leaders Club tier in 2021. Terms on which Preferred or SLH would host a Keystone collection. Commercial terms of the National Geographic model.</w:t>
            </w:r>
          </w:p>
        </w:tc>
      </w:tr>
      <w:tr>
        <w:trPr>
          <w:cantSplit/>
        </w:trPr>
        <w:tc>
          <w:tcPr>
            <w:tcW w:type="dxa" w:w="20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b/>
                <w:bCs/>
                <w:sz w:val="17"/>
                <w:szCs w:val="17"/>
              </w:rPr>
              <w:t xml:space="preserve">SANParks Wild Card</w:t>
            </w:r>
          </w:p>
        </w:tc>
        <w:tc>
          <w:tcPr>
            <w:tcW w:type="dxa" w:w="700"/>
            <w:tcBorders>
              <w:top w:val="single" w:color="C4C4CD" w:sz="4"/>
              <w:left w:val="single" w:color="C4C4CD" w:sz="4"/>
              <w:bottom w:val="single" w:color="C4C4CD" w:sz="4"/>
              <w:right w:val="single" w:color="C4C4CD" w:sz="4"/>
            </w:tcBorders>
            <w:shd w:fill="EDEDF0" w:color="auto" w:val="clear"/>
            <w:tcMar>
              <w:top w:type="dxa" w:w="70"/>
              <w:left w:type="dxa" w:w="100"/>
              <w:bottom w:type="dxa" w:w="70"/>
              <w:right w:type="dxa" w:w="100"/>
            </w:tcMar>
            <w:vAlign w:val="center"/>
          </w:tcPr>
          <w:p>
            <w:pPr>
              <w:spacing w:after="0"/>
              <w:jc w:val="center"/>
            </w:pPr>
            <w:r>
              <w:rPr>
                <w:b/>
                <w:bCs/>
                <w:sz w:val="17"/>
                <w:szCs w:val="17"/>
              </w:rPr>
              <w:t xml:space="preserve">2</w:t>
            </w:r>
          </w:p>
        </w:tc>
        <w:tc>
          <w:tcPr>
            <w:tcW w:type="dxa" w:w="2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African proof of a multi-agency pass.</w:t>
            </w:r>
          </w:p>
        </w:tc>
        <w:tc>
          <w:tcPr>
            <w:tcW w:type="dxa" w:w="43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 numbers and revenue. How revenue splits across five agencies. Whether the model travels to countries with small domestic markets.</w:t>
            </w:r>
          </w:p>
        </w:tc>
      </w:tr>
      <w:tr>
        <w:trPr>
          <w:cantSplit/>
        </w:trPr>
        <w:tc>
          <w:tcPr>
            <w:tcW w:type="dxa" w:w="20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b/>
                <w:bCs/>
                <w:sz w:val="17"/>
                <w:szCs w:val="17"/>
              </w:rPr>
              <w:t xml:space="preserve">Site standards: UNESCO Global Geoparks, ECST and Blue Flag</w:t>
            </w:r>
          </w:p>
        </w:tc>
        <w:tc>
          <w:tcPr>
            <w:tcW w:type="dxa" w:w="700"/>
            <w:tcBorders>
              <w:top w:val="single" w:color="C4C4CD" w:sz="4"/>
              <w:left w:val="single" w:color="C4C4CD" w:sz="4"/>
              <w:bottom w:val="single" w:color="C4C4CD" w:sz="4"/>
              <w:right w:val="single" w:color="C4C4CD" w:sz="4"/>
            </w:tcBorders>
            <w:shd w:fill="EDEDF0" w:color="auto" w:val="clear"/>
            <w:tcMar>
              <w:top w:type="dxa" w:w="70"/>
              <w:left w:type="dxa" w:w="100"/>
              <w:bottom w:type="dxa" w:w="70"/>
              <w:right w:type="dxa" w:w="100"/>
            </w:tcMar>
            <w:vAlign w:val="center"/>
          </w:tcPr>
          <w:p>
            <w:pPr>
              <w:spacing w:after="0"/>
              <w:jc w:val="center"/>
            </w:pPr>
            <w:r>
              <w:rPr>
                <w:b/>
                <w:bCs/>
                <w:sz w:val="17"/>
                <w:szCs w:val="17"/>
              </w:rPr>
              <w:t xml:space="preserve">2</w:t>
            </w:r>
          </w:p>
        </w:tc>
        <w:tc>
          <w:tcPr>
            <w:tcW w:type="dxa" w:w="2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Quality assurance with consequences, and delivery through national operators.</w:t>
            </w:r>
          </w:p>
        </w:tc>
        <w:tc>
          <w:tcPr>
            <w:tcW w:type="dxa" w:w="43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Revalidation cost to a site. How often yellow and red cards are issued. Why the ECST network shrank. How Blue Flag’s national operators are chosen and funded.</w:t>
            </w:r>
          </w:p>
        </w:tc>
      </w:tr>
      <w:tr>
        <w:trPr>
          <w:cantSplit/>
        </w:trPr>
        <w:tc>
          <w:tcPr>
            <w:tcW w:type="dxa" w:w="20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b/>
                <w:bCs/>
                <w:sz w:val="17"/>
                <w:szCs w:val="17"/>
              </w:rPr>
              <w:t xml:space="preserve">Enterprise marks: Fair Trade Tourism and Certified Wildlife Friendly</w:t>
            </w:r>
          </w:p>
        </w:tc>
        <w:tc>
          <w:tcPr>
            <w:tcW w:type="dxa" w:w="700"/>
            <w:tcBorders>
              <w:top w:val="single" w:color="C4C4CD" w:sz="4"/>
              <w:left w:val="single" w:color="C4C4CD" w:sz="4"/>
              <w:bottom w:val="single" w:color="C4C4CD" w:sz="4"/>
              <w:right w:val="single" w:color="C4C4CD" w:sz="4"/>
            </w:tcBorders>
            <w:shd w:fill="EDEDF0" w:color="auto" w:val="clear"/>
            <w:tcMar>
              <w:top w:type="dxa" w:w="70"/>
              <w:left w:type="dxa" w:w="100"/>
              <w:bottom w:type="dxa" w:w="70"/>
              <w:right w:type="dxa" w:w="100"/>
            </w:tcMar>
            <w:vAlign w:val="center"/>
          </w:tcPr>
          <w:p>
            <w:pPr>
              <w:spacing w:after="0"/>
              <w:jc w:val="center"/>
            </w:pPr>
            <w:r>
              <w:rPr>
                <w:b/>
                <w:bCs/>
                <w:sz w:val="17"/>
                <w:szCs w:val="17"/>
              </w:rPr>
              <w:t xml:space="preserve">2</w:t>
            </w:r>
          </w:p>
        </w:tc>
        <w:tc>
          <w:tcPr>
            <w:tcW w:type="dxa" w:w="2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An African-led business mark and a mark that travels onto products.</w:t>
            </w:r>
          </w:p>
        </w:tc>
        <w:tc>
          <w:tcPr>
            <w:tcW w:type="dxa" w:w="43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Whether certification moved bookings or prices. How FTT’s mutual recognition worked in practice. Wildlife Friendly’s fee model and route to market for park-edge products.</w:t>
            </w:r>
          </w:p>
        </w:tc>
      </w:tr>
      <w:tr>
        <w:trPr>
          <w:cantSplit/>
        </w:trPr>
        <w:tc>
          <w:tcPr>
            <w:tcW w:type="dxa" w:w="20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b/>
                <w:bCs/>
                <w:sz w:val="17"/>
                <w:szCs w:val="17"/>
              </w:rPr>
              <w:t xml:space="preserve">Alpine Pearls</w:t>
            </w:r>
          </w:p>
        </w:tc>
        <w:tc>
          <w:tcPr>
            <w:tcW w:type="dxa" w:w="700"/>
            <w:tcBorders>
              <w:top w:val="single" w:color="C4C4CD" w:sz="4"/>
              <w:left w:val="single" w:color="C4C4CD" w:sz="4"/>
              <w:bottom w:val="single" w:color="C4C4CD" w:sz="4"/>
              <w:right w:val="single" w:color="C4C4CD" w:sz="4"/>
            </w:tcBorders>
            <w:shd w:fill="EDEDF0" w:color="auto" w:val="clear"/>
            <w:tcMar>
              <w:top w:type="dxa" w:w="70"/>
              <w:left w:type="dxa" w:w="100"/>
              <w:bottom w:type="dxa" w:w="70"/>
              <w:right w:type="dxa" w:w="100"/>
            </w:tcMar>
            <w:vAlign w:val="center"/>
          </w:tcPr>
          <w:p>
            <w:pPr>
              <w:spacing w:after="0"/>
              <w:jc w:val="center"/>
            </w:pPr>
            <w:r>
              <w:rPr>
                <w:b/>
                <w:bCs/>
                <w:sz w:val="17"/>
                <w:szCs w:val="17"/>
              </w:rPr>
              <w:t xml:space="preserve">2</w:t>
            </w:r>
          </w:p>
        </w:tc>
        <w:tc>
          <w:tcPr>
            <w:tcW w:type="dxa" w:w="2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A club of places across borders, with a legal vehicle.</w:t>
            </w:r>
          </w:p>
        </w:tc>
        <w:tc>
          <w:tcPr>
            <w:tcW w:type="dxa" w:w="43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Member contributions and budget. What the EGTC made possible. Why the network shrank from six countries to four.</w:t>
            </w:r>
          </w:p>
        </w:tc>
      </w:tr>
      <w:tr>
        <w:trPr>
          <w:cantSplit/>
        </w:trPr>
        <w:tc>
          <w:tcPr>
            <w:tcW w:type="dxa" w:w="20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b/>
                <w:bCs/>
                <w:sz w:val="17"/>
                <w:szCs w:val="17"/>
              </w:rPr>
              <w:t xml:space="preserve">Visit Rwanda</w:t>
            </w:r>
          </w:p>
        </w:tc>
        <w:tc>
          <w:tcPr>
            <w:tcW w:type="dxa" w:w="700"/>
            <w:tcBorders>
              <w:top w:val="single" w:color="C4C4CD" w:sz="4"/>
              <w:left w:val="single" w:color="C4C4CD" w:sz="4"/>
              <w:bottom w:val="single" w:color="C4C4CD" w:sz="4"/>
              <w:right w:val="single" w:color="C4C4CD" w:sz="4"/>
            </w:tcBorders>
            <w:shd w:fill="EDEDF0" w:color="auto" w:val="clear"/>
            <w:tcMar>
              <w:top w:type="dxa" w:w="70"/>
              <w:left w:type="dxa" w:w="100"/>
              <w:bottom w:type="dxa" w:w="70"/>
              <w:right w:type="dxa" w:w="100"/>
            </w:tcMar>
            <w:vAlign w:val="center"/>
          </w:tcPr>
          <w:p>
            <w:pPr>
              <w:spacing w:after="0"/>
              <w:jc w:val="center"/>
            </w:pPr>
            <w:r>
              <w:rPr>
                <w:b/>
                <w:bCs/>
                <w:sz w:val="17"/>
                <w:szCs w:val="17"/>
              </w:rPr>
              <w:t xml:space="preserve">2</w:t>
            </w:r>
          </w:p>
        </w:tc>
        <w:tc>
          <w:tcPr>
            <w:tcW w:type="dxa" w:w="27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A national brand spending heavily on reach.</w:t>
            </w:r>
          </w:p>
        </w:tc>
        <w:tc>
          <w:tcPr>
            <w:tcW w:type="dxa" w:w="43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40" w:line="240"/>
            </w:pPr>
            <w:r>
              <w:rPr>
                <w:sz w:val="17"/>
                <w:szCs w:val="17"/>
              </w:rPr>
              <w:t xml:space="preserve">What independent evidence exists on the sponsorship return. How park brands sit under the national brand. Reputational lessons from the 2026 DRC appeal.</w:t>
            </w:r>
          </w:p>
        </w:tc>
      </w:tr>
    </w:tbl>
    <w:p>
      <w:pPr>
        <w:pStyle w:val="Heading1"/>
      </w:pPr>
      <w:r>
        <w:t xml:space="preserve">6. Early signals for the POV</w:t>
      </w:r>
    </w:p>
    <w:p>
      <w:pPr>
        <w:spacing w:after="140"/>
      </w:pPr>
      <w:r>
        <w:t xml:space="preserve">These are hypotheses to test, not conclusions. Each rests on evidence already in the long-list.</w:t>
      </w:r>
    </w:p>
    <w:p>
      <w:pPr>
        <w:keepNext/>
        <w:spacing w:after="60" w:before="160"/>
      </w:pPr>
      <w:r>
        <w:rPr>
          <w:b/>
          <w:bCs/>
          <w:i/>
          <w:iCs/>
        </w:rPr>
        <w:t xml:space="preserve">Aggregation saves most in the back office.</w:t>
      </w:r>
    </w:p>
    <w:p>
      <w:pPr>
        <w:spacing w:after="140"/>
      </w:pPr>
      <w:r>
        <w:t xml:space="preserve">The clearest cost-efficiency evidence in the set is operational, not promotional. Harpers Ferry Center gives 400+ park units one design system and prints 24 to 28 million brochures a year at a few cents each. Namibia’s 86 conservancies all use the same Event Book monitoring system and report through one annual national review. NRT pools governance, security and enterprise support for 43 conservancies. None of them asks sites to surrender their own identity. That points to a shared brand kit, studio and data service as the first layer of any CI model.</w:t>
      </w:r>
    </w:p>
    <w:p>
      <w:pPr>
        <w:keepNext/>
        <w:spacing w:after="60" w:before="160"/>
      </w:pPr>
      <w:r>
        <w:rPr>
          <w:b/>
          <w:bCs/>
          <w:i/>
          <w:iCs/>
        </w:rPr>
        <w:t xml:space="preserve">In Africa, the aggregation layer often already exists.</w:t>
      </w:r>
    </w:p>
    <w:p>
      <w:pPr>
        <w:spacing w:after="140"/>
      </w:pPr>
      <w:r>
        <w:t xml:space="preserve">NACSO links the organisations serving 86 Namibian conservancies. MMWCA speaks for 24 Mara conservancies, some 16,500 landowners and 50 tourism partners. NRT serves 43 conservancies. CI already knows this terrain: in 2020 it set up a US$5m bridge-loan fund with MMWCA to keep lease payments flowing when tourism collapsed. CI’s terms ask the model to fill gaps rather than duplicate efforts. In several target countries that means working through these associations, not around them.</w:t>
      </w:r>
    </w:p>
    <w:p>
      <w:pPr>
        <w:keepNext/>
        <w:spacing w:after="60" w:before="160"/>
      </w:pPr>
      <w:r>
        <w:rPr>
          <w:b/>
          <w:bCs/>
          <w:i/>
          <w:iCs/>
        </w:rPr>
        <w:t xml:space="preserve">Africa’s best-known lodges are already curated; the gap is the emerging areas.</w:t>
      </w:r>
    </w:p>
    <w:p>
      <w:pPr>
        <w:spacing w:after="140"/>
      </w:pPr>
      <w:r>
        <w:t xml:space="preserve">A third of Beyond Green’s 24 founding members were African safari camps, most of them from &amp;Beyond and Wilderness. Five of National Geographic Unique Lodges’ 24 charter members were African, and Relais &amp; Châteaux counts lodges in Zambia and Botswana. The commercial collections have already found Africa’s marquee products. The brand gap sits with the emerging areas, which argues for bringing their lodges into existing collections, or hosting a ‘Keystone collection’ on an existing platform, before founding a new consortium.</w:t>
      </w:r>
    </w:p>
    <w:p>
      <w:pPr>
        <w:keepNext/>
        <w:spacing w:after="60" w:before="160"/>
      </w:pPr>
      <w:r>
        <w:rPr>
          <w:b/>
          <w:bCs/>
          <w:i/>
          <w:iCs/>
        </w:rPr>
        <w:t xml:space="preserve">Brands last when someone pays for what they deliver.</w:t>
      </w:r>
    </w:p>
    <w:p>
      <w:pPr>
        <w:spacing w:after="140"/>
      </w:pPr>
      <w:r>
        <w:t xml:space="preserve">LHW has operated since 1928 and Relais &amp; Châteaux since 1954 because independent members buy distribution and demand; Relais &amp; Châteaux members reported €3.308bn of business in 2025 and applications to join rose 14%. The publicly or donor-seeded networks in the set have mostly contracted or been restructured. The ECST fell from 164 areas to 91. Alpine Pearls fell from about 24 villages to 18. The Commission redesigned EDEN after a 2019 evaluation. Fair Trade Tourism, which scaled across eight countries on Swiss government funding, now works through a partnership with SATSA. For a commercial platform, CI’s paying customer is more likely the lodge or operator than the park authority.</w:t>
      </w:r>
    </w:p>
    <w:p>
      <w:pPr>
        <w:keepNext/>
        <w:spacing w:after="60" w:before="160"/>
      </w:pPr>
      <w:r>
        <w:rPr>
          <w:b/>
          <w:bCs/>
          <w:i/>
          <w:iCs/>
        </w:rPr>
        <w:t xml:space="preserve">Credibility comes from standards with consequences.</w:t>
      </w:r>
    </w:p>
    <w:p>
      <w:pPr>
        <w:spacing w:after="140"/>
      </w:pPr>
      <w:r>
        <w:t xml:space="preserve">Geoparks lose their status on a red card after four-yearly revalidation. Blue Flag is re-awarded every year and monitored through the season by national operators. LHW admits members only by nomination and inspection. The Long Run gives Fellow Members about five years to reach its GER standard. For 15 areas of uneven capacity, a tiered pathway of the kind Slovenia Green runs from bronze to platinum can reconcile inclusion with credibility.</w:t>
      </w:r>
    </w:p>
    <w:p>
      <w:pPr>
        <w:keepNext/>
        <w:spacing w:after="60" w:before="160"/>
      </w:pPr>
      <w:r>
        <w:rPr>
          <w:b/>
          <w:bCs/>
          <w:i/>
          <w:iCs/>
        </w:rPr>
        <w:t xml:space="preserve">National brands must be partners, not rivals.</w:t>
      </w:r>
    </w:p>
    <w:p>
      <w:pPr>
        <w:spacing w:after="140"/>
      </w:pPr>
      <w:r>
        <w:t xml:space="preserve">Tourism Australia sells its collectives under ‘There’s Nothing Like Australia’. The Slovenian Tourist Board owns Slovenia Green outright. KAZA offers operators a brand hub so they co-brand rather than compete. Rwanda spent more than £80m on its Arsenal deal alone; a park brand there would sit beneath Visit Rwanda, not beside it. CI’s model should give national tourism boards product and proof for their own campaigns, not a parallel identity.</w:t>
      </w:r>
    </w:p>
    <w:p>
      <w:pPr>
        <w:keepNext/>
        <w:spacing w:after="60" w:before="160"/>
      </w:pPr>
      <w:r>
        <w:rPr>
          <w:b/>
          <w:bCs/>
          <w:i/>
          <w:iCs/>
        </w:rPr>
        <w:t xml:space="preserve">Consumer memberships are real money, but cyclical and slow to build.</w:t>
      </w:r>
    </w:p>
    <w:p>
      <w:pPr>
        <w:spacing w:after="140"/>
      </w:pPr>
      <w:r>
        <w:t xml:space="preserve">National Trust memberships earned £309.4m in 2024/25, yet slipped 0.4% as cost-pressed visitors paid on the day. LHW abandoned its paid Leaders Club tier in 2021. The Wild Card works because five agencies pooled 80+ parks around a large domestic market. For CI, tiered memberships and wild cards look like second-phase revenue, once enough parks and a regional customer base exist.</w:t>
      </w:r>
    </w:p>
    <w:p>
      <w:pPr>
        <w:keepNext/>
        <w:spacing w:after="60" w:before="160"/>
      </w:pPr>
      <w:r>
        <w:rPr>
          <w:b/>
          <w:bCs/>
          <w:i/>
          <w:iCs/>
        </w:rPr>
        <w:t xml:space="preserve">Outside money comes with strings.</w:t>
      </w:r>
    </w:p>
    <w:p>
      <w:pPr>
        <w:spacing w:after="140"/>
      </w:pPr>
      <w:r>
        <w:t xml:space="preserve">Brand USA’s 1:1 match unlocked up to US$100m a year in public funds against industry cash and in-kind contributions. It shrank when COVID collapsed ESTA receipts, and again when Congress cut the match cap to US$20m in 2025. The Keystone Partnership already uses match logic: the Rob Walton Foundation will match GEF-9 resources directed to Keystone areas with up to US$50m, with CI providing technical assistance. Sponsorship can also run the other way. Rwanda pays its football clubs for reach, and in February 2026 the DRC urged those clubs to drop the deals. For CI’s emerging areas, sponsorship is more likely a cost of visibility than a revenue line until the brand has an audience worth selling.</w:t>
      </w:r>
    </w:p>
    <w:p>
      <w:pPr>
        <w:pStyle w:val="Heading1"/>
      </w:pPr>
      <w:r>
        <w:t xml:space="preserve">7. What this means for the Activity One method</w:t>
      </w:r>
    </w:p>
    <w:p>
      <w:pPr>
        <w:spacing w:after="140"/>
      </w:pPr>
      <w:r>
        <w:t xml:space="preserve">Four choices follow; first, every deep-dive should follow the nine headings CI uses for model design, from the offer and expected results through cash flows, governance and funders to stakeholder pros and cons, so benchmark evidence drops straight into the options. Second, the matrix in Section 4 becomes the scoring frame for the three or more models, anchored on CI’s own design aims. Third, the archetypes and the three cross-cutting design choices give the option set a natural shape: a shared-service model delivered with existing conservancy associations, a standard-and-network model and a commercial model that hosts a Keystone collection on an existing platform before building one, with revenue engines as modules any option can carry. Fourth, interviews should prioritise the secretariats behind Boundless Southern Africa, Africa’s Eden Tourism, KAZA, NRT, NACSO, MMWCA and The Long Run, plus Preferred Hotel Group and SLH on hosting terms, since none of them publishes cost or outcome data.</w:t>
      </w:r>
    </w:p>
    <w:p>
      <w:pPr>
        <w:spacing w:after="140"/>
      </w:pPr>
      <w:r>
        <w:t xml:space="preserve">The budget sets the depth. At US$40,000 over 12 weeks, fully desk-based, eight case studies (two of them clustered) and five light-touch checks is the most the programme can carry.</w:t>
      </w:r>
    </w:p>
    <w:p>
      <w:pPr>
        <w:pStyle w:val="Heading1"/>
      </w:pPr>
      <w:r>
        <w:t xml:space="preserve">8. Gaps and next research steps</w:t>
      </w:r>
    </w:p>
    <w:p>
      <w:pPr>
        <w:spacing w:after="140"/>
      </w:pPr>
      <w:r>
        <w:t xml:space="preserve">Four evidence gaps matter most. First, commercial terms: LHW, Relais &amp; Châteaux, SLH, Preferred Hotel Group, National Geographic and The Long Run do not publish member fees, yet the economics of CI’s ‘complex version’ depend on them. Second, outcomes: we found activity reports for Boundless Southern Africa and KAZA but no published measures of recognition or bookings, and Visit Rwanda’s claimed returns rest on government figures without independent attribution. Third, association budgets: what NRT, NACSO and MMWCA spend per conservancy and where the money comes from. Fourth, CI’s list of 15 priority areas, which determines the national tourism boards, co-management partners and source markets the models must serve; we should request it at inception.</w:t>
      </w:r>
    </w:p>
    <w:p>
      <w:pPr>
        <w:spacing w:after="140"/>
      </w:pPr>
      <w:r>
        <w:t xml:space="preserve">Two candidates surfaced for a later pass. Ecotourism Kenya’s eco-rating and Botswana’s ecotourism certification came up through Fair Trade Tourism’s mutual recognition agreements; they are national standards CI could recognise rather than replace. The Kenya Wildlife Conservancies Association, of which MMWCA is one of 12 regional associations, is the obvious national-level check.</w:t>
      </w:r>
    </w:p>
    <w:p>
      <w:pPr>
        <w:pStyle w:val="Heading1"/>
      </w:pPr>
      <w:r>
        <w:t xml:space="preserve">Sources</w:t>
      </w:r>
    </w:p>
    <w:p>
      <w:pPr>
        <w:spacing w:after="140"/>
      </w:pPr>
      <w:r>
        <w:t xml:space="preserve">All figures are as published by the sources below, accessed September 2026. They have not yet been verified with the organisations concerned.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Benchmark</w:t>
            </w:r>
          </w:p>
        </w:tc>
        <w:tc>
          <w:tcPr>
            <w:tcW w:type="dxa" w:w="7446"/>
            <w:tcBorders>
              <w:top w:val="single" w:color="C4C4CD" w:sz="4"/>
              <w:left w:val="single" w:color="C4C4CD" w:sz="4"/>
              <w:bottom w:val="single" w:color="C4C4CD" w:sz="4"/>
              <w:right w:val="single" w:color="C4C4CD" w:sz="4"/>
            </w:tcBorders>
            <w:shd w:fill="2E2E38" w:color="auto" w:val="clear"/>
            <w:tcMar>
              <w:top w:type="dxa" w:w="70"/>
              <w:left w:type="dxa" w:w="100"/>
              <w:bottom w:type="dxa" w:w="70"/>
              <w:right w:type="dxa" w:w="100"/>
            </w:tcMar>
            <w:vAlign w:val="center"/>
          </w:tcPr>
          <w:p>
            <w:pPr>
              <w:spacing w:after="0"/>
            </w:pPr>
            <w:r>
              <w:rPr>
                <w:b/>
                <w:bCs/>
                <w:color w:val="FFFFFF"/>
                <w:sz w:val="16"/>
                <w:szCs w:val="16"/>
              </w:rPr>
              <w:t xml:space="preserve">Sources</w:t>
            </w:r>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Keystone Partnership</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GEF, Keystone Partnership and GEF-RWF match: </w:t>
            </w:r>
            <w:hyperlink w:history="1" r:id="rId2fkmlyomldtptxwdty-2v">
              <w:r>
                <w:rPr>
                  <w:rStyle w:val="Hyperlink"/>
                  <w:sz w:val="14"/>
                  <w:szCs w:val="14"/>
                </w:rPr>
                <w:t xml:space="preserve">https://www.thegef.org/newsroom/news/africa-keystone-protected-area-partnership-welcomes-new-gef-rob-walton-foundation</w:t>
              </w:r>
            </w:hyperlink>
          </w:p>
          <w:p>
            <w:pPr>
              <w:spacing w:after="30" w:line="240"/>
            </w:pPr>
            <w:r>
              <w:rPr>
                <w:sz w:val="14"/>
                <w:szCs w:val="14"/>
              </w:rPr>
              <w:t xml:space="preserve">ICCF, Africa Keystones trifold: </w:t>
            </w:r>
            <w:hyperlink w:history="1" r:id="rIde7cpzouayrdhdear0h9kr">
              <w:r>
                <w:rPr>
                  <w:rStyle w:val="Hyperlink"/>
                  <w:sz w:val="14"/>
                  <w:szCs w:val="14"/>
                </w:rPr>
                <w:t xml:space="preserve">https://www.internationalconservation.org/publications/africakeystones/trifold.pdf</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Northern Rangelands Trust</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Laikipia Forum profile: </w:t>
            </w:r>
            <w:hyperlink w:history="1" r:id="rIds0yxxozwe2m9-aipk-ywz">
              <w:r>
                <w:rPr>
                  <w:rStyle w:val="Hyperlink"/>
                  <w:sz w:val="14"/>
                  <w:szCs w:val="14"/>
                </w:rPr>
                <w:t xml:space="preserve">https://laikipia.org/the-northern-rangeland-trust/</w:t>
              </w:r>
            </w:hyperlink>
          </w:p>
          <w:p>
            <w:pPr>
              <w:spacing w:after="30" w:line="240"/>
            </w:pPr>
            <w:r>
              <w:rPr>
                <w:sz w:val="14"/>
                <w:szCs w:val="14"/>
              </w:rPr>
              <w:t xml:space="preserve">KWCA association profile: </w:t>
            </w:r>
            <w:hyperlink w:history="1" r:id="rId93mjpn97y3jer1roihx0s">
              <w:r>
                <w:rPr>
                  <w:rStyle w:val="Hyperlink"/>
                  <w:sz w:val="14"/>
                  <w:szCs w:val="14"/>
                </w:rPr>
                <w:t xml:space="preserve">https://kwcakenya.com/?p=10336</w:t>
              </w:r>
            </w:hyperlink>
          </w:p>
          <w:p>
            <w:pPr>
              <w:spacing w:after="30" w:line="240"/>
            </w:pPr>
            <w:r>
              <w:rPr>
                <w:sz w:val="14"/>
                <w:szCs w:val="14"/>
              </w:rPr>
              <w:t xml:space="preserve">People Not Poaching case study: </w:t>
            </w:r>
            <w:hyperlink w:history="1" r:id="rIdfe6d1txao40icyw6dmrjb">
              <w:r>
                <w:rPr>
                  <w:rStyle w:val="Hyperlink"/>
                  <w:sz w:val="14"/>
                  <w:szCs w:val="14"/>
                </w:rPr>
                <w:t xml:space="preserve">https://www.peoplenotpoaching.org/northern-rangelands-trust</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NACSO (new)</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NACSO, registered communal conservancies: </w:t>
            </w:r>
            <w:hyperlink w:history="1" r:id="rIdmwwyahzwqgufomajrwobv">
              <w:r>
                <w:rPr>
                  <w:rStyle w:val="Hyperlink"/>
                  <w:sz w:val="14"/>
                  <w:szCs w:val="14"/>
                </w:rPr>
                <w:t xml:space="preserve">https://www.nacso.org.na/node/11</w:t>
              </w:r>
            </w:hyperlink>
          </w:p>
          <w:p>
            <w:pPr>
              <w:spacing w:after="30" w:line="240"/>
            </w:pPr>
            <w:r>
              <w:rPr>
                <w:sz w:val="14"/>
                <w:szCs w:val="14"/>
              </w:rPr>
              <w:t xml:space="preserve">NACSO, State of Community Conservation 2019 poster: </w:t>
            </w:r>
            <w:hyperlink w:history="1" r:id="rIddgyr75btgppd0lmvf9hn6">
              <w:r>
                <w:rPr>
                  <w:rStyle w:val="Hyperlink"/>
                  <w:sz w:val="14"/>
                  <w:szCs w:val="14"/>
                </w:rPr>
                <w:t xml:space="preserve">https://nacso.org.na/wp-content/uploads/2025/06/The-State-of-Community-Conservation-Report-2019-poster.pdf</w:t>
              </w:r>
            </w:hyperlink>
          </w:p>
          <w:p>
            <w:pPr>
              <w:spacing w:after="30" w:line="240"/>
            </w:pPr>
            <w:r>
              <w:rPr>
                <w:sz w:val="14"/>
                <w:szCs w:val="14"/>
              </w:rPr>
              <w:t xml:space="preserve">Tourism Update, Namibian conservancies: </w:t>
            </w:r>
            <w:hyperlink w:history="1" r:id="rIddc6m8vbmhfzjxttfr8bhy">
              <w:r>
                <w:rPr>
                  <w:rStyle w:val="Hyperlink"/>
                  <w:sz w:val="14"/>
                  <w:szCs w:val="14"/>
                </w:rPr>
                <w:t xml:space="preserve">https://www.tourismupdate.com/article/namibia-balancing-global-brands-and-communal-conservancies</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MMWCA (new)</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MMWCA: </w:t>
            </w:r>
            <w:hyperlink w:history="1" r:id="rIdkwluy9nbcldetz4l9wqv-">
              <w:r>
                <w:rPr>
                  <w:rStyle w:val="Hyperlink"/>
                  <w:sz w:val="14"/>
                  <w:szCs w:val="14"/>
                </w:rPr>
                <w:t xml:space="preserve">https://maraconservancies.org/</w:t>
              </w:r>
            </w:hyperlink>
          </w:p>
          <w:p>
            <w:pPr>
              <w:spacing w:after="30" w:line="240"/>
            </w:pPr>
            <w:r>
              <w:rPr>
                <w:sz w:val="14"/>
                <w:szCs w:val="14"/>
              </w:rPr>
              <w:t xml:space="preserve">MMWCA, ten-year interview: </w:t>
            </w:r>
            <w:hyperlink w:history="1" r:id="rIdhucdktacylk6qdos5kzdt">
              <w:r>
                <w:rPr>
                  <w:rStyle w:val="Hyperlink"/>
                  <w:sz w:val="14"/>
                  <w:szCs w:val="14"/>
                </w:rPr>
                <w:t xml:space="preserve">https://maraconservancies.org/?p=6706</w:t>
              </w:r>
            </w:hyperlink>
          </w:p>
          <w:p>
            <w:pPr>
              <w:spacing w:after="30" w:line="240"/>
            </w:pPr>
            <w:r>
              <w:rPr>
                <w:sz w:val="14"/>
                <w:szCs w:val="14"/>
              </w:rPr>
              <w:t xml:space="preserve">The Nature Conservancy: </w:t>
            </w:r>
            <w:hyperlink w:history="1" r:id="rIdwpo7gux2ic1uekae26oug">
              <w:r>
                <w:rPr>
                  <w:rStyle w:val="Hyperlink"/>
                  <w:sz w:val="14"/>
                  <w:szCs w:val="14"/>
                </w:rPr>
                <w:t xml:space="preserve">https://nature.org/en-us/about-us/where-we-work/africa/stories-in-africa/wildlife-corridors-kenya-maasai-mara</w:t>
              </w:r>
            </w:hyperlink>
          </w:p>
          <w:p>
            <w:pPr>
              <w:spacing w:after="30" w:line="240"/>
            </w:pPr>
            <w:r>
              <w:rPr>
                <w:sz w:val="14"/>
                <w:szCs w:val="14"/>
              </w:rPr>
              <w:t xml:space="preserve">AFAR, Maasai Mara Rescue Fund (2020): </w:t>
            </w:r>
            <w:hyperlink w:history="1" r:id="rIdyi6qixbh73uxbp0hsccaw">
              <w:r>
                <w:rPr>
                  <w:rStyle w:val="Hyperlink"/>
                  <w:sz w:val="14"/>
                  <w:szCs w:val="14"/>
                </w:rPr>
                <w:t xml:space="preserve">https://www.afar.com/magazine/kenyas-imperiled-wildlife-conservancies-receive-financial-lifeline</w:t>
              </w:r>
            </w:hyperlink>
          </w:p>
          <w:p>
            <w:pPr>
              <w:spacing w:after="30" w:line="240"/>
            </w:pPr>
            <w:r>
              <w:rPr>
                <w:sz w:val="14"/>
                <w:szCs w:val="14"/>
              </w:rPr>
              <w:t xml:space="preserve">KWCA association profile: </w:t>
            </w:r>
            <w:hyperlink w:history="1" r:id="rIdr1b5rr106tr2zhqkt5-2g">
              <w:r>
                <w:rPr>
                  <w:rStyle w:val="Hyperlink"/>
                  <w:sz w:val="14"/>
                  <w:szCs w:val="14"/>
                </w:rPr>
                <w:t xml:space="preserve">https://kwcakenya.com/?p=10357</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NPS Harpers Ferry Center</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CLUI newsletter: </w:t>
            </w:r>
            <w:hyperlink w:history="1" r:id="rIdee17f5pbu6mmwa3hovc_c">
              <w:r>
                <w:rPr>
                  <w:rStyle w:val="Hyperlink"/>
                  <w:sz w:val="14"/>
                  <w:szCs w:val="14"/>
                </w:rPr>
                <w:t xml:space="preserve">https://clui.org/newsletter/winter-2024-47/harpers-ferry-center</w:t>
              </w:r>
            </w:hyperlink>
          </w:p>
          <w:p>
            <w:pPr>
              <w:spacing w:after="30" w:line="240"/>
            </w:pPr>
            <w:r>
              <w:rPr>
                <w:sz w:val="14"/>
                <w:szCs w:val="14"/>
              </w:rPr>
              <w:t xml:space="preserve">AIGA Eye on Design: </w:t>
            </w:r>
            <w:hyperlink w:history="1" r:id="rIdttrm8zq5viwvorn_kszzs">
              <w:r>
                <w:rPr>
                  <w:rStyle w:val="Hyperlink"/>
                  <w:sz w:val="14"/>
                  <w:szCs w:val="14"/>
                </w:rPr>
                <w:t xml:space="preserve">https://eyeondesign.aiga.org/how-early-u-s-national-parks-designs-foreshadowed-todays-government-graphic-design-trends/</w:t>
              </w:r>
            </w:hyperlink>
          </w:p>
          <w:p>
            <w:pPr>
              <w:spacing w:after="30" w:line="240"/>
            </w:pPr>
            <w:r>
              <w:rPr>
                <w:sz w:val="14"/>
                <w:szCs w:val="14"/>
              </w:rPr>
              <w:t xml:space="preserve">NPS park brochures history: </w:t>
            </w:r>
            <w:hyperlink w:history="1" r:id="rIds_0tiaiviuosj74k6vrhe">
              <w:r>
                <w:rPr>
                  <w:rStyle w:val="Hyperlink"/>
                  <w:sz w:val="14"/>
                  <w:szCs w:val="14"/>
                </w:rPr>
                <w:t xml:space="preserve">https://www.nps.gov/parkhistory/online_books/brochures/index.htm</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The Long Run</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The Long Run, about: </w:t>
            </w:r>
            <w:hyperlink w:history="1" r:id="rIdqexczgsl0htmsvslqosd2">
              <w:r>
                <w:rPr>
                  <w:rStyle w:val="Hyperlink"/>
                  <w:sz w:val="14"/>
                  <w:szCs w:val="14"/>
                </w:rPr>
                <w:t xml:space="preserve">https://archive.thelongrun.org/about/</w:t>
              </w:r>
            </w:hyperlink>
          </w:p>
          <w:p>
            <w:pPr>
              <w:spacing w:after="30" w:line="240"/>
            </w:pPr>
            <w:r>
              <w:rPr>
                <w:sz w:val="14"/>
                <w:szCs w:val="14"/>
              </w:rPr>
              <w:t xml:space="preserve">Green Traveller (2024): </w:t>
            </w:r>
            <w:hyperlink w:history="1" r:id="rId7rylds1kfaohngatsvb5a">
              <w:r>
                <w:rPr>
                  <w:rStyle w:val="Hyperlink"/>
                  <w:sz w:val="14"/>
                  <w:szCs w:val="14"/>
                </w:rPr>
                <w:t xml:space="preserve">https://www.greentraveller.co.uk/post/pioneers-of-responsible-tourism</w:t>
              </w:r>
            </w:hyperlink>
          </w:p>
          <w:p>
            <w:pPr>
              <w:spacing w:after="30" w:line="240"/>
            </w:pPr>
            <w:r>
              <w:rPr>
                <w:sz w:val="14"/>
                <w:szCs w:val="14"/>
              </w:rPr>
              <w:t xml:space="preserve">Tswalu GER announcement (2024): </w:t>
            </w:r>
            <w:hyperlink w:history="1" r:id="rIdvruih2r4p1wkdkbowvwzu">
              <w:r>
                <w:rPr>
                  <w:rStyle w:val="Hyperlink"/>
                  <w:sz w:val="14"/>
                  <w:szCs w:val="14"/>
                </w:rPr>
                <w:t xml:space="preserve">https://tswalu.com/tswalu-achieves-the-long-runs-global-ecosphere-retreat-certification/</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EUROPARC ECST</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EUROPARC Charter factsheet (2026): </w:t>
            </w:r>
            <w:hyperlink w:history="1" r:id="rIdxdnqbpnh2gmqjrye6j6tb">
              <w:r>
                <w:rPr>
                  <w:rStyle w:val="Hyperlink"/>
                  <w:sz w:val="14"/>
                  <w:szCs w:val="14"/>
                </w:rPr>
                <w:t xml:space="preserve">https://www.europarc.org/wp-content/uploads/2026/04/CHARTER-Updated-2026.pdf</w:t>
              </w:r>
            </w:hyperlink>
          </w:p>
          <w:p>
            <w:pPr>
              <w:spacing w:after="30" w:line="240"/>
            </w:pPr>
            <w:r>
              <w:rPr>
                <w:sz w:val="14"/>
                <w:szCs w:val="14"/>
              </w:rPr>
              <w:t xml:space="preserve">EUROPARC award ceremony (2017): </w:t>
            </w:r>
            <w:hyperlink w:history="1" r:id="rId-apcrnd9xrmw_xf9mha0q">
              <w:r>
                <w:rPr>
                  <w:rStyle w:val="Hyperlink"/>
                  <w:sz w:val="14"/>
                  <w:szCs w:val="14"/>
                </w:rPr>
                <w:t xml:space="preserve">https://www.europarc.org/?p=11125</w:t>
              </w:r>
            </w:hyperlink>
          </w:p>
          <w:p>
            <w:pPr>
              <w:spacing w:after="30" w:line="240"/>
            </w:pPr>
            <w:r>
              <w:rPr>
                <w:sz w:val="14"/>
                <w:szCs w:val="14"/>
              </w:rPr>
              <w:t xml:space="preserve">EUROPARC technical guidelines: </w:t>
            </w:r>
            <w:hyperlink w:history="1" r:id="rId-6recing49banlfajrbdw">
              <w:r>
                <w:rPr>
                  <w:rStyle w:val="Hyperlink"/>
                  <w:sz w:val="14"/>
                  <w:szCs w:val="14"/>
                </w:rPr>
                <w:t xml:space="preserve">https://www.europarc.org/wp-content/uploads/2022/01/EN_Sustainable-destinations-technical-guidelines.pdf</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UNESCO Global Geoparks</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Geopark Harz revalidation (May 2026): </w:t>
            </w:r>
            <w:hyperlink w:history="1" r:id="rIdin1nn81dqotbbd2sfxot2">
              <w:r>
                <w:rPr>
                  <w:rStyle w:val="Hyperlink"/>
                  <w:sz w:val="14"/>
                  <w:szCs w:val="14"/>
                </w:rPr>
                <w:t xml:space="preserve">https://geopark-hblo.de/en/2026/05/29/green-card-renewed-for-the-unesco-global-geopark-harz-braunschweiger-land-ostfalen/</w:t>
              </w:r>
            </w:hyperlink>
          </w:p>
          <w:p>
            <w:pPr>
              <w:spacing w:after="30" w:line="240"/>
            </w:pPr>
            <w:r>
              <w:rPr>
                <w:sz w:val="14"/>
                <w:szCs w:val="14"/>
              </w:rPr>
              <w:t xml:space="preserve">Northern Times, card system: </w:t>
            </w:r>
            <w:hyperlink w:history="1" r:id="rIdi8x11gewb0xeznx4hnsf9">
              <w:r>
                <w:rPr>
                  <w:rStyle w:val="Hyperlink"/>
                  <w:sz w:val="14"/>
                  <w:szCs w:val="14"/>
                </w:rPr>
                <w:t xml:space="preserve">https://www.northern-times.co.uk/news/delight-as-north-west-highlands-geopark-gets-the-unesco-gre-330699/</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Slovenia Green</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GSTC Destination Stewardship Report: </w:t>
            </w:r>
            <w:hyperlink w:history="1" r:id="rId5oalh54agxbmjuq0pjiwy">
              <w:r>
                <w:rPr>
                  <w:rStyle w:val="Hyperlink"/>
                  <w:sz w:val="14"/>
                  <w:szCs w:val="14"/>
                </w:rPr>
                <w:t xml:space="preserve">https://knowledge.gstc.org/?p=42868</w:t>
              </w:r>
            </w:hyperlink>
          </w:p>
          <w:p>
            <w:pPr>
              <w:spacing w:after="30" w:line="240"/>
            </w:pPr>
            <w:r>
              <w:rPr>
                <w:sz w:val="14"/>
                <w:szCs w:val="14"/>
              </w:rPr>
              <w:t xml:space="preserve">Slovenian Tourist Board overview: </w:t>
            </w:r>
            <w:hyperlink w:history="1" r:id="rIdvxm3btbx7pycfvrk1wehn">
              <w:r>
                <w:rPr>
                  <w:rStyle w:val="Hyperlink"/>
                  <w:sz w:val="14"/>
                  <w:szCs w:val="14"/>
                </w:rPr>
                <w:t xml:space="preserve">https://www.slovenia.info/uploads/dokumenti/zelena-shema/2018_gradiva/kratekpregledmaj18eng.pdf</w:t>
              </w:r>
            </w:hyperlink>
          </w:p>
          <w:p>
            <w:pPr>
              <w:spacing w:after="30" w:line="240"/>
            </w:pPr>
            <w:r>
              <w:rPr>
                <w:sz w:val="14"/>
                <w:szCs w:val="14"/>
              </w:rPr>
              <w:t xml:space="preserve">Interreg Europe good practice: </w:t>
            </w:r>
            <w:hyperlink w:history="1" r:id="rIdiijs14xxweneoyuvrwtfx">
              <w:r>
                <w:rPr>
                  <w:rStyle w:val="Hyperlink"/>
                  <w:sz w:val="14"/>
                  <w:szCs w:val="14"/>
                </w:rPr>
                <w:t xml:space="preserve">https://interregeurope.eu/good-practices/the-green-scheme-of-slovenian-tourism</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Blue Flag (new)</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Visit Greece, Blue Flags 2025: </w:t>
            </w:r>
            <w:hyperlink w:history="1" r:id="rIdcxk96fr_bv2fpzrxisean">
              <w:r>
                <w:rPr>
                  <w:rStyle w:val="Hyperlink"/>
                  <w:sz w:val="14"/>
                  <w:szCs w:val="14"/>
                </w:rPr>
                <w:t xml:space="preserve">https://www.visitgreece.gr/blog/visit-greece/1531/blue-flags-2025/</w:t>
              </w:r>
            </w:hyperlink>
          </w:p>
          <w:p>
            <w:pPr>
              <w:spacing w:after="30" w:line="240"/>
            </w:pPr>
            <w:r>
              <w:rPr>
                <w:sz w:val="14"/>
                <w:szCs w:val="14"/>
              </w:rPr>
              <w:t xml:space="preserve">An Taisce, Beach Awards: </w:t>
            </w:r>
            <w:hyperlink w:history="1" r:id="rIdvho8alc6usryxsghbct37">
              <w:r>
                <w:rPr>
                  <w:rStyle w:val="Hyperlink"/>
                  <w:sz w:val="14"/>
                  <w:szCs w:val="14"/>
                </w:rPr>
                <w:t xml:space="preserve">https://beachawards.ie/?p=73</w:t>
              </w:r>
            </w:hyperlink>
          </w:p>
          <w:p>
            <w:pPr>
              <w:spacing w:after="30" w:line="240"/>
            </w:pPr>
            <w:r>
              <w:rPr>
                <w:sz w:val="14"/>
                <w:szCs w:val="14"/>
              </w:rPr>
              <w:t xml:space="preserve">ISPRA, Blue Flag indicator: </w:t>
            </w:r>
            <w:hyperlink w:history="1" r:id="rIded1tliiwbev3oahtmuqpv">
              <w:r>
                <w:rPr>
                  <w:rStyle w:val="Hyperlink"/>
                  <w:sz w:val="14"/>
                  <w:szCs w:val="14"/>
                </w:rPr>
                <w:t xml:space="preserve">https://indicatoriambientali.isprambiente.it/en/tourism/blue-flag-beaches-and-tourist-landings</w:t>
              </w:r>
            </w:hyperlink>
          </w:p>
          <w:p>
            <w:pPr>
              <w:spacing w:after="30" w:line="240"/>
            </w:pPr>
            <w:r>
              <w:rPr>
                <w:sz w:val="14"/>
                <w:szCs w:val="14"/>
              </w:rPr>
              <w:t xml:space="preserve">Mohammed VI Foundation for the Protection of the Environment: </w:t>
            </w:r>
            <w:hyperlink w:history="1" r:id="rId0euxvml47owgnft2ntuyt">
              <w:r>
                <w:rPr>
                  <w:rStyle w:val="Hyperlink"/>
                  <w:sz w:val="14"/>
                  <w:szCs w:val="14"/>
                </w:rPr>
                <w:t xml:space="preserve">https://fm6e.org/en/news/2016-06-01-15-31-12/</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Fair Trade Tourism (new)</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Tourism Update, FTT portfolio: </w:t>
            </w:r>
            <w:hyperlink w:history="1" r:id="rIdek7ykappw1nbpyfuji_jb">
              <w:r>
                <w:rPr>
                  <w:rStyle w:val="Hyperlink"/>
                  <w:sz w:val="14"/>
                  <w:szCs w:val="14"/>
                </w:rPr>
                <w:t xml:space="preserve">https://www.tourismupdate.com/article/africas-most-responsible-tourism-portfolio?page=11</w:t>
              </w:r>
            </w:hyperlink>
          </w:p>
          <w:p>
            <w:pPr>
              <w:spacing w:after="30" w:line="240"/>
            </w:pPr>
            <w:r>
              <w:rPr>
                <w:sz w:val="14"/>
                <w:szCs w:val="14"/>
              </w:rPr>
              <w:t xml:space="preserve">TravelMole, Africa rollout (2012): </w:t>
            </w:r>
            <w:hyperlink w:history="1" r:id="rIdqv4oitgo_i5f72jzm0vny">
              <w:r>
                <w:rPr>
                  <w:rStyle w:val="Hyperlink"/>
                  <w:sz w:val="14"/>
                  <w:szCs w:val="14"/>
                </w:rPr>
                <w:t xml:space="preserve">https://travelmole.com/news/fair-trade-tourism-africa-rollout</w:t>
              </w:r>
            </w:hyperlink>
          </w:p>
          <w:p>
            <w:pPr>
              <w:spacing w:after="30" w:line="240"/>
            </w:pPr>
            <w:r>
              <w:rPr>
                <w:sz w:val="14"/>
                <w:szCs w:val="14"/>
              </w:rPr>
              <w:t xml:space="preserve">Travindy, Ecotourism Kenya agreement: </w:t>
            </w:r>
            <w:hyperlink w:history="1" r:id="rIda7dkx1nud4d9zyocqdare">
              <w:r>
                <w:rPr>
                  <w:rStyle w:val="Hyperlink"/>
                  <w:sz w:val="14"/>
                  <w:szCs w:val="14"/>
                </w:rPr>
                <w:t xml:space="preserve">https://travindy.com/news/?p=15597</w:t>
              </w:r>
            </w:hyperlink>
          </w:p>
          <w:p>
            <w:pPr>
              <w:spacing w:after="30" w:line="240"/>
            </w:pPr>
            <w:r>
              <w:rPr>
                <w:sz w:val="14"/>
                <w:szCs w:val="14"/>
              </w:rPr>
              <w:t xml:space="preserve">GSTC recognition (2013): </w:t>
            </w:r>
            <w:hyperlink w:history="1" r:id="rIdlkpl7nnf3jnopkrdqigzf">
              <w:r>
                <w:rPr>
                  <w:rStyle w:val="Hyperlink"/>
                  <w:sz w:val="14"/>
                  <w:szCs w:val="14"/>
                </w:rPr>
                <w:t xml:space="preserve">https://www.adventuretravelnews.com/fair-trade-in-tourism-south-africa-fttsa-achieves-recognized-global-sustainable-tourism-council-status</w:t>
              </w:r>
            </w:hyperlink>
          </w:p>
          <w:p>
            <w:pPr>
              <w:spacing w:after="30" w:line="240"/>
            </w:pPr>
            <w:r>
              <w:rPr>
                <w:sz w:val="14"/>
                <w:szCs w:val="14"/>
              </w:rPr>
              <w:t xml:space="preserve">Travel Agent Central, package certification: </w:t>
            </w:r>
            <w:hyperlink w:history="1" r:id="rIduocrso8hwidnqz7_srciw">
              <w:r>
                <w:rPr>
                  <w:rStyle w:val="Hyperlink"/>
                  <w:sz w:val="14"/>
                  <w:szCs w:val="14"/>
                </w:rPr>
                <w:t xml:space="preserve">https://www.travelagentcentral.com/destinations/site-fair-trade-travel-south-africa</w:t>
              </w:r>
            </w:hyperlink>
          </w:p>
          <w:p>
            <w:pPr>
              <w:spacing w:after="30" w:line="240"/>
            </w:pPr>
            <w:r>
              <w:rPr>
                <w:sz w:val="14"/>
                <w:szCs w:val="14"/>
              </w:rPr>
              <w:t xml:space="preserve">Bizcommunity, SATSA partnership: </w:t>
            </w:r>
            <w:hyperlink w:history="1" r:id="rId-1_1gpnd3jfv-mpsfcpnk">
              <w:r>
                <w:rPr>
                  <w:rStyle w:val="Hyperlink"/>
                  <w:sz w:val="14"/>
                  <w:szCs w:val="14"/>
                </w:rPr>
                <w:t xml:space="preserve">https://bizcommunity.ug/article/satsa-fair-trade-tourism-partner-to-boost-responsible-tourism-in-sa-586340a</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Certified Wildlife Friendly (new)</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WFEN, Certification for Conservation (2024): </w:t>
            </w:r>
            <w:hyperlink w:history="1" r:id="rId4zcprfvu9az8q93lgmddz">
              <w:r>
                <w:rPr>
                  <w:rStyle w:val="Hyperlink"/>
                  <w:sz w:val="14"/>
                  <w:szCs w:val="14"/>
                </w:rPr>
                <w:t xml:space="preserve">https://www0.sun.ac.za/awei/sites/default/files/2024-06/2024-CfC-0a-Christine-WFEN.pdf</w:t>
              </w:r>
            </w:hyperlink>
          </w:p>
          <w:p>
            <w:pPr>
              <w:spacing w:after="30" w:line="240"/>
            </w:pPr>
            <w:r>
              <w:rPr>
                <w:sz w:val="14"/>
                <w:szCs w:val="14"/>
              </w:rPr>
              <w:t xml:space="preserve">Impakter certification index: </w:t>
            </w:r>
            <w:hyperlink w:history="1" r:id="rIdmwqyyfrbxw07la4gqg6sb">
              <w:r>
                <w:rPr>
                  <w:rStyle w:val="Hyperlink"/>
                  <w:sz w:val="14"/>
                  <w:szCs w:val="14"/>
                </w:rPr>
                <w:t xml:space="preserve">https://impakter.com/index/?p=21310</w:t>
              </w:r>
            </w:hyperlink>
          </w:p>
          <w:p>
            <w:pPr>
              <w:spacing w:after="30" w:line="240"/>
            </w:pPr>
            <w:r>
              <w:rPr>
                <w:sz w:val="14"/>
                <w:szCs w:val="14"/>
              </w:rPr>
              <w:t xml:space="preserve">PANORAMA solutions: </w:t>
            </w:r>
            <w:hyperlink w:history="1" r:id="rIdf-jkb_bwzfen2c5sgihn8">
              <w:r>
                <w:rPr>
                  <w:rStyle w:val="Hyperlink"/>
                  <w:sz w:val="14"/>
                  <w:szCs w:val="14"/>
                </w:rPr>
                <w:t xml:space="preserve">https://panorama.solutions/fr/solution/certified-wildlife-friendlytm-agriculture</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Boundless Southern Africa</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Peace Parks Foundation: </w:t>
            </w:r>
            <w:hyperlink w:history="1" r:id="rIdi7yrhooabloynetx1khpi">
              <w:r>
                <w:rPr>
                  <w:rStyle w:val="Hyperlink"/>
                  <w:sz w:val="14"/>
                  <w:szCs w:val="14"/>
                </w:rPr>
                <w:t xml:space="preserve">https://www.peaceparks.org/limpopo-shashe-renamed-greater-mapungubwe-tfca/</w:t>
              </w:r>
            </w:hyperlink>
          </w:p>
          <w:p>
            <w:pPr>
              <w:spacing w:after="30" w:line="240"/>
            </w:pPr>
            <w:r>
              <w:rPr>
                <w:sz w:val="14"/>
                <w:szCs w:val="14"/>
              </w:rPr>
              <w:t xml:space="preserve">SADC TFCA portal, tourism overview: </w:t>
            </w:r>
            <w:hyperlink w:history="1" r:id="rIdgxkjwju6dgavdqs7uocrr">
              <w:r>
                <w:rPr>
                  <w:rStyle w:val="Hyperlink"/>
                  <w:sz w:val="14"/>
                  <w:szCs w:val="14"/>
                </w:rPr>
                <w:t xml:space="preserve">https://www.oldsite.tfcaportal.org/tourism-overview</w:t>
              </w:r>
            </w:hyperlink>
          </w:p>
          <w:p>
            <w:pPr>
              <w:spacing w:after="30" w:line="240"/>
            </w:pPr>
            <w:r>
              <w:rPr>
                <w:sz w:val="14"/>
                <w:szCs w:val="14"/>
              </w:rPr>
              <w:t xml:space="preserve">The Planner (2023): </w:t>
            </w:r>
            <w:hyperlink w:history="1" r:id="rIdaibyqiai_u0gejop0cj1i">
              <w:r>
                <w:rPr>
                  <w:rStyle w:val="Hyperlink"/>
                  <w:sz w:val="14"/>
                  <w:szCs w:val="14"/>
                </w:rPr>
                <w:t xml:space="preserve">https://theplannerguru.co.za/2023/12/12/landmark-sadc-tfca-network-meeting-builds-momentum-for-transfrontier-conservation-in-southern-africa/</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KAZA TFCA</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India Outbound, ‘Rivers of Life’ (2025): </w:t>
            </w:r>
            <w:hyperlink w:history="1" r:id="rIdysglyahrjvjt3x7fegulk">
              <w:r>
                <w:rPr>
                  <w:rStyle w:val="Hyperlink"/>
                  <w:sz w:val="14"/>
                  <w:szCs w:val="14"/>
                </w:rPr>
                <w:t xml:space="preserve">https://indiaoutbound.info/?p=168382</w:t>
              </w:r>
            </w:hyperlink>
          </w:p>
          <w:p>
            <w:pPr>
              <w:spacing w:after="30" w:line="240"/>
            </w:pPr>
            <w:r>
              <w:rPr>
                <w:sz w:val="14"/>
                <w:szCs w:val="14"/>
              </w:rPr>
              <w:t xml:space="preserve">KAZA UniVisa: </w:t>
            </w:r>
            <w:hyperlink w:history="1" r:id="rIdrlhnqlsptdy3pvbvtik90">
              <w:r>
                <w:rPr>
                  <w:rStyle w:val="Hyperlink"/>
                  <w:sz w:val="14"/>
                  <w:szCs w:val="14"/>
                </w:rPr>
                <w:t xml:space="preserve">https://kavangozambezi.org/tourist-visa/</w:t>
              </w:r>
            </w:hyperlink>
          </w:p>
          <w:p>
            <w:pPr>
              <w:spacing w:after="30" w:line="240"/>
            </w:pPr>
            <w:r>
              <w:rPr>
                <w:sz w:val="14"/>
                <w:szCs w:val="14"/>
              </w:rPr>
              <w:t xml:space="preserve">Tourism Update, UniVisa pilot: </w:t>
            </w:r>
            <w:hyperlink w:history="1" r:id="rIdgulq0wupqqykhscod5cuu">
              <w:r>
                <w:rPr>
                  <w:rStyle w:val="Hyperlink"/>
                  <w:sz w:val="14"/>
                  <w:szCs w:val="14"/>
                </w:rPr>
                <w:t xml:space="preserve">https://www.tourismupdate.com/article/zim-zam-kaza-univisa-between-zim-and-zam-set-to-resume</w:t>
              </w:r>
            </w:hyperlink>
          </w:p>
          <w:p>
            <w:pPr>
              <w:spacing w:after="30" w:line="240"/>
            </w:pPr>
            <w:r>
              <w:rPr>
                <w:sz w:val="14"/>
                <w:szCs w:val="14"/>
              </w:rPr>
              <w:t xml:space="preserve">ATTA, KAZA ministerial (2025): </w:t>
            </w:r>
            <w:hyperlink w:history="1" r:id="rIdf5ex4d0ucdf7mhseca9g5">
              <w:r>
                <w:rPr>
                  <w:rStyle w:val="Hyperlink"/>
                  <w:sz w:val="14"/>
                  <w:szCs w:val="14"/>
                </w:rPr>
                <w:t xml:space="preserve">https://atta.travel/resource/kaza-tfca-approves-conservation-and-tourism-frameworks-as-zimbabwe-assumes-chair.html</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Africa’s Eden</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Africa’s Eden Tourism, membership: </w:t>
            </w:r>
            <w:hyperlink w:history="1" r:id="rIdpn44lqlzlbayzhwwngw27">
              <w:r>
                <w:rPr>
                  <w:rStyle w:val="Hyperlink"/>
                  <w:sz w:val="14"/>
                  <w:szCs w:val="14"/>
                </w:rPr>
                <w:t xml:space="preserve">https://africaseden.travel/membership/</w:t>
              </w:r>
            </w:hyperlink>
          </w:p>
          <w:p>
            <w:pPr>
              <w:spacing w:after="30" w:line="240"/>
            </w:pPr>
            <w:r>
              <w:rPr>
                <w:sz w:val="14"/>
                <w:szCs w:val="14"/>
              </w:rPr>
              <w:t xml:space="preserve">Africa’s Eden Tourism, LinkedIn: </w:t>
            </w:r>
            <w:hyperlink w:history="1" r:id="rId1s9o0bpglv8ro3bjailfo">
              <w:r>
                <w:rPr>
                  <w:rStyle w:val="Hyperlink"/>
                  <w:sz w:val="14"/>
                  <w:szCs w:val="14"/>
                </w:rPr>
                <w:t xml:space="preserve">https://bw.linkedin.com/company/tvfrta</w:t>
              </w:r>
            </w:hyperlink>
          </w:p>
          <w:p>
            <w:pPr>
              <w:spacing w:after="30" w:line="240"/>
            </w:pPr>
            <w:r>
              <w:rPr>
                <w:sz w:val="14"/>
                <w:szCs w:val="14"/>
              </w:rPr>
              <w:t xml:space="preserve">Africa’s Eden (operator), about: </w:t>
            </w:r>
            <w:hyperlink w:history="1" r:id="rIdbvkrup75z4pgfkuxufcsr">
              <w:r>
                <w:rPr>
                  <w:rStyle w:val="Hyperlink"/>
                  <w:sz w:val="14"/>
                  <w:szCs w:val="14"/>
                </w:rPr>
                <w:t xml:space="preserve">https://africas-eden.com/about-us/about-us/</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Alpine Pearls (new)</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Alpine Pearls, EGTC: </w:t>
            </w:r>
            <w:hyperlink w:history="1" r:id="rIdg0zzffvt_xu0_ourgriyn">
              <w:r>
                <w:rPr>
                  <w:rStyle w:val="Hyperlink"/>
                  <w:sz w:val="14"/>
                  <w:szCs w:val="14"/>
                </w:rPr>
                <w:t xml:space="preserve">https://alpine-pearls.com/en/egtc</w:t>
              </w:r>
            </w:hyperlink>
          </w:p>
          <w:p>
            <w:pPr>
              <w:spacing w:after="30" w:line="240"/>
            </w:pPr>
            <w:r>
              <w:rPr>
                <w:sz w:val="14"/>
                <w:szCs w:val="14"/>
              </w:rPr>
              <w:t xml:space="preserve">Werfenweng, Alpine Pearls: </w:t>
            </w:r>
            <w:hyperlink w:history="1" r:id="rIdbvykoq8n_uh9c0wtyy5om">
              <w:r>
                <w:rPr>
                  <w:rStyle w:val="Hyperlink"/>
                  <w:sz w:val="14"/>
                  <w:szCs w:val="14"/>
                </w:rPr>
                <w:t xml:space="preserve">https://www.werfenweng.eu/en/?p=3655</w:t>
              </w:r>
            </w:hyperlink>
          </w:p>
          <w:p>
            <w:pPr>
              <w:spacing w:after="30" w:line="240"/>
            </w:pPr>
            <w:r>
              <w:rPr>
                <w:sz w:val="14"/>
                <w:szCs w:val="14"/>
              </w:rPr>
              <w:t xml:space="preserve">Gössling, low-energy mobility: </w:t>
            </w:r>
            <w:hyperlink w:history="1" r:id="rIdmwpun4bh5lf9eqmh3lv3d">
              <w:r>
                <w:rPr>
                  <w:rStyle w:val="Hyperlink"/>
                  <w:sz w:val="14"/>
                  <w:szCs w:val="14"/>
                </w:rPr>
                <w:t xml:space="preserve">https://www.celotajs.lv/cont/conf/conference/110322-CNF/presentations/w3_Gossling.pdf</w:t>
              </w:r>
            </w:hyperlink>
          </w:p>
          <w:p>
            <w:pPr>
              <w:spacing w:after="30" w:line="240"/>
            </w:pPr>
            <w:r>
              <w:rPr>
                <w:sz w:val="14"/>
                <w:szCs w:val="14"/>
              </w:rPr>
              <w:t xml:space="preserve">Wikipedia, Alpine Pearls: </w:t>
            </w:r>
            <w:hyperlink w:history="1" r:id="rIdilbmuruuhlpcosv7fxvzv">
              <w:r>
                <w:rPr>
                  <w:rStyle w:val="Hyperlink"/>
                  <w:sz w:val="14"/>
                  <w:szCs w:val="14"/>
                </w:rPr>
                <w:t xml:space="preserve">https://en.wikipedia.org/wiki/Alpine_Pearls</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World Heritage Journeys</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UNESCO World Heritage Centre (2018): </w:t>
            </w:r>
            <w:hyperlink w:history="1" r:id="rIdomtnw8uzmyczakrdbjkii">
              <w:r>
                <w:rPr>
                  <w:rStyle w:val="Hyperlink"/>
                  <w:sz w:val="14"/>
                  <w:szCs w:val="14"/>
                </w:rPr>
                <w:t xml:space="preserve">https://whc.unesco.org/en/news/1879</w:t>
              </w:r>
            </w:hyperlink>
          </w:p>
          <w:p>
            <w:pPr>
              <w:spacing w:after="30" w:line="240"/>
            </w:pPr>
            <w:r>
              <w:rPr>
                <w:sz w:val="14"/>
                <w:szCs w:val="14"/>
              </w:rPr>
              <w:t xml:space="preserve">Solimar International case study: </w:t>
            </w:r>
            <w:hyperlink w:history="1" r:id="rIdb7uiafump29atft_yxuef">
              <w:r>
                <w:rPr>
                  <w:rStyle w:val="Hyperlink"/>
                  <w:sz w:val="14"/>
                  <w:szCs w:val="14"/>
                </w:rPr>
                <w:t xml:space="preserve">https://www.solimarinternational.com/?p=1743</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EDEN</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European Commission release (2021): </w:t>
            </w:r>
            <w:hyperlink w:history="1" r:id="rId7brt5mnnez18rsi77ph5h">
              <w:r>
                <w:rPr>
                  <w:rStyle w:val="Hyperlink"/>
                  <w:sz w:val="14"/>
                  <w:szCs w:val="14"/>
                </w:rPr>
                <w:t xml:space="preserve">https://www.presseportal.de/en/pdf.htx?nr=5059084</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Visit Rwanda (new)</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The African Mirror (2026): </w:t>
            </w:r>
            <w:hyperlink w:history="1" r:id="rId820l9wwiva0el2bfwlm7v">
              <w:r>
                <w:rPr>
                  <w:rStyle w:val="Hyperlink"/>
                  <w:sz w:val="14"/>
                  <w:szCs w:val="14"/>
                </w:rPr>
                <w:t xml:space="preserve">https://theafricanmirror.africa/news/visit-rwanda-how-kagames-football-bet-paid-off-on-the-biggest-stage-in-club-football/</w:t>
              </w:r>
            </w:hyperlink>
          </w:p>
          <w:p>
            <w:pPr>
              <w:spacing w:after="30" w:line="240"/>
            </w:pPr>
            <w:r>
              <w:rPr>
                <w:sz w:val="14"/>
                <w:szCs w:val="14"/>
              </w:rPr>
              <w:t xml:space="preserve">BusinessDay, Arsenal deal ends: </w:t>
            </w:r>
            <w:hyperlink w:history="1" r:id="rIdldnpcozqiz-fmf4-te1fr">
              <w:r>
                <w:rPr>
                  <w:rStyle w:val="Hyperlink"/>
                  <w:sz w:val="14"/>
                  <w:szCs w:val="14"/>
                </w:rPr>
                <w:t xml:space="preserve">https://businessday.ng/?p=1050765</w:t>
              </w:r>
            </w:hyperlink>
          </w:p>
          <w:p>
            <w:pPr>
              <w:spacing w:after="30" w:line="240"/>
            </w:pPr>
            <w:r>
              <w:rPr>
                <w:sz w:val="14"/>
                <w:szCs w:val="14"/>
              </w:rPr>
              <w:t xml:space="preserve">Africanews, Bayern Munich (2023): </w:t>
            </w:r>
            <w:hyperlink w:history="1" r:id="rId8uosakjhlwoppuc2bmhaq">
              <w:r>
                <w:rPr>
                  <w:rStyle w:val="Hyperlink"/>
                  <w:sz w:val="14"/>
                  <w:szCs w:val="14"/>
                </w:rPr>
                <w:t xml:space="preserve">https://www.africanews.com/amp/2023/08/28/rwanda-signs-landmark-deal-with-bayern-munich/</w:t>
              </w:r>
            </w:hyperlink>
          </w:p>
          <w:p>
            <w:pPr>
              <w:spacing w:after="30" w:line="240"/>
            </w:pPr>
            <w:r>
              <w:rPr>
                <w:sz w:val="14"/>
                <w:szCs w:val="14"/>
              </w:rPr>
              <w:t xml:space="preserve">AllAfrica, Atlético de Madrid (2025): </w:t>
            </w:r>
            <w:hyperlink w:history="1" r:id="rId46apnvewhssqo4vbhewe-">
              <w:r>
                <w:rPr>
                  <w:rStyle w:val="Hyperlink"/>
                  <w:sz w:val="14"/>
                  <w:szCs w:val="14"/>
                </w:rPr>
                <w:t xml:space="preserve">https://allafrica.com/stories/202505010360.html</w:t>
              </w:r>
            </w:hyperlink>
          </w:p>
          <w:p>
            <w:pPr>
              <w:spacing w:after="30" w:line="240"/>
            </w:pPr>
            <w:r>
              <w:rPr>
                <w:sz w:val="14"/>
                <w:szCs w:val="14"/>
              </w:rPr>
              <w:t xml:space="preserve">SportCal, PSG renewal: </w:t>
            </w:r>
            <w:hyperlink w:history="1" r:id="rIdvk5yzeiryomnh358wqrny">
              <w:r>
                <w:rPr>
                  <w:rStyle w:val="Hyperlink"/>
                  <w:sz w:val="14"/>
                  <w:szCs w:val="14"/>
                </w:rPr>
                <w:t xml:space="preserve">https://www.sportcal.com/sponsorship/visit-rwanda-renews-psg-sponsorship-deal-until-2025/</w:t>
              </w:r>
            </w:hyperlink>
          </w:p>
          <w:p>
            <w:pPr>
              <w:spacing w:after="30" w:line="240"/>
            </w:pPr>
            <w:r>
              <w:rPr>
                <w:sz w:val="14"/>
                <w:szCs w:val="14"/>
              </w:rPr>
              <w:t xml:space="preserve">KT Press, 2025 tourism revenue: </w:t>
            </w:r>
            <w:hyperlink w:history="1" r:id="rIdvtieiq9kf56k6ieo2syik">
              <w:r>
                <w:rPr>
                  <w:rStyle w:val="Hyperlink"/>
                  <w:sz w:val="14"/>
                  <w:szCs w:val="14"/>
                </w:rPr>
                <w:t xml:space="preserve">https://www.ktpress.rw/2026/04/how-rwanda-conquered-european-football/</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LHW</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LHW press release (2021): </w:t>
            </w:r>
            <w:hyperlink w:history="1" r:id="rIdju5jlhqyc8gfsy8u1afi6">
              <w:r>
                <w:rPr>
                  <w:rStyle w:val="Hyperlink"/>
                  <w:sz w:val="14"/>
                  <w:szCs w:val="14"/>
                </w:rPr>
                <w:t xml:space="preserve">https://www.lhw.com/press-center/0624_Leaders_Club_Complimentary</w:t>
              </w:r>
            </w:hyperlink>
          </w:p>
          <w:p>
            <w:pPr>
              <w:spacing w:after="30" w:line="240"/>
            </w:pPr>
            <w:r>
              <w:rPr>
                <w:sz w:val="14"/>
                <w:szCs w:val="14"/>
              </w:rPr>
              <w:t xml:space="preserve">The Points Guy (2018): </w:t>
            </w:r>
            <w:hyperlink w:history="1" r:id="rIdgsnwy_jwwpkanz_b6a5nt">
              <w:r>
                <w:rPr>
                  <w:rStyle w:val="Hyperlink"/>
                  <w:sz w:val="14"/>
                  <w:szCs w:val="14"/>
                </w:rPr>
                <w:t xml:space="preserve">https://thepointsguy.com/news/leading-hotels-of-the-world-points-based/</w:t>
              </w:r>
            </w:hyperlink>
          </w:p>
          <w:p>
            <w:pPr>
              <w:spacing w:after="30" w:line="240"/>
            </w:pPr>
            <w:r>
              <w:rPr>
                <w:sz w:val="14"/>
                <w:szCs w:val="14"/>
              </w:rPr>
              <w:t xml:space="preserve">InsideFlyer (2014): </w:t>
            </w:r>
            <w:hyperlink w:history="1" r:id="rId3qtg_ag0namqixi_9gwne">
              <w:r>
                <w:rPr>
                  <w:rStyle w:val="Hyperlink"/>
                  <w:sz w:val="14"/>
                  <w:szCs w:val="14"/>
                </w:rPr>
                <w:t xml:space="preserve">https://www.insideflyer.com/2014/09/22/leading-hotels-world/</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Relais &amp; Châteaux</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Aspire, 2025 member survey: </w:t>
            </w:r>
            <w:hyperlink w:history="1" r:id="rIdn2bu0h5o9zfkn98rtqbgi">
              <w:r>
                <w:rPr>
                  <w:rStyle w:val="Hyperlink"/>
                  <w:sz w:val="14"/>
                  <w:szCs w:val="14"/>
                </w:rPr>
                <w:t xml:space="preserve">https://www.aspiretravelclub.co.uk/news/relais-chateaux-reports-7-year-on-year-growth-in-2025</w:t>
              </w:r>
            </w:hyperlink>
          </w:p>
          <w:p>
            <w:pPr>
              <w:spacing w:after="30" w:line="240"/>
            </w:pPr>
            <w:r>
              <w:rPr>
                <w:sz w:val="14"/>
                <w:szCs w:val="14"/>
              </w:rPr>
              <w:t xml:space="preserve">TourMaG (2026): </w:t>
            </w:r>
            <w:hyperlink w:history="1" r:id="rIdl_fkbwkolwn6zfynkvvmo">
              <w:r>
                <w:rPr>
                  <w:rStyle w:val="Hyperlink"/>
                  <w:sz w:val="14"/>
                  <w:szCs w:val="14"/>
                </w:rPr>
                <w:t xml:space="preserve">https://www.tourmag.com/Relais-Chateaux-poursuit-sa-croissance-en-2025-et-depasse-les-33-milliards-de-volume-d-affaires_a131654.html</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SLH (new)</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TTG Asia, Considerate Collection (2025): </w:t>
            </w:r>
            <w:hyperlink w:history="1" r:id="rId_42qsmwsmdix_-0nt2rkz">
              <w:r>
                <w:rPr>
                  <w:rStyle w:val="Hyperlink"/>
                  <w:sz w:val="14"/>
                  <w:szCs w:val="14"/>
                </w:rPr>
                <w:t xml:space="preserve">https://www.ttgasia.com/2025/11/27/small-luxury-hotels-of-the-world-expands-considerate-collection-to-82-properties/</w:t>
              </w:r>
            </w:hyperlink>
          </w:p>
          <w:p>
            <w:pPr>
              <w:spacing w:after="30" w:line="240"/>
            </w:pPr>
            <w:r>
              <w:rPr>
                <w:sz w:val="14"/>
                <w:szCs w:val="14"/>
              </w:rPr>
              <w:t xml:space="preserve">TTG Asia, 2025 growth: </w:t>
            </w:r>
            <w:hyperlink w:history="1" r:id="rIdmklwbtbc2shdl56jme6wo">
              <w:r>
                <w:rPr>
                  <w:rStyle w:val="Hyperlink"/>
                  <w:sz w:val="14"/>
                  <w:szCs w:val="14"/>
                </w:rPr>
                <w:t xml:space="preserve">https://www.ttgasia.com/tag/small-luxury-hotels-of-the-world</w:t>
              </w:r>
            </w:hyperlink>
          </w:p>
          <w:p>
            <w:pPr>
              <w:spacing w:after="30" w:line="240"/>
            </w:pPr>
            <w:r>
              <w:rPr>
                <w:sz w:val="14"/>
                <w:szCs w:val="14"/>
              </w:rPr>
              <w:t xml:space="preserve">TravelPulse (2024): </w:t>
            </w:r>
            <w:hyperlink w:history="1" r:id="rIdz33vh1wivr1z6xggtgjde">
              <w:r>
                <w:rPr>
                  <w:rStyle w:val="Hyperlink"/>
                  <w:sz w:val="14"/>
                  <w:szCs w:val="14"/>
                </w:rPr>
                <w:t xml:space="preserve">https://www.travelpulse.com/news/hotels-and-resorts/small-luxury-hotels-of-the-world-celebrates-milestone-year-shares-new-openings-for-2025</w:t>
              </w:r>
            </w:hyperlink>
          </w:p>
          <w:p>
            <w:pPr>
              <w:spacing w:after="30" w:line="240"/>
            </w:pPr>
            <w:r>
              <w:rPr>
                <w:sz w:val="14"/>
                <w:szCs w:val="14"/>
              </w:rPr>
              <w:t xml:space="preserve">Travel Agent Central, Hyatt alliance: </w:t>
            </w:r>
            <w:hyperlink w:history="1" r:id="rId5j57csbwlyenlej6pfvd3">
              <w:r>
                <w:rPr>
                  <w:rStyle w:val="Hyperlink"/>
                  <w:sz w:val="14"/>
                  <w:szCs w:val="14"/>
                </w:rPr>
                <w:t xml:space="preserve">https://www.travelagentcentral.com/hotels/hyatt-loyalty-program-expands-to-include-small-luxury-hotels</w:t>
              </w:r>
            </w:hyperlink>
          </w:p>
          <w:p>
            <w:pPr>
              <w:spacing w:after="30" w:line="240"/>
            </w:pPr>
            <w:r>
              <w:rPr>
                <w:sz w:val="14"/>
                <w:szCs w:val="14"/>
              </w:rPr>
              <w:t xml:space="preserve">LoyaltyLobby (2019): </w:t>
            </w:r>
            <w:hyperlink w:history="1" r:id="rIdlhbqbf9xoovoqo8t99kvu">
              <w:r>
                <w:rPr>
                  <w:rStyle w:val="Hyperlink"/>
                  <w:sz w:val="14"/>
                  <w:szCs w:val="14"/>
                </w:rPr>
                <w:t xml:space="preserve">https://loyaltylobby.com/2019/10/10/world-of-hyatt-small-luxury-hotels-of-the-world-partnership-now-extended-more-than-250-hotels/</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Beyond Green (new)</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Hospitality Net, launch (2020): </w:t>
            </w:r>
            <w:hyperlink w:history="1" r:id="rIdbm0grnh_c4y8llo1g2y5d">
              <w:r>
                <w:rPr>
                  <w:rStyle w:val="Hyperlink"/>
                  <w:sz w:val="14"/>
                  <w:szCs w:val="14"/>
                </w:rPr>
                <w:t xml:space="preserve">https://www.hospitalitynet.org/news/4101682.html</w:t>
              </w:r>
            </w:hyperlink>
          </w:p>
          <w:p>
            <w:pPr>
              <w:spacing w:after="30" w:line="240"/>
            </w:pPr>
            <w:r>
              <w:rPr>
                <w:sz w:val="14"/>
                <w:szCs w:val="14"/>
              </w:rPr>
              <w:t xml:space="preserve">Hotel Business: </w:t>
            </w:r>
            <w:hyperlink w:history="1" r:id="rIdpg9zznkhiwbktdf3ndsyw">
              <w:r>
                <w:rPr>
                  <w:rStyle w:val="Hyperlink"/>
                  <w:sz w:val="14"/>
                  <w:szCs w:val="14"/>
                </w:rPr>
                <w:t xml:space="preserve">https://hotelbusiness.com/?p=203849</w:t>
              </w:r>
            </w:hyperlink>
          </w:p>
          <w:p>
            <w:pPr>
              <w:spacing w:after="30" w:line="240"/>
            </w:pPr>
            <w:r>
              <w:rPr>
                <w:sz w:val="14"/>
                <w:szCs w:val="14"/>
              </w:rPr>
              <w:t xml:space="preserve">Sleeper, founding members: </w:t>
            </w:r>
            <w:hyperlink w:history="1" r:id="rId8zqng2dc17l69ajeb_4ne">
              <w:r>
                <w:rPr>
                  <w:rStyle w:val="Hyperlink"/>
                  <w:sz w:val="14"/>
                  <w:szCs w:val="14"/>
                </w:rPr>
                <w:t xml:space="preserve">https://www.sleepermagazine.com/stories/projects/preferred-group-launches-sustainable-hotel-brand/</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National Geographic Unique Lodges</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Hospitality Design (2015): </w:t>
            </w:r>
            <w:hyperlink w:history="1" r:id="rIdx5artfpbhl7bwathl7udl">
              <w:r>
                <w:rPr>
                  <w:rStyle w:val="Hyperlink"/>
                  <w:sz w:val="14"/>
                  <w:szCs w:val="14"/>
                </w:rPr>
                <w:t xml:space="preserve">https://hospitalitydesign.com/?p=15483</w:t>
              </w:r>
            </w:hyperlink>
          </w:p>
          <w:p>
            <w:pPr>
              <w:spacing w:after="30" w:line="240"/>
            </w:pPr>
            <w:r>
              <w:rPr>
                <w:sz w:val="14"/>
                <w:szCs w:val="14"/>
              </w:rPr>
              <w:t xml:space="preserve">National Geographic Partners: </w:t>
            </w:r>
            <w:hyperlink w:history="1" r:id="rIdq-vlsjusrwlblprlizaqs">
              <w:r>
                <w:rPr>
                  <w:rStyle w:val="Hyperlink"/>
                  <w:sz w:val="14"/>
                  <w:szCs w:val="14"/>
                </w:rPr>
                <w:t xml:space="preserve">https://nationalgeographicpartners.com/?p=532</w:t>
              </w:r>
            </w:hyperlink>
          </w:p>
          <w:p>
            <w:pPr>
              <w:spacing w:after="30" w:line="240"/>
            </w:pPr>
            <w:r>
              <w:rPr>
                <w:sz w:val="14"/>
                <w:szCs w:val="14"/>
              </w:rPr>
              <w:t xml:space="preserve">Grootbos, inspection team: </w:t>
            </w:r>
            <w:hyperlink w:history="1" r:id="rIdrkmmlsbkhu9-jnqifw3j3">
              <w:r>
                <w:rPr>
                  <w:rStyle w:val="Hyperlink"/>
                  <w:sz w:val="14"/>
                  <w:szCs w:val="14"/>
                </w:rPr>
                <w:t xml:space="preserve">https://www.grootbos.com/en/blog/general/national-geographic-unique-lodges-of-the-world</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Signature Experiences of Australia</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Tourism Australia: </w:t>
            </w:r>
            <w:hyperlink w:history="1" r:id="rIdlj88sgesc8lsqc3ttxoak">
              <w:r>
                <w:rPr>
                  <w:rStyle w:val="Hyperlink"/>
                  <w:sz w:val="14"/>
                  <w:szCs w:val="14"/>
                </w:rPr>
                <w:t xml:space="preserve">https://www.tourism.australia.com/signature</w:t>
              </w:r>
            </w:hyperlink>
          </w:p>
          <w:p>
            <w:pPr>
              <w:spacing w:after="30" w:line="240"/>
            </w:pPr>
            <w:r>
              <w:rPr>
                <w:sz w:val="14"/>
                <w:szCs w:val="14"/>
              </w:rPr>
              <w:t xml:space="preserve">Australian Wildlife Journeys: </w:t>
            </w:r>
            <w:hyperlink w:history="1" r:id="rId4n6t8ve8w5lqikj8ttmgc">
              <w:r>
                <w:rPr>
                  <w:rStyle w:val="Hyperlink"/>
                  <w:sz w:val="14"/>
                  <w:szCs w:val="14"/>
                </w:rPr>
                <w:t xml:space="preserve">https://australianwildlifejourneys.com/plan-your-trip/signature-experiences-of-australia</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Experience Mekong Collection</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MTCO release (2020): </w:t>
            </w:r>
            <w:hyperlink w:history="1" r:id="rIdplscdtf8bb8mnbbeqjxeq">
              <w:r>
                <w:rPr>
                  <w:rStyle w:val="Hyperlink"/>
                  <w:sz w:val="14"/>
                  <w:szCs w:val="14"/>
                </w:rPr>
                <w:t xml:space="preserve">https://mekongtourism.org/?p=26268</w:t>
              </w:r>
            </w:hyperlink>
          </w:p>
          <w:p>
            <w:pPr>
              <w:spacing w:after="30" w:line="240"/>
            </w:pPr>
            <w:r>
              <w:rPr>
                <w:sz w:val="14"/>
                <w:szCs w:val="14"/>
              </w:rPr>
              <w:t xml:space="preserve">MTCO release (2018): </w:t>
            </w:r>
            <w:hyperlink w:history="1" r:id="rIdde1j4fy8urghgsg8qkump">
              <w:r>
                <w:rPr>
                  <w:rStyle w:val="Hyperlink"/>
                  <w:sz w:val="14"/>
                  <w:szCs w:val="14"/>
                </w:rPr>
                <w:t xml:space="preserve">https://www.mekongtourism.org/mtco-emc-media-release_02/</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African Parks</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African Parks Annual Report 2025: </w:t>
            </w:r>
            <w:hyperlink w:history="1" r:id="rId62jqhpid9sf1pdlf6j3r-">
              <w:r>
                <w:rPr>
                  <w:rStyle w:val="Hyperlink"/>
                  <w:sz w:val="14"/>
                  <w:szCs w:val="14"/>
                </w:rPr>
                <w:t xml:space="preserve">https://www.africanparks.org/sites/default/files/0424%20-%20AP%202025%20Annual%20Report%20-%20Interactive%20-%20FINAL.pdf</w:t>
              </w:r>
            </w:hyperlink>
          </w:p>
          <w:p>
            <w:pPr>
              <w:spacing w:after="30" w:line="240"/>
            </w:pPr>
            <w:r>
              <w:rPr>
                <w:sz w:val="14"/>
                <w:szCs w:val="14"/>
              </w:rPr>
              <w:t xml:space="preserve">Baghai and Lindsey, collaborative management models (2017): </w:t>
            </w:r>
            <w:hyperlink w:history="1" r:id="rIdbi02jgwwsrdvxsiwznb7h">
              <w:r>
                <w:rPr>
                  <w:rStyle w:val="Hyperlink"/>
                  <w:sz w:val="14"/>
                  <w:szCs w:val="14"/>
                </w:rPr>
                <w:t xml:space="preserve">https://www.biofund.org.mz/wp-content/uploads/2017/08/Baghai-Lindsey-Collaborative-Management-Models-in-Africa-July-17-.pdf</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National Trust</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Museums Association (2025): </w:t>
            </w:r>
            <w:hyperlink w:history="1" r:id="rIddxl-qjjmnahxy69wcesy_">
              <w:r>
                <w:rPr>
                  <w:rStyle w:val="Hyperlink"/>
                  <w:sz w:val="14"/>
                  <w:szCs w:val="14"/>
                </w:rPr>
                <w:t xml:space="preserve">https://www.museumsassociation.org/museums-journal/news/2025/11/national-trust-reports-solid-financial-position-despite-economic-pressures/</w:t>
              </w:r>
            </w:hyperlink>
          </w:p>
          <w:p>
            <w:pPr>
              <w:spacing w:after="30" w:line="240"/>
            </w:pPr>
            <w:r>
              <w:rPr>
                <w:sz w:val="14"/>
                <w:szCs w:val="14"/>
              </w:rPr>
              <w:t xml:space="preserve">National Trust release (2025): </w:t>
            </w:r>
            <w:hyperlink w:history="1" r:id="rIdai9-cdwv6nw-qa9qhlldc">
              <w:r>
                <w:rPr>
                  <w:rStyle w:val="Hyperlink"/>
                  <w:sz w:val="14"/>
                  <w:szCs w:val="14"/>
                </w:rPr>
                <w:t xml:space="preserve">https://www.nationaltrust.org.uk/services/media/surge-in-18-25-year-old-members</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Rewilding Europe</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Rewilding Europe (2019): </w:t>
            </w:r>
            <w:hyperlink w:history="1" r:id="rIdyafnijtqv1orvdcnu9c1v">
              <w:r>
                <w:rPr>
                  <w:rStyle w:val="Hyperlink"/>
                  <w:sz w:val="14"/>
                  <w:szCs w:val="14"/>
                </w:rPr>
                <w:t xml:space="preserve">https://rewildingeurope.com/blog/a-model-approach-building-nature-based-economies-through-rewilding/</w:t>
              </w:r>
            </w:hyperlink>
          </w:p>
          <w:p>
            <w:pPr>
              <w:spacing w:after="30" w:line="240"/>
            </w:pPr>
            <w:r>
              <w:rPr>
                <w:sz w:val="14"/>
                <w:szCs w:val="14"/>
              </w:rPr>
              <w:t xml:space="preserve">Rewilding Europe Capital, Western Iberia: </w:t>
            </w:r>
            <w:hyperlink w:history="1" r:id="rIddmebdfcl6dm985bblhjdu">
              <w:r>
                <w:rPr>
                  <w:rStyle w:val="Hyperlink"/>
                  <w:sz w:val="14"/>
                  <w:szCs w:val="14"/>
                </w:rPr>
                <w:t xml:space="preserve">https://rewildingeurope.com/news/rewilding-europe-capital-supports-wildlife-watching-enterprise-in-western-iberia/</w:t>
              </w:r>
            </w:hyperlink>
          </w:p>
          <w:p>
            <w:pPr>
              <w:spacing w:after="30" w:line="240"/>
            </w:pPr>
            <w:r>
              <w:rPr>
                <w:sz w:val="14"/>
                <w:szCs w:val="14"/>
              </w:rPr>
              <w:t xml:space="preserve">FairPlanet critique: </w:t>
            </w:r>
            <w:hyperlink w:history="1" r:id="rIdyvyseeejaggqgzkg1mkmr">
              <w:r>
                <w:rPr>
                  <w:rStyle w:val="Hyperlink"/>
                  <w:sz w:val="14"/>
                  <w:szCs w:val="14"/>
                </w:rPr>
                <w:t xml:space="preserve">https://www.fairplanet.org/editors-pick/rewilding-or-the-commodification-of-european-landscapes/</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SANParks Wild Card</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Cape Town Tourism: </w:t>
            </w:r>
            <w:hyperlink w:history="1" r:id="rIdljtoo9qnezdp8ysyxf8lj">
              <w:r>
                <w:rPr>
                  <w:rStyle w:val="Hyperlink"/>
                  <w:sz w:val="14"/>
                  <w:szCs w:val="14"/>
                </w:rPr>
                <w:t xml:space="preserve">https://capetown.travel/visit-these-cape-town-attractions-year-round-at-a-fraction-of-the-price/</w:t>
              </w:r>
            </w:hyperlink>
          </w:p>
          <w:p>
            <w:pPr>
              <w:spacing w:after="30" w:line="240"/>
            </w:pPr>
            <w:r>
              <w:rPr>
                <w:sz w:val="14"/>
                <w:szCs w:val="14"/>
              </w:rPr>
              <w:t xml:space="preserve">SANParks tariff release: </w:t>
            </w:r>
            <w:hyperlink w:history="1" r:id="rIdmxaegjyel-5xwqtqtuqlf">
              <w:r>
                <w:rPr>
                  <w:rStyle w:val="Hyperlink"/>
                  <w:sz w:val="14"/>
                  <w:szCs w:val="14"/>
                </w:rPr>
                <w:t xml:space="preserve">https://www.sanparks.org/news/media-release-sanparks-adjusts-its-wild-card-tariff-fees</w:t>
              </w:r>
            </w:hyperlink>
          </w:p>
          <w:p>
            <w:pPr>
              <w:spacing w:after="30" w:line="240"/>
            </w:pPr>
            <w:r>
              <w:rPr>
                <w:sz w:val="14"/>
                <w:szCs w:val="14"/>
              </w:rPr>
              <w:t xml:space="preserve">Farmer’s Weekly, operator scheme: </w:t>
            </w:r>
            <w:hyperlink w:history="1" r:id="rIdl85vcrmijes3307k8khsk">
              <w:r>
                <w:rPr>
                  <w:rStyle w:val="Hyperlink"/>
                  <w:sz w:val="14"/>
                  <w:szCs w:val="14"/>
                </w:rPr>
                <w:t xml:space="preserve">https://www.farmersweekly.co.za/archive/ezemvelo-joins-wild-card</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Brand USA</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US Travel one-pager (2025): </w:t>
            </w:r>
            <w:hyperlink w:history="1" r:id="rIdjgts-npfofuwc0amhydt2">
              <w:r>
                <w:rPr>
                  <w:rStyle w:val="Hyperlink"/>
                  <w:sz w:val="14"/>
                  <w:szCs w:val="14"/>
                </w:rPr>
                <w:t xml:space="preserve">https://www.ustravel.org/sites/default/files/2025-12/New_BrandUSA%20One-Pager_2025.pdf</w:t>
              </w:r>
            </w:hyperlink>
          </w:p>
          <w:p>
            <w:pPr>
              <w:spacing w:after="30" w:line="240"/>
            </w:pPr>
            <w:r>
              <w:rPr>
                <w:sz w:val="14"/>
                <w:szCs w:val="14"/>
              </w:rPr>
              <w:t xml:space="preserve">Congressional testimony (2019): </w:t>
            </w:r>
            <w:hyperlink w:history="1" r:id="rIdz4rly5gfseon8z6o8z_o3">
              <w:r>
                <w:rPr>
                  <w:rStyle w:val="Hyperlink"/>
                  <w:sz w:val="14"/>
                  <w:szCs w:val="14"/>
                </w:rPr>
                <w:t xml:space="preserve">https://docs.house.gov/meetings/IF/IF17/20191029/110153/HHRG-116-IF17-Wstate-ThompsonC-20191029.pdf</w:t>
              </w:r>
            </w:hyperlink>
          </w:p>
          <w:p>
            <w:pPr>
              <w:spacing w:after="30" w:line="240"/>
            </w:pPr>
            <w:r>
              <w:rPr>
                <w:sz w:val="14"/>
                <w:szCs w:val="14"/>
              </w:rPr>
              <w:t xml:space="preserve">US Travel, emergency funding: </w:t>
            </w:r>
            <w:hyperlink w:history="1" r:id="rId87ynhopfquz16bwtxdic9">
              <w:r>
                <w:rPr>
                  <w:rStyle w:val="Hyperlink"/>
                  <w:sz w:val="14"/>
                  <w:szCs w:val="14"/>
                </w:rPr>
                <w:t xml:space="preserve">https://www.ustravel.org/sites/default/files/media_root/Brand_USA-Emergency_Funding.pdf</w:t>
              </w:r>
            </w:hyperlink>
          </w:p>
        </w:tc>
      </w:tr>
      <w:tr>
        <w:trPr>
          <w:cantSplit/>
        </w:trPr>
        <w:tc>
          <w:tcPr>
            <w:tcW w:type="dxa" w:w="2300"/>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0"/>
            </w:pPr>
            <w:r>
              <w:rPr>
                <w:b/>
                <w:bCs/>
                <w:sz w:val="15"/>
                <w:szCs w:val="15"/>
              </w:rPr>
              <w:t xml:space="preserve">The Lion’s Share Fund</w:t>
            </w:r>
          </w:p>
        </w:tc>
        <w:tc>
          <w:tcPr>
            <w:tcW w:type="dxa" w:w="7446"/>
            <w:tcBorders>
              <w:top w:val="single" w:color="C4C4CD" w:sz="4"/>
              <w:left w:val="single" w:color="C4C4CD" w:sz="4"/>
              <w:bottom w:val="single" w:color="C4C4CD" w:sz="4"/>
              <w:right w:val="single" w:color="C4C4CD" w:sz="4"/>
            </w:tcBorders>
            <w:tcMar>
              <w:top w:type="dxa" w:w="70"/>
              <w:left w:type="dxa" w:w="100"/>
              <w:bottom w:type="dxa" w:w="70"/>
              <w:right w:type="dxa" w:w="100"/>
            </w:tcMar>
          </w:tcPr>
          <w:p>
            <w:pPr>
              <w:spacing w:after="30" w:line="240"/>
            </w:pPr>
            <w:r>
              <w:rPr>
                <w:sz w:val="14"/>
                <w:szCs w:val="14"/>
              </w:rPr>
              <w:t xml:space="preserve">UNDP: </w:t>
            </w:r>
            <w:hyperlink w:history="1" r:id="rIdjyhv91ogkwjj5w0xt1w-r">
              <w:r>
                <w:rPr>
                  <w:rStyle w:val="Hyperlink"/>
                  <w:sz w:val="14"/>
                  <w:szCs w:val="14"/>
                </w:rPr>
                <w:t xml:space="preserve">https://undp.org/node/28226</w:t>
              </w:r>
            </w:hyperlink>
          </w:p>
          <w:p>
            <w:pPr>
              <w:spacing w:after="30" w:line="240"/>
            </w:pPr>
            <w:r>
              <w:rPr>
                <w:sz w:val="14"/>
                <w:szCs w:val="14"/>
              </w:rPr>
              <w:t xml:space="preserve">D&amp;AD (2020): </w:t>
            </w:r>
            <w:hyperlink w:history="1" r:id="rIdgrwlppfyvwo4d9g9qeyz0">
              <w:r>
                <w:rPr>
                  <w:rStyle w:val="Hyperlink"/>
                  <w:sz w:val="14"/>
                  <w:szCs w:val="14"/>
                </w:rPr>
                <w:t xml:space="preserve">https://www.dandad.org/annual/2020/entry/professional/231697</w:t>
              </w:r>
            </w:hyperlink>
          </w:p>
        </w:tc>
      </w:tr>
    </w:tbl>
    <w:sectPr>
      <w:footerReference w:type="default" r:id="rId9"/>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747480"/>
        <w:sz w:val="14"/>
        <w:szCs w:val="14"/>
      </w:rPr>
      <w:t xml:space="preserve">EY bid team working draft 2  |  CI RFP 0032026: benchmark scan</w:t>
    </w:r>
    <w:r>
      <w:rPr>
        <w:color w:val="747480"/>
        <w:sz w:val="14"/>
        <w:szCs w:val="14"/>
      </w:rPr>
      <w:tab/>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678"/>
      </w:tabs>
    </w:pPr>
    <w:r>
      <w:rPr>
        <w:color w:val="747480"/>
        <w:sz w:val="14"/>
        <w:szCs w:val="14"/>
      </w:rPr>
      <w:t xml:space="preserve">EY bid team working draft 2  |  CI RFP 0032026: benchmark scan</w:t>
    </w:r>
    <w:r>
      <w:rPr>
        <w:color w:val="747480"/>
        <w:sz w:val="14"/>
        <w:szCs w:val="14"/>
      </w:rPr>
      <w:tab/>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747480"/>
        <w:sz w:val="14"/>
        <w:szCs w:val="14"/>
      </w:rPr>
      <w:t xml:space="preserve">EY bid team working draft 2  |  CI RFP 0032026: benchmark scan</w:t>
    </w:r>
    <w:r>
      <w:rPr>
        <w:color w:val="747480"/>
        <w:sz w:val="14"/>
        <w:szCs w:val="14"/>
      </w:rPr>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38"/>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2E2E38"/>
      <w:sz w:val="26"/>
      <w:szCs w:val="26"/>
    </w:rPr>
  </w:style>
  <w:style w:type="paragraph" w:styleId="Heading2">
    <w:name w:val="Heading 2"/>
    <w:basedOn w:val="Normal"/>
    <w:next w:val="Normal"/>
    <w:qFormat/>
    <w:pPr>
      <w:keepNext/>
      <w:spacing w:after="100" w:before="240"/>
      <w:outlineLvl w:val="1"/>
    </w:pPr>
    <w:rPr>
      <w:rFonts w:ascii="Arial" w:cs="Arial" w:eastAsia="Arial" w:hAnsi="Arial"/>
      <w:b/>
      <w:bCs/>
      <w:color w:val="2E2E3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2fkmlyomldtptxwdty-2v" Type="http://schemas.openxmlformats.org/officeDocument/2006/relationships/hyperlink" Target="https://www.thegef.org/newsroom/news/africa-keystone-protected-area-partnership-welcomes-new-gef-rob-walton-foundation" TargetMode="External"/><Relationship Id="rIde7cpzouayrdhdear0h9kr" Type="http://schemas.openxmlformats.org/officeDocument/2006/relationships/hyperlink" Target="https://www.internationalconservation.org/publications/africakeystones/trifold.pdf" TargetMode="External"/><Relationship Id="rIds0yxxozwe2m9-aipk-ywz" Type="http://schemas.openxmlformats.org/officeDocument/2006/relationships/hyperlink" Target="https://laikipia.org/the-northern-rangeland-trust/" TargetMode="External"/><Relationship Id="rId93mjpn97y3jer1roihx0s" Type="http://schemas.openxmlformats.org/officeDocument/2006/relationships/hyperlink" Target="https://kwcakenya.com/?p=10336" TargetMode="External"/><Relationship Id="rIdfe6d1txao40icyw6dmrjb" Type="http://schemas.openxmlformats.org/officeDocument/2006/relationships/hyperlink" Target="https://www.peoplenotpoaching.org/northern-rangelands-trust" TargetMode="External"/><Relationship Id="rIdmwwyahzwqgufomajrwobv" Type="http://schemas.openxmlformats.org/officeDocument/2006/relationships/hyperlink" Target="https://www.nacso.org.na/node/11" TargetMode="External"/><Relationship Id="rIddgyr75btgppd0lmvf9hn6" Type="http://schemas.openxmlformats.org/officeDocument/2006/relationships/hyperlink" Target="https://nacso.org.na/wp-content/uploads/2025/06/The-State-of-Community-Conservation-Report-2019-poster.pdf" TargetMode="External"/><Relationship Id="rIddc6m8vbmhfzjxttfr8bhy" Type="http://schemas.openxmlformats.org/officeDocument/2006/relationships/hyperlink" Target="https://www.tourismupdate.com/article/namibia-balancing-global-brands-and-communal-conservancies" TargetMode="External"/><Relationship Id="rIdkwluy9nbcldetz4l9wqv-" Type="http://schemas.openxmlformats.org/officeDocument/2006/relationships/hyperlink" Target="https://maraconservancies.org/" TargetMode="External"/><Relationship Id="rIdhucdktacylk6qdos5kzdt" Type="http://schemas.openxmlformats.org/officeDocument/2006/relationships/hyperlink" Target="https://maraconservancies.org/?p=6706" TargetMode="External"/><Relationship Id="rIdwpo7gux2ic1uekae26oug" Type="http://schemas.openxmlformats.org/officeDocument/2006/relationships/hyperlink" Target="https://nature.org/en-us/about-us/where-we-work/africa/stories-in-africa/wildlife-corridors-kenya-maasai-mara" TargetMode="External"/><Relationship Id="rIdyi6qixbh73uxbp0hsccaw" Type="http://schemas.openxmlformats.org/officeDocument/2006/relationships/hyperlink" Target="https://www.afar.com/magazine/kenyas-imperiled-wildlife-conservancies-receive-financial-lifeline" TargetMode="External"/><Relationship Id="rIdr1b5rr106tr2zhqkt5-2g" Type="http://schemas.openxmlformats.org/officeDocument/2006/relationships/hyperlink" Target="https://kwcakenya.com/?p=10357" TargetMode="External"/><Relationship Id="rIdee17f5pbu6mmwa3hovc_c" Type="http://schemas.openxmlformats.org/officeDocument/2006/relationships/hyperlink" Target="https://clui.org/newsletter/winter-2024-47/harpers-ferry-center" TargetMode="External"/><Relationship Id="rIdttrm8zq5viwvorn_kszzs" Type="http://schemas.openxmlformats.org/officeDocument/2006/relationships/hyperlink" Target="https://eyeondesign.aiga.org/how-early-u-s-national-parks-designs-foreshadowed-todays-government-graphic-design-trends/" TargetMode="External"/><Relationship Id="rIds_0tiaiviuosj74k6vrhe" Type="http://schemas.openxmlformats.org/officeDocument/2006/relationships/hyperlink" Target="https://www.nps.gov/parkhistory/online_books/brochures/index.htm" TargetMode="External"/><Relationship Id="rIdqexczgsl0htmsvslqosd2" Type="http://schemas.openxmlformats.org/officeDocument/2006/relationships/hyperlink" Target="https://archive.thelongrun.org/about/" TargetMode="External"/><Relationship Id="rId7rylds1kfaohngatsvb5a" Type="http://schemas.openxmlformats.org/officeDocument/2006/relationships/hyperlink" Target="https://www.greentraveller.co.uk/post/pioneers-of-responsible-tourism" TargetMode="External"/><Relationship Id="rIdvruih2r4p1wkdkbowvwzu" Type="http://schemas.openxmlformats.org/officeDocument/2006/relationships/hyperlink" Target="https://tswalu.com/tswalu-achieves-the-long-runs-global-ecosphere-retreat-certification/" TargetMode="External"/><Relationship Id="rIdxdnqbpnh2gmqjrye6j6tb" Type="http://schemas.openxmlformats.org/officeDocument/2006/relationships/hyperlink" Target="https://www.europarc.org/wp-content/uploads/2026/04/CHARTER-Updated-2026.pdf" TargetMode="External"/><Relationship Id="rId-apcrnd9xrmw_xf9mha0q" Type="http://schemas.openxmlformats.org/officeDocument/2006/relationships/hyperlink" Target="https://www.europarc.org/?p=11125" TargetMode="External"/><Relationship Id="rId-6recing49banlfajrbdw" Type="http://schemas.openxmlformats.org/officeDocument/2006/relationships/hyperlink" Target="https://www.europarc.org/wp-content/uploads/2022/01/EN_Sustainable-destinations-technical-guidelines.pdf" TargetMode="External"/><Relationship Id="rIdin1nn81dqotbbd2sfxot2" Type="http://schemas.openxmlformats.org/officeDocument/2006/relationships/hyperlink" Target="https://geopark-hblo.de/en/2026/05/29/green-card-renewed-for-the-unesco-global-geopark-harz-braunschweiger-land-ostfalen/" TargetMode="External"/><Relationship Id="rIdi8x11gewb0xeznx4hnsf9" Type="http://schemas.openxmlformats.org/officeDocument/2006/relationships/hyperlink" Target="https://www.northern-times.co.uk/news/delight-as-north-west-highlands-geopark-gets-the-unesco-gre-330699/" TargetMode="External"/><Relationship Id="rId5oalh54agxbmjuq0pjiwy" Type="http://schemas.openxmlformats.org/officeDocument/2006/relationships/hyperlink" Target="https://knowledge.gstc.org/?p=42868" TargetMode="External"/><Relationship Id="rIdvxm3btbx7pycfvrk1wehn" Type="http://schemas.openxmlformats.org/officeDocument/2006/relationships/hyperlink" Target="https://www.slovenia.info/uploads/dokumenti/zelena-shema/2018_gradiva/kratekpregledmaj18eng.pdf" TargetMode="External"/><Relationship Id="rIdiijs14xxweneoyuvrwtfx" Type="http://schemas.openxmlformats.org/officeDocument/2006/relationships/hyperlink" Target="https://interregeurope.eu/good-practices/the-green-scheme-of-slovenian-tourism" TargetMode="External"/><Relationship Id="rIdcxk96fr_bv2fpzrxisean" Type="http://schemas.openxmlformats.org/officeDocument/2006/relationships/hyperlink" Target="https://www.visitgreece.gr/blog/visit-greece/1531/blue-flags-2025/" TargetMode="External"/><Relationship Id="rIdvho8alc6usryxsghbct37" Type="http://schemas.openxmlformats.org/officeDocument/2006/relationships/hyperlink" Target="https://beachawards.ie/?p=73" TargetMode="External"/><Relationship Id="rIded1tliiwbev3oahtmuqpv" Type="http://schemas.openxmlformats.org/officeDocument/2006/relationships/hyperlink" Target="https://indicatoriambientali.isprambiente.it/en/tourism/blue-flag-beaches-and-tourist-landings" TargetMode="External"/><Relationship Id="rId0euxvml47owgnft2ntuyt" Type="http://schemas.openxmlformats.org/officeDocument/2006/relationships/hyperlink" Target="https://fm6e.org/en/news/2016-06-01-15-31-12/" TargetMode="External"/><Relationship Id="rIdek7ykappw1nbpyfuji_jb" Type="http://schemas.openxmlformats.org/officeDocument/2006/relationships/hyperlink" Target="https://www.tourismupdate.com/article/africas-most-responsible-tourism-portfolio?page=11" TargetMode="External"/><Relationship Id="rIdqv4oitgo_i5f72jzm0vny" Type="http://schemas.openxmlformats.org/officeDocument/2006/relationships/hyperlink" Target="https://travelmole.com/news/fair-trade-tourism-africa-rollout" TargetMode="External"/><Relationship Id="rIda7dkx1nud4d9zyocqdare" Type="http://schemas.openxmlformats.org/officeDocument/2006/relationships/hyperlink" Target="https://travindy.com/news/?p=15597" TargetMode="External"/><Relationship Id="rIdlkpl7nnf3jnopkrdqigzf" Type="http://schemas.openxmlformats.org/officeDocument/2006/relationships/hyperlink" Target="https://www.adventuretravelnews.com/fair-trade-in-tourism-south-africa-fttsa-achieves-recognized-global-sustainable-tourism-council-status" TargetMode="External"/><Relationship Id="rIduocrso8hwidnqz7_srciw" Type="http://schemas.openxmlformats.org/officeDocument/2006/relationships/hyperlink" Target="https://www.travelagentcentral.com/destinations/site-fair-trade-travel-south-africa" TargetMode="External"/><Relationship Id="rId-1_1gpnd3jfv-mpsfcpnk" Type="http://schemas.openxmlformats.org/officeDocument/2006/relationships/hyperlink" Target="https://bizcommunity.ug/article/satsa-fair-trade-tourism-partner-to-boost-responsible-tourism-in-sa-586340a" TargetMode="External"/><Relationship Id="rId4zcprfvu9az8q93lgmddz" Type="http://schemas.openxmlformats.org/officeDocument/2006/relationships/hyperlink" Target="https://www0.sun.ac.za/awei/sites/default/files/2024-06/2024-CfC-0a-Christine-WFEN.pdf" TargetMode="External"/><Relationship Id="rIdmwqyyfrbxw07la4gqg6sb" Type="http://schemas.openxmlformats.org/officeDocument/2006/relationships/hyperlink" Target="https://impakter.com/index/?p=21310" TargetMode="External"/><Relationship Id="rIdf-jkb_bwzfen2c5sgihn8" Type="http://schemas.openxmlformats.org/officeDocument/2006/relationships/hyperlink" Target="https://panorama.solutions/fr/solution/certified-wildlife-friendlytm-agriculture" TargetMode="External"/><Relationship Id="rIdi7yrhooabloynetx1khpi" Type="http://schemas.openxmlformats.org/officeDocument/2006/relationships/hyperlink" Target="https://www.peaceparks.org/limpopo-shashe-renamed-greater-mapungubwe-tfca/" TargetMode="External"/><Relationship Id="rIdgxkjwju6dgavdqs7uocrr" Type="http://schemas.openxmlformats.org/officeDocument/2006/relationships/hyperlink" Target="https://www.oldsite.tfcaportal.org/tourism-overview" TargetMode="External"/><Relationship Id="rIdaibyqiai_u0gejop0cj1i" Type="http://schemas.openxmlformats.org/officeDocument/2006/relationships/hyperlink" Target="https://theplannerguru.co.za/2023/12/12/landmark-sadc-tfca-network-meeting-builds-momentum-for-transfrontier-conservation-in-southern-africa/" TargetMode="External"/><Relationship Id="rIdysglyahrjvjt3x7fegulk" Type="http://schemas.openxmlformats.org/officeDocument/2006/relationships/hyperlink" Target="https://indiaoutbound.info/?p=168382" TargetMode="External"/><Relationship Id="rIdrlhnqlsptdy3pvbvtik90" Type="http://schemas.openxmlformats.org/officeDocument/2006/relationships/hyperlink" Target="https://kavangozambezi.org/tourist-visa/" TargetMode="External"/><Relationship Id="rIdgulq0wupqqykhscod5cuu" Type="http://schemas.openxmlformats.org/officeDocument/2006/relationships/hyperlink" Target="https://www.tourismupdate.com/article/zim-zam-kaza-univisa-between-zim-and-zam-set-to-resume" TargetMode="External"/><Relationship Id="rIdf5ex4d0ucdf7mhseca9g5" Type="http://schemas.openxmlformats.org/officeDocument/2006/relationships/hyperlink" Target="https://atta.travel/resource/kaza-tfca-approves-conservation-and-tourism-frameworks-as-zimbabwe-assumes-chair.html" TargetMode="External"/><Relationship Id="rIdpn44lqlzlbayzhwwngw27" Type="http://schemas.openxmlformats.org/officeDocument/2006/relationships/hyperlink" Target="https://africaseden.travel/membership/" TargetMode="External"/><Relationship Id="rId1s9o0bpglv8ro3bjailfo" Type="http://schemas.openxmlformats.org/officeDocument/2006/relationships/hyperlink" Target="https://bw.linkedin.com/company/tvfrta" TargetMode="External"/><Relationship Id="rIdbvkrup75z4pgfkuxufcsr" Type="http://schemas.openxmlformats.org/officeDocument/2006/relationships/hyperlink" Target="https://africas-eden.com/about-us/about-us/" TargetMode="External"/><Relationship Id="rIdg0zzffvt_xu0_ourgriyn" Type="http://schemas.openxmlformats.org/officeDocument/2006/relationships/hyperlink" Target="https://alpine-pearls.com/en/egtc" TargetMode="External"/><Relationship Id="rIdbvykoq8n_uh9c0wtyy5om" Type="http://schemas.openxmlformats.org/officeDocument/2006/relationships/hyperlink" Target="https://www.werfenweng.eu/en/?p=3655" TargetMode="External"/><Relationship Id="rIdmwpun4bh5lf9eqmh3lv3d" Type="http://schemas.openxmlformats.org/officeDocument/2006/relationships/hyperlink" Target="https://www.celotajs.lv/cont/conf/conference/110322-CNF/presentations/w3_Gossling.pdf" TargetMode="External"/><Relationship Id="rIdilbmuruuhlpcosv7fxvzv" Type="http://schemas.openxmlformats.org/officeDocument/2006/relationships/hyperlink" Target="https://en.wikipedia.org/wiki/Alpine_Pearls" TargetMode="External"/><Relationship Id="rIdomtnw8uzmyczakrdbjkii" Type="http://schemas.openxmlformats.org/officeDocument/2006/relationships/hyperlink" Target="https://whc.unesco.org/en/news/1879" TargetMode="External"/><Relationship Id="rIdb7uiafump29atft_yxuef" Type="http://schemas.openxmlformats.org/officeDocument/2006/relationships/hyperlink" Target="https://www.solimarinternational.com/?p=1743" TargetMode="External"/><Relationship Id="rId7brt5mnnez18rsi77ph5h" Type="http://schemas.openxmlformats.org/officeDocument/2006/relationships/hyperlink" Target="https://www.presseportal.de/en/pdf.htx?nr=5059084" TargetMode="External"/><Relationship Id="rId820l9wwiva0el2bfwlm7v" Type="http://schemas.openxmlformats.org/officeDocument/2006/relationships/hyperlink" Target="https://theafricanmirror.africa/news/visit-rwanda-how-kagames-football-bet-paid-off-on-the-biggest-stage-in-club-football/" TargetMode="External"/><Relationship Id="rIdldnpcozqiz-fmf4-te1fr" Type="http://schemas.openxmlformats.org/officeDocument/2006/relationships/hyperlink" Target="https://businessday.ng/?p=1050765" TargetMode="External"/><Relationship Id="rId8uosakjhlwoppuc2bmhaq" Type="http://schemas.openxmlformats.org/officeDocument/2006/relationships/hyperlink" Target="https://www.africanews.com/amp/2023/08/28/rwanda-signs-landmark-deal-with-bayern-munich/" TargetMode="External"/><Relationship Id="rId46apnvewhssqo4vbhewe-" Type="http://schemas.openxmlformats.org/officeDocument/2006/relationships/hyperlink" Target="https://allafrica.com/stories/202505010360.html" TargetMode="External"/><Relationship Id="rIdvk5yzeiryomnh358wqrny" Type="http://schemas.openxmlformats.org/officeDocument/2006/relationships/hyperlink" Target="https://www.sportcal.com/sponsorship/visit-rwanda-renews-psg-sponsorship-deal-until-2025/" TargetMode="External"/><Relationship Id="rIdvtieiq9kf56k6ieo2syik" Type="http://schemas.openxmlformats.org/officeDocument/2006/relationships/hyperlink" Target="https://www.ktpress.rw/2026/04/how-rwanda-conquered-european-football/" TargetMode="External"/><Relationship Id="rIdju5jlhqyc8gfsy8u1afi6" Type="http://schemas.openxmlformats.org/officeDocument/2006/relationships/hyperlink" Target="https://www.lhw.com/press-center/0624_Leaders_Club_Complimentary" TargetMode="External"/><Relationship Id="rIdgsnwy_jwwpkanz_b6a5nt" Type="http://schemas.openxmlformats.org/officeDocument/2006/relationships/hyperlink" Target="https://thepointsguy.com/news/leading-hotels-of-the-world-points-based/" TargetMode="External"/><Relationship Id="rId3qtg_ag0namqixi_9gwne" Type="http://schemas.openxmlformats.org/officeDocument/2006/relationships/hyperlink" Target="https://www.insideflyer.com/2014/09/22/leading-hotels-world/" TargetMode="External"/><Relationship Id="rIdn2bu0h5o9zfkn98rtqbgi" Type="http://schemas.openxmlformats.org/officeDocument/2006/relationships/hyperlink" Target="https://www.aspiretravelclub.co.uk/news/relais-chateaux-reports-7-year-on-year-growth-in-2025" TargetMode="External"/><Relationship Id="rIdl_fkbwkolwn6zfynkvvmo" Type="http://schemas.openxmlformats.org/officeDocument/2006/relationships/hyperlink" Target="https://www.tourmag.com/Relais-Chateaux-poursuit-sa-croissance-en-2025-et-depasse-les-33-milliards-de-volume-d-affaires_a131654.html" TargetMode="External"/><Relationship Id="rId_42qsmwsmdix_-0nt2rkz" Type="http://schemas.openxmlformats.org/officeDocument/2006/relationships/hyperlink" Target="https://www.ttgasia.com/2025/11/27/small-luxury-hotels-of-the-world-expands-considerate-collection-to-82-properties/" TargetMode="External"/><Relationship Id="rIdmklwbtbc2shdl56jme6wo" Type="http://schemas.openxmlformats.org/officeDocument/2006/relationships/hyperlink" Target="https://www.ttgasia.com/tag/small-luxury-hotels-of-the-world" TargetMode="External"/><Relationship Id="rIdz33vh1wivr1z6xggtgjde" Type="http://schemas.openxmlformats.org/officeDocument/2006/relationships/hyperlink" Target="https://www.travelpulse.com/news/hotels-and-resorts/small-luxury-hotels-of-the-world-celebrates-milestone-year-shares-new-openings-for-2025" TargetMode="External"/><Relationship Id="rId5j57csbwlyenlej6pfvd3" Type="http://schemas.openxmlformats.org/officeDocument/2006/relationships/hyperlink" Target="https://www.travelagentcentral.com/hotels/hyatt-loyalty-program-expands-to-include-small-luxury-hotels" TargetMode="External"/><Relationship Id="rIdlhbqbf9xoovoqo8t99kvu" Type="http://schemas.openxmlformats.org/officeDocument/2006/relationships/hyperlink" Target="https://loyaltylobby.com/2019/10/10/world-of-hyatt-small-luxury-hotels-of-the-world-partnership-now-extended-more-than-250-hotels/" TargetMode="External"/><Relationship Id="rIdbm0grnh_c4y8llo1g2y5d" Type="http://schemas.openxmlformats.org/officeDocument/2006/relationships/hyperlink" Target="https://www.hospitalitynet.org/news/4101682.html" TargetMode="External"/><Relationship Id="rIdpg9zznkhiwbktdf3ndsyw" Type="http://schemas.openxmlformats.org/officeDocument/2006/relationships/hyperlink" Target="https://hotelbusiness.com/?p=203849" TargetMode="External"/><Relationship Id="rId8zqng2dc17l69ajeb_4ne" Type="http://schemas.openxmlformats.org/officeDocument/2006/relationships/hyperlink" Target="https://www.sleepermagazine.com/stories/projects/preferred-group-launches-sustainable-hotel-brand/" TargetMode="External"/><Relationship Id="rIdx5artfpbhl7bwathl7udl" Type="http://schemas.openxmlformats.org/officeDocument/2006/relationships/hyperlink" Target="https://hospitalitydesign.com/?p=15483" TargetMode="External"/><Relationship Id="rIdq-vlsjusrwlblprlizaqs" Type="http://schemas.openxmlformats.org/officeDocument/2006/relationships/hyperlink" Target="https://nationalgeographicpartners.com/?p=532" TargetMode="External"/><Relationship Id="rIdrkmmlsbkhu9-jnqifw3j3" Type="http://schemas.openxmlformats.org/officeDocument/2006/relationships/hyperlink" Target="https://www.grootbos.com/en/blog/general/national-geographic-unique-lodges-of-the-world" TargetMode="External"/><Relationship Id="rIdlj88sgesc8lsqc3ttxoak" Type="http://schemas.openxmlformats.org/officeDocument/2006/relationships/hyperlink" Target="https://www.tourism.australia.com/signature" TargetMode="External"/><Relationship Id="rId4n6t8ve8w5lqikj8ttmgc" Type="http://schemas.openxmlformats.org/officeDocument/2006/relationships/hyperlink" Target="https://australianwildlifejourneys.com/plan-your-trip/signature-experiences-of-australia" TargetMode="External"/><Relationship Id="rIdplscdtf8bb8mnbbeqjxeq" Type="http://schemas.openxmlformats.org/officeDocument/2006/relationships/hyperlink" Target="https://mekongtourism.org/?p=26268" TargetMode="External"/><Relationship Id="rIdde1j4fy8urghgsg8qkump" Type="http://schemas.openxmlformats.org/officeDocument/2006/relationships/hyperlink" Target="https://www.mekongtourism.org/mtco-emc-media-release_02/" TargetMode="External"/><Relationship Id="rId62jqhpid9sf1pdlf6j3r-" Type="http://schemas.openxmlformats.org/officeDocument/2006/relationships/hyperlink" Target="https://www.africanparks.org/sites/default/files/0424%20-%20AP%202025%20Annual%20Report%20-%20Interactive%20-%20FINAL.pdf" TargetMode="External"/><Relationship Id="rIdbi02jgwwsrdvxsiwznb7h" Type="http://schemas.openxmlformats.org/officeDocument/2006/relationships/hyperlink" Target="https://www.biofund.org.mz/wp-content/uploads/2017/08/Baghai-Lindsey-Collaborative-Management-Models-in-Africa-July-17-.pdf" TargetMode="External"/><Relationship Id="rIddxl-qjjmnahxy69wcesy_" Type="http://schemas.openxmlformats.org/officeDocument/2006/relationships/hyperlink" Target="https://www.museumsassociation.org/museums-journal/news/2025/11/national-trust-reports-solid-financial-position-despite-economic-pressures/" TargetMode="External"/><Relationship Id="rIdai9-cdwv6nw-qa9qhlldc" Type="http://schemas.openxmlformats.org/officeDocument/2006/relationships/hyperlink" Target="https://www.nationaltrust.org.uk/services/media/surge-in-18-25-year-old-members" TargetMode="External"/><Relationship Id="rIdyafnijtqv1orvdcnu9c1v" Type="http://schemas.openxmlformats.org/officeDocument/2006/relationships/hyperlink" Target="https://rewildingeurope.com/blog/a-model-approach-building-nature-based-economies-through-rewilding/" TargetMode="External"/><Relationship Id="rIddmebdfcl6dm985bblhjdu" Type="http://schemas.openxmlformats.org/officeDocument/2006/relationships/hyperlink" Target="https://rewildingeurope.com/news/rewilding-europe-capital-supports-wildlife-watching-enterprise-in-western-iberia/" TargetMode="External"/><Relationship Id="rIdyvyseeejaggqgzkg1mkmr" Type="http://schemas.openxmlformats.org/officeDocument/2006/relationships/hyperlink" Target="https://www.fairplanet.org/editors-pick/rewilding-or-the-commodification-of-european-landscapes/" TargetMode="External"/><Relationship Id="rIdljtoo9qnezdp8ysyxf8lj" Type="http://schemas.openxmlformats.org/officeDocument/2006/relationships/hyperlink" Target="https://capetown.travel/visit-these-cape-town-attractions-year-round-at-a-fraction-of-the-price/" TargetMode="External"/><Relationship Id="rIdmxaegjyel-5xwqtqtuqlf" Type="http://schemas.openxmlformats.org/officeDocument/2006/relationships/hyperlink" Target="https://www.sanparks.org/news/media-release-sanparks-adjusts-its-wild-card-tariff-fees" TargetMode="External"/><Relationship Id="rIdl85vcrmijes3307k8khsk" Type="http://schemas.openxmlformats.org/officeDocument/2006/relationships/hyperlink" Target="https://www.farmersweekly.co.za/archive/ezemvelo-joins-wild-card" TargetMode="External"/><Relationship Id="rIdjgts-npfofuwc0amhydt2" Type="http://schemas.openxmlformats.org/officeDocument/2006/relationships/hyperlink" Target="https://www.ustravel.org/sites/default/files/2025-12/New_BrandUSA%20One-Pager_2025.pdf" TargetMode="External"/><Relationship Id="rIdz4rly5gfseon8z6o8z_o3" Type="http://schemas.openxmlformats.org/officeDocument/2006/relationships/hyperlink" Target="https://docs.house.gov/meetings/IF/IF17/20191029/110153/HHRG-116-IF17-Wstate-ThompsonC-20191029.pdf" TargetMode="External"/><Relationship Id="rId87ynhopfquz16bwtxdic9" Type="http://schemas.openxmlformats.org/officeDocument/2006/relationships/hyperlink" Target="https://www.ustravel.org/sites/default/files/media_root/Brand_USA-Emergency_Funding.pdf" TargetMode="External"/><Relationship Id="rIdjyhv91ogkwjj5w0xt1w-r" Type="http://schemas.openxmlformats.org/officeDocument/2006/relationships/hyperlink" Target="https://undp.org/node/28226" TargetMode="External"/><Relationship Id="rIdgrwlppfyvwo4d9g9qeyz0" Type="http://schemas.openxmlformats.org/officeDocument/2006/relationships/hyperlink" Target="https://www.dandad.org/annual/2020/entry/professional/231697" TargetMode="External"/><Relationship Id="rId10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 RFP 0032026: Research pass 1, benchmark scan (draft 2)</dc:title>
  <dc:creator>EY bid team</dc:creator>
  <cp:lastModifiedBy>Un-named</cp:lastModifiedBy>
  <cp:revision>1</cp:revision>
  <dcterms:created xsi:type="dcterms:W3CDTF">2026-09-19T12:02:11.392Z</dcterms:created>
  <dcterms:modified xsi:type="dcterms:W3CDTF">2026-09-19T12:02:11.392Z</dcterms:modified>
</cp:coreProperties>
</file>

<file path=docProps/custom.xml><?xml version="1.0" encoding="utf-8"?>
<Properties xmlns="http://schemas.openxmlformats.org/officeDocument/2006/custom-properties" xmlns:vt="http://schemas.openxmlformats.org/officeDocument/2006/docPropsVTypes"/>
</file>