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f15b6e05d94c4de89f7de028562ca92bbcdab60"/>
    <w:p>
      <w:pPr>
        <w:pStyle w:val="Heading1"/>
      </w:pPr>
      <w:r>
        <w:t xml:space="preserve">00 Summary: what the public evidence supports on AFS cost reduction through centralisation</w:t>
      </w:r>
    </w:p>
    <w:p>
      <w:pPr>
        <w:pStyle w:val="FirstParagraph"/>
      </w:pPr>
      <w:r>
        <w:t xml:space="preserve">Date: 7 October 2026. One page for the partner. Detail in 01_framework.md, 02_afs_cost_structure.md, 03_benchmark.md and afs_cost_benchmark.xlsx. Figures are FY2025, rand millions, IFRS 17, from Absa’s own disclosures unless stated. Hypothesis ranges are not targets.</w:t>
      </w:r>
    </w:p>
    <w:bookmarkStart w:id="20" w:name="what-the-evidence-supports"/>
    <w:p>
      <w:pPr>
        <w:pStyle w:val="Heading2"/>
      </w:pPr>
      <w:r>
        <w:t xml:space="preserve">What the evidence supports</w:t>
      </w:r>
    </w:p>
    <w:p>
      <w:pPr>
        <w:pStyle w:val="FirstParagraph"/>
      </w:pPr>
      <w:r>
        <w:t xml:space="preserve">AFS Insurance SA is a R9.1bn revenue business with R1.0bn of reported overhead, a further undisclosed block of attributable expense inside insurance service expenses bracketed at R0.4bn to R1.0bn, and an advice and investment arm that last reported R1.7bn of cost against R1.1bn of income. Against 29 peers, the reported overhead ratio of 11.5 percent of revenue is above the median of 6.8 percent, and the whole of that gap is in the non-life book (12.3 percent against a non-life median of 3.8 percent) and the insurance head office (R326m, growing, loss-making). On the comparable measure that includes attributable expenses, AFS sits just below the peer median and R563m short of top quartile. The non-life underwriting result is the best in the South African set before overhead and mid-pack after it. Acquisition cost is at peer top quartile once the R774m fee to Absa Bank is set aside. Twenty disclosed precedents show centralisation and efficiency programmes deliver 6 to 13 percent of an addressable base over two to three years.</w:t>
      </w:r>
    </w:p>
    <w:p>
      <w:pPr>
        <w:pStyle w:val="BodyText"/>
      </w:pPr>
      <w:r>
        <w:t xml:space="preserve">Two independent routes give the same order of magnitude. The benchmark gap on the opex pools is R210m to R556m. The precedent range on an addressable base of R3.5bn to R4.6bn is R211m to R594m. With claims leakage, reinsurance and trapped capital the envelope is R276m to R806m, base R505m, at a cost to achieve of R138m to R1 451m. The base case is about a third of Insurance SA profit before tax.</w:t>
      </w:r>
    </w:p>
    <w:bookmarkEnd w:id="20"/>
    <w:bookmarkStart w:id="21" w:name="what-the-evidence-does-not-support"/>
    <w:p>
      <w:pPr>
        <w:pStyle w:val="Heading2"/>
      </w:pPr>
      <w:r>
        <w:t xml:space="preserve">What the evidence does not support</w:t>
      </w:r>
    </w:p>
    <w:p>
      <w:pPr>
        <w:pStyle w:val="FirstParagraph"/>
      </w:pPr>
      <w:r>
        <w:t xml:space="preserve">It does not give the attributable expense split, headcount, policy counts, adviser numbers, expense by nature, group recharges, the reinsurance programme or FY2025 entity figures; the ten items only management information can close are listed in 02. It does not support treating the bank fee as a saving; it is a transfer price. It does not support the 40 percent cost-to-income ratio as a comparator; that is a bank metric on income after claims. It does not isolate the intermediary businesses after FY2023, because Absa stopped disclosing them. And the Insurance SA perimeter changed three times in three years, so no series can be read across booklets without the head office adjustment.</w:t>
      </w:r>
    </w:p>
    <w:bookmarkEnd w:id="21"/>
    <w:bookmarkStart w:id="22" w:name="X67ae55046b39d5342284d7e2c7f1efdadb81377"/>
    <w:p>
      <w:pPr>
        <w:pStyle w:val="Heading2"/>
      </w:pPr>
      <w:r>
        <w:t xml:space="preserve">The five strongest hypotheses for the point of view</w:t>
      </w:r>
    </w:p>
    <w:p>
      <w:pPr>
        <w:numPr>
          <w:ilvl w:val="0"/>
          <w:numId w:val="1001"/>
        </w:numPr>
      </w:pPr>
      <w:r>
        <w:t xml:space="preserve">The overhead problem is non-life and head office, not life. Non-Life SA carries R504m of non-attributable cost on R4.1bn of revenue, three times the peer ratio, while its underwriting is top of the set. Insurance HO adds R326m. A single policy administration and claims platform across Absa Life, Instant Life and AIC, and a head office stripped of duplicated licence and control-function cost, is where centralisation pays.</w:t>
      </w:r>
    </w:p>
    <w:p>
      <w:pPr>
        <w:numPr>
          <w:ilvl w:val="0"/>
          <w:numId w:val="1001"/>
        </w:numPr>
      </w:pPr>
      <w:r>
        <w:t xml:space="preserve">The intermediary block is the larger cost problem and the weaker disclosure. R1.7bn of cost on R1.1bn of income and a R389m headline loss in FY2023 is bigger than the underwriters’ entire reported overhead. A captive broker reference (BB Corretora) runs at 5.6 percent of revenue. Adviser productivity, FSP register consolidation and the economics of AIFA are a first-order question, and the first management information request.</w:t>
      </w:r>
    </w:p>
    <w:p>
      <w:pPr>
        <w:numPr>
          <w:ilvl w:val="0"/>
          <w:numId w:val="1001"/>
        </w:numPr>
      </w:pPr>
      <w:r>
        <w:t xml:space="preserve">Acquisition cost is a transfer-pricing question, not a saving. At 6.7 percent of revenue excluding the bank fee, AFS already acquires at top quartile. The fee is 56 percent of acquisition cash flows. The point of view must say where centralisation economics land, in AFS or in the bank, before it sizes anything in pool 2.</w:t>
      </w:r>
    </w:p>
    <w:p>
      <w:pPr>
        <w:numPr>
          <w:ilvl w:val="0"/>
          <w:numId w:val="1001"/>
        </w:numPr>
      </w:pPr>
      <w:r>
        <w:t xml:space="preserve">The combined ratio advantage is being spent on overhead. An 81.5 percent combined ratio before overhead and 93.8 percent after it means about 12 points of expense sit between a best-in-set underwriter and a mid-pack insurer. Claims leakage and reinsurance placement add R65m to R213m on top, and neither depends on centralisation.</w:t>
      </w:r>
    </w:p>
    <w:p>
      <w:pPr>
        <w:numPr>
          <w:ilvl w:val="0"/>
          <w:numId w:val="1001"/>
        </w:numPr>
      </w:pPr>
      <w:r>
        <w:t xml:space="preserve">The size of the prize is R280m to R810m run-rate, base R500m, with the structural levers worth R10m to R170m of economic capital on top. Precedents say expect to deliver at or above target in three years at 1.5 to 2 times cost to achieve if licences and platforms are consolidated, and 0.3 to 0.7 times if they are not. The licence constraints in 01 decide which of those two programmes this is.</w:t>
      </w:r>
    </w:p>
    <w:bookmarkEnd w:id="22"/>
    <w:bookmarkStart w:id="23" w:name="decisions-already-taken"/>
    <w:p>
      <w:pPr>
        <w:pStyle w:val="Heading2"/>
      </w:pPr>
      <w:r>
        <w:t xml:space="preserve">Decisions already taken</w:t>
      </w:r>
    </w:p>
    <w:p>
      <w:pPr>
        <w:pStyle w:val="FirstParagraph"/>
      </w:pPr>
      <w:r>
        <w:t xml:space="preserve">Perimeter is the AFS South African entities, with Kenya and the entities sold in 2025 stripped out. Cost of capital is in scope as a separate line. Policyholder-borne fees are out. Entity statements were pulled from public sources; none exist online for FY2025 and the KPMG survey fills FY2023 and FY2024. The peer set stands as specified, with Société Générale Assurances excluded for want of any retrievable disclosure.</w:t>
      </w:r>
    </w:p>
    <w:bookmarkEnd w:id="23"/>
    <w:bookmarkEnd w:id="24"/>
    <w:sectPr>
      <w:pgSz w:w="11906" w:h="16838"/>
      <w:pgMar w:top="1134" w:right="1418" w:bottom="1134" w:left="1418"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2026-10-07T15:47:55Z</dcterms:created>
  <dcterms:modified xsi:type="dcterms:W3CDTF">2026-10-07T15:47:55Z</dcterms:modified>
</cp:coreProperties>
</file>

<file path=docProps/custom.xml><?xml version="1.0" encoding="utf-8"?>
<Properties xmlns="http://schemas.openxmlformats.org/officeDocument/2006/custom-properties" xmlns:vt="http://schemas.openxmlformats.org/officeDocument/2006/docPropsVTypes"/>
</file>