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eer-benchmark-gap-sizing-and-precedents"/>
    <w:p>
      <w:pPr>
        <w:pStyle w:val="Heading1"/>
      </w:pPr>
      <w:r>
        <w:t xml:space="preserve">03 Peer benchmark, gap sizing and precedents</w:t>
      </w:r>
    </w:p>
    <w:p>
      <w:pPr>
        <w:pStyle w:val="FirstParagraph"/>
      </w:pPr>
      <w:r>
        <w:t xml:space="preserve">Phase 3 deliverable. Date: 7 October 2026. All figures are live on the Benchmark, Gap sizing and Normalisation tabs of</w:t>
      </w:r>
      <w:r>
        <w:t xml:space="preserve"> </w:t>
      </w:r>
      <w:r>
        <w:rPr>
          <w:rStyle w:val="VerbatimChar"/>
        </w:rPr>
        <w:t xml:space="preserve">afs_cost_benchmark.xlsx</w:t>
      </w:r>
      <w:r>
        <w:t xml:space="preserve">; every row carries the data_ids of its numerator and denominator. Rand conversions use ECB period-average reference rates. Lower is better for every cost ratio. The gap figures are a hypothesis range, not a target.</w:t>
      </w:r>
    </w:p>
    <w:bookmarkStart w:id="20" w:name="answer-first"/>
    <w:p>
      <w:pPr>
        <w:pStyle w:val="Heading2"/>
      </w:pPr>
      <w:r>
        <w:t xml:space="preserve">Answer first</w:t>
      </w:r>
    </w:p>
    <w:p>
      <w:pPr>
        <w:pStyle w:val="FirstParagraph"/>
      </w:pPr>
      <w:r>
        <w:t xml:space="preserve">On the comparable expense measure, AFS Insurance SA sits close to the peer median and well short of the top quartile. Total operating expenses excluding commission and claims are an estimated 19.5 percent of insurance revenue against a peer median of 22.1 percent and a top quartile of 13.3 percent across 15 IFRS 17 entities. The AFS figure rests on the assumed attributable expense share, so the comparison is only as good as that assumption. On the as-reported measure, non-attributable expenses of 11.5 percent of revenue are above the all-peer median of 6.8 percent, and the gap is entirely in the non-life book: Non-Life SA reports 12.3 percent against a non-life peer median of 3.8 percent, while Life SA at 4.0 percent is below its peer median of 13.8 percent.</w:t>
      </w:r>
    </w:p>
    <w:p>
      <w:pPr>
        <w:pStyle w:val="BodyText"/>
      </w:pPr>
      <w:r>
        <w:t xml:space="preserve">Acquisition cost is not the problem once the bank fee is set aside. Including the fee, AFS acquires at 10.8 percent of revenue on the amortised view and 15.3 percent on the cash view, against a composite peer median of 10.6 percent. Excluding the R774m to Absa Bank, the cash ratio is 6.7 percent, which is at the composite top quartile of 6.5 percent. The fee is a transfer price inside the group, so this is a question of where the economics land, not of saving.</w:t>
      </w:r>
    </w:p>
    <w:p>
      <w:pPr>
        <w:pStyle w:val="BodyText"/>
      </w:pPr>
      <w:r>
        <w:t xml:space="preserve">The non-life combined ratio tells the same story from the other side. Before non-attributable expenses, Non-Life SA runs at 81.5 percent against a South African non-life median of 89.5 percent, the best in the set. Including non-attributable expenses it is 93.8 percent against 93.0 percent, mid-pack. The underwriting is good and the overhead gives the advantage away.</w:t>
      </w:r>
    </w:p>
    <w:p>
      <w:pPr>
        <w:pStyle w:val="BodyText"/>
      </w:pPr>
      <w:r>
        <w:t xml:space="preserve">In rand, the gap to peer median is R420m on the as-reported opex measure, R349m of it in non-life, and nil on the comparable measure, where AFS is already below the median and the stretch to top quartile is R563m. Realised at the Normalisation factors this gives a benchmark hypothesis of R210m to R556m on the opex pools, which brackets the precedent-based hypothesis of R211m to R594m from the AFS cost base tab. The two routes agree to within the width of the assumptions. Twenty precedents with hard numbers show targets of 6 to 13 percent of the addressable base over two to three years, with delivery often above target, at a cost to achieve of 0.25 to 0.7 times run-rate savings for headcount and procurement programmes and 1.5 to 2 times where platforms or licences are consolidated.</w:t>
      </w:r>
    </w:p>
    <w:bookmarkEnd w:id="20"/>
    <w:bookmarkStart w:id="21" w:name="peer-set-as-researched"/>
    <w:p>
      <w:pPr>
        <w:pStyle w:val="Heading2"/>
      </w:pPr>
      <w:r>
        <w:t xml:space="preserve">1. Peer set as researched</w:t>
      </w:r>
    </w:p>
    <w:p>
      <w:pPr>
        <w:pStyle w:val="FirstParagraph"/>
      </w:pPr>
      <w:r>
        <w:t xml:space="preserve">The set stands as specified. Standard Bank is shown with Liberty (the consolidated group lines) and as Liberty alone, and the consolidated row is excluded from the medians to avoid double counting. Two changes are forced by disclosure. Société Générale Assurances yielded no figures: its sites refused every retrieval and only the regulatory availability notice was obtained, so it is excluded with the document names recorded for a later attempt. Itaú’s insurance segment discloses only claims and revenue lines and is excluded from the expense ratios. Discovery is represented by Discovery Life and Discovery Insure rather than the group, because the group’s marketing and administration expenses are dominated by the medical scheme administration business, which has no insurance revenue to match. Hollard’s latest statements are FY2023 on IFRS 4, so its IFRS 17 rows come from the KPMG survey for FY2024. Capitec Life is included but its ratios reflect a young funeral and credit life book sold through the bank, with the channel cost sitting in the bank.</w:t>
      </w:r>
    </w:p>
    <w:p>
      <w:pPr>
        <w:pStyle w:val="BodyText"/>
      </w:pPr>
      <w:r>
        <w:t xml:space="preserve">Disclosure depth sets what can be compared. Every South African peer and every European peer reports IFRS 17 insurance revenue and insurance service expenses, so M1, M3 and M5 are broadly populated. The comparable expense ratio M2 needs total operating expenses by nature, which 15 entities give. Policy counts, headcount and adviser numbers are patchy; AFS discloses none, so M6 to M8 are context only. No entity discloses claims handling cost separately, and the European Solvency II reports published since 2023 show only total expenses by line of business, so the claims handling cost ratio could not be benchmarked and is a management information item. The Solvency II expense splits by type that would have given it stopped being published with the 2023 reporting changes.</w:t>
      </w:r>
    </w:p>
    <w:bookmarkEnd w:id="21"/>
    <w:bookmarkStart w:id="22" w:name="normalisation"/>
    <w:p>
      <w:pPr>
        <w:pStyle w:val="Heading2"/>
      </w:pPr>
      <w:r>
        <w:t xml:space="preserve">2. Normalisation</w:t>
      </w:r>
    </w:p>
    <w:p>
      <w:pPr>
        <w:pStyle w:val="FirstParagraph"/>
      </w:pPr>
      <w:r>
        <w:t xml:space="preserve">Each row on the Benchmark tab shows the raw ratio, a factor and an adjustment (inputs, default 1.0 and 0), the normalised value, and an include flag. The rules are set out on the Normalisation tab and summarised here. Accounting basis: IFRS 17 and MFRS 17 rows enter the medians; Brazilian GAAP, IRDAI GAAP and IFRS 4 rows are shown raw and excluded, unless the metric is defined on gross written premium (M4). Business mix: rows are tagged life, non-life, composite or intermediary and the summary statistics are computed for each group, so Life SA is read against life peers, Non-Life SA against non-life peers, and Insurance SA against composites and the whole set. The savings-heavy European bancassurers are excluded from the acquisition medians, since their commissions are on unit-linked and savings volumes. Captive versus open distribution: tagged, not adjusted; the AFS acquisition ratio is shown with and without the bank fee, and Liberty’s bancassurance profit share to Standard Bank is excluded as a profit transfer. Scale and financial year-end: tagged, not adjusted; the latest full year is used for each peer and interims are not annualised. Attributable allocation: the as-reported non-attributable measure (M1) is kept because it is what the market sees, but it is unreliable across entities because OUTsurance pushes about 90 percent of its operating expenses into insurance service expenses and Sanlam about a third. M2 is the comparable measure, and for AFS it depends on the attributable assumption.</w:t>
      </w:r>
    </w:p>
    <w:bookmarkEnd w:id="22"/>
    <w:bookmarkStart w:id="37" w:name="benchmark-tables"/>
    <w:p>
      <w:pPr>
        <w:pStyle w:val="Heading2"/>
      </w:pPr>
      <w:r>
        <w:t xml:space="preserve">3. Benchmark tables</w:t>
      </w:r>
    </w:p>
    <w:bookmarkStart w:id="23" w:name="Xe3926e43d7a0c22903269ba3aaec4266a8c0d59"/>
    <w:p>
      <w:pPr>
        <w:pStyle w:val="Heading4"/>
      </w:pPr>
      <w:r>
        <w:t xml:space="preserve">M1: Non-attributable operating expenses / insurance revenue (as reported)</w:t>
      </w:r>
    </w:p>
    <w:tbl>
      <w:tblPr>
        <w:tblStyle w:val="Table"/>
        <w:tblLook w:firstRow="1" w:lastRow="0" w:firstColumn="0" w:lastColumn="0" w:noHBand="0" w:noVBand="0" w:val="0020"/>
        <w:jc w:val="start"/>
        <w:tblW w:w="14566" w:type="dxa"/>
        <w:tblLayout w:type="fixed"/>
      </w:tblPr>
      <w:tblGrid>
        <w:gridCol w:w="3343"/>
        <w:gridCol w:w="696"/>
        <w:gridCol w:w="895"/>
        <w:gridCol w:w="3582"/>
        <w:gridCol w:w="2269"/>
        <w:gridCol w:w="1194"/>
        <w:gridCol w:w="597"/>
        <w:gridCol w:w="995"/>
        <w:gridCol w:w="995"/>
      </w:tblGrid>
      <w:tr>
        <w:trPr>
          <w:tblHeader w:val="true"/>
        </w:trPr>
        <w:tc>
          <w:tcPr>
            <w:tcW w:w="3343" w:type="dxa"/>
          </w:tcPr>
          <w:p>
            <w:pPr>
              <w:pStyle w:val="Compact"/>
              <w:jc w:val="left"/>
              <w:spacing w:before="20" w:after="20" w:line="220" w:lineRule="auto"/>
            </w:pPr>
            <w:r>
              <w:rPr>
                <w:sz w:val="15"/>
                <w:szCs w:val="15"/>
              </w:rPr>
              <w:t xml:space="preserve">Entity</w:t>
            </w:r>
          </w:p>
        </w:tc>
        <w:tc>
          <w:tcPr>
            <w:tcW w:w="696" w:type="dxa"/>
          </w:tcPr>
          <w:p>
            <w:pPr>
              <w:pStyle w:val="Compact"/>
              <w:jc w:val="left"/>
              <w:spacing w:before="20" w:after="20" w:line="220" w:lineRule="auto"/>
            </w:pPr>
            <w:r>
              <w:rPr>
                <w:sz w:val="15"/>
                <w:szCs w:val="15"/>
              </w:rPr>
              <w:t xml:space="preserve">Cluster</w:t>
            </w:r>
          </w:p>
        </w:tc>
        <w:tc>
          <w:tcPr>
            <w:tcW w:w="895" w:type="dxa"/>
          </w:tcPr>
          <w:p>
            <w:pPr>
              <w:pStyle w:val="Compact"/>
              <w:jc w:val="left"/>
              <w:spacing w:before="20" w:after="20" w:line="220" w:lineRule="auto"/>
            </w:pPr>
            <w:r>
              <w:rPr>
                <w:sz w:val="15"/>
                <w:szCs w:val="15"/>
              </w:rPr>
              <w:t xml:space="preserve">Mix</w:t>
            </w:r>
          </w:p>
        </w:tc>
        <w:tc>
          <w:tcPr>
            <w:tcW w:w="3582" w:type="dxa"/>
          </w:tcPr>
          <w:p>
            <w:pPr>
              <w:pStyle w:val="Compact"/>
              <w:jc w:val="left"/>
              <w:spacing w:before="20" w:after="20" w:line="220" w:lineRule="auto"/>
            </w:pPr>
            <w:r>
              <w:rPr>
                <w:sz w:val="15"/>
                <w:szCs w:val="15"/>
              </w:rPr>
              <w:t xml:space="preserve">Distribution</w:t>
            </w:r>
          </w:p>
        </w:tc>
        <w:tc>
          <w:tcPr>
            <w:tcW w:w="2269" w:type="dxa"/>
          </w:tcPr>
          <w:p>
            <w:pPr>
              <w:pStyle w:val="Compact"/>
              <w:jc w:val="left"/>
              <w:spacing w:before="20" w:after="20" w:line="220" w:lineRule="auto"/>
            </w:pPr>
            <w:r>
              <w:rPr>
                <w:sz w:val="15"/>
                <w:szCs w:val="15"/>
              </w:rPr>
              <w:t xml:space="preserve">Basis</w:t>
            </w:r>
          </w:p>
        </w:tc>
        <w:tc>
          <w:tcPr>
            <w:tcW w:w="1194" w:type="dxa"/>
          </w:tcPr>
          <w:p>
            <w:pPr>
              <w:pStyle w:val="Compact"/>
              <w:jc w:val="left"/>
              <w:spacing w:before="20" w:after="20" w:line="220" w:lineRule="auto"/>
            </w:pPr>
            <w:r>
              <w:rPr>
                <w:sz w:val="15"/>
                <w:szCs w:val="15"/>
              </w:rPr>
              <w:t xml:space="preserve">Period</w:t>
            </w:r>
          </w:p>
        </w:tc>
        <w:tc>
          <w:tcPr>
            <w:tcW w:w="597" w:type="dxa"/>
          </w:tcPr>
          <w:p>
            <w:pPr>
              <w:pStyle w:val="Compact"/>
              <w:jc w:val="left"/>
              <w:spacing w:before="20" w:after="20" w:line="220" w:lineRule="auto"/>
            </w:pPr>
            <w:r>
              <w:rPr>
                <w:sz w:val="15"/>
                <w:szCs w:val="15"/>
              </w:rPr>
              <w:t xml:space="preserve">Raw</w:t>
            </w:r>
          </w:p>
        </w:tc>
        <w:tc>
          <w:tcPr>
            <w:tcW w:w="995" w:type="dxa"/>
          </w:tcPr>
          <w:p>
            <w:pPr>
              <w:pStyle w:val="Compact"/>
              <w:jc w:val="left"/>
              <w:spacing w:before="20" w:after="20" w:line="220" w:lineRule="auto"/>
            </w:pPr>
            <w:r>
              <w:rPr>
                <w:sz w:val="15"/>
                <w:szCs w:val="15"/>
              </w:rPr>
              <w:t xml:space="preserve">Normalised</w:t>
            </w:r>
          </w:p>
        </w:tc>
        <w:tc>
          <w:tcPr>
            <w:tcW w:w="995" w:type="dxa"/>
          </w:tcPr>
          <w:p>
            <w:pPr>
              <w:pStyle w:val="Compact"/>
              <w:jc w:val="left"/>
              <w:spacing w:before="20" w:after="20" w:line="220" w:lineRule="auto"/>
            </w:pPr>
            <w:r>
              <w:rPr>
                <w:sz w:val="15"/>
                <w:szCs w:val="15"/>
              </w:rPr>
              <w:t xml:space="preserve">In medians</w:t>
            </w:r>
          </w:p>
        </w:tc>
      </w:tr>
      <w:tr>
        <w:tc>
          <w:tcPr>
            <w:tcW w:w="3343" w:type="dxa"/>
          </w:tcPr>
          <w:p>
            <w:pPr>
              <w:pStyle w:val="Compact"/>
              <w:jc w:val="left"/>
              <w:spacing w:before="20" w:after="20" w:line="220" w:lineRule="auto"/>
            </w:pPr>
            <w:r>
              <w:rPr>
                <w:sz w:val="15"/>
                <w:szCs w:val="15"/>
              </w:rPr>
              <w:t xml:space="preserve">AFS Life Insurance SA</w:t>
            </w:r>
          </w:p>
        </w:tc>
        <w:tc>
          <w:tcPr>
            <w:tcW w:w="696" w:type="dxa"/>
          </w:tcPr>
          <w:p>
            <w:pPr>
              <w:pStyle w:val="Compact"/>
              <w:jc w:val="left"/>
              <w:spacing w:before="20" w:after="20" w:line="220" w:lineRule="auto"/>
            </w:pPr>
            <w:r>
              <w:rPr>
                <w:sz w:val="15"/>
                <w:szCs w:val="15"/>
              </w:rPr>
              <w:t xml:space="preserve">AFS</w:t>
            </w:r>
          </w:p>
        </w:tc>
        <w:tc>
          <w:tcPr>
            <w:tcW w:w="895" w:type="dxa"/>
          </w:tcPr>
          <w:p>
            <w:pPr>
              <w:pStyle w:val="Compact"/>
              <w:jc w:val="left"/>
              <w:spacing w:before="20" w:after="20" w:line="220" w:lineRule="auto"/>
            </w:pPr>
            <w:r>
              <w:rPr>
                <w:sz w:val="15"/>
                <w:szCs w:val="15"/>
              </w:rPr>
              <w:t xml:space="preserve">life</w:t>
            </w:r>
          </w:p>
        </w:tc>
        <w:tc>
          <w:tcPr>
            <w:tcW w:w="3582" w:type="dxa"/>
          </w:tcPr>
          <w:p>
            <w:pPr>
              <w:pStyle w:val="Compact"/>
              <w:jc w:val="left"/>
              <w:spacing w:before="20" w:after="20" w:line="220" w:lineRule="auto"/>
            </w:pPr>
            <w:r>
              <w:rPr>
                <w:sz w:val="15"/>
                <w:szCs w:val="15"/>
              </w:rPr>
              <w:t xml:space="preserve">bank captive</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FY2025 (Dec)</w:t>
            </w:r>
          </w:p>
        </w:tc>
        <w:tc>
          <w:tcPr>
            <w:tcW w:w="597" w:type="dxa"/>
          </w:tcPr>
          <w:p>
            <w:pPr>
              <w:pStyle w:val="Compact"/>
              <w:jc w:val="left"/>
              <w:spacing w:before="20" w:after="20" w:line="220" w:lineRule="auto"/>
            </w:pPr>
            <w:r>
              <w:rPr>
                <w:sz w:val="15"/>
                <w:szCs w:val="15"/>
              </w:rPr>
              <w:t xml:space="preserve">4.0%</w:t>
            </w:r>
          </w:p>
        </w:tc>
        <w:tc>
          <w:tcPr>
            <w:tcW w:w="995" w:type="dxa"/>
          </w:tcPr>
          <w:p>
            <w:pPr>
              <w:pStyle w:val="Compact"/>
              <w:jc w:val="left"/>
              <w:spacing w:before="20" w:after="20" w:line="220" w:lineRule="auto"/>
            </w:pPr>
            <w:r>
              <w:rPr>
                <w:sz w:val="15"/>
                <w:szCs w:val="15"/>
              </w:rPr>
              <w:t xml:space="preserve">4.0%</w:t>
            </w:r>
          </w:p>
        </w:tc>
        <w:tc>
          <w:tcPr>
            <w:tcW w:w="995" w:type="dxa"/>
          </w:tcPr>
          <w:p>
            <w:pPr>
              <w:pStyle w:val="Compact"/>
              <w:jc w:val="left"/>
              <w:spacing w:before="20" w:after="20" w:line="220" w:lineRule="auto"/>
            </w:pPr>
            <w:r>
              <w:rPr>
                <w:sz w:val="15"/>
                <w:szCs w:val="15"/>
              </w:rPr>
              <w:t xml:space="preserve">no</w:t>
            </w:r>
          </w:p>
        </w:tc>
      </w:tr>
      <w:tr>
        <w:tc>
          <w:tcPr>
            <w:tcW w:w="3343" w:type="dxa"/>
          </w:tcPr>
          <w:p>
            <w:pPr>
              <w:pStyle w:val="Compact"/>
              <w:jc w:val="left"/>
              <w:spacing w:before="20" w:after="20" w:line="220" w:lineRule="auto"/>
            </w:pPr>
            <w:r>
              <w:rPr>
                <w:sz w:val="15"/>
                <w:szCs w:val="15"/>
              </w:rPr>
              <w:t xml:space="preserve">AFS Non-Life Insurance SA</w:t>
            </w:r>
          </w:p>
        </w:tc>
        <w:tc>
          <w:tcPr>
            <w:tcW w:w="696" w:type="dxa"/>
          </w:tcPr>
          <w:p>
            <w:pPr>
              <w:pStyle w:val="Compact"/>
              <w:jc w:val="left"/>
              <w:spacing w:before="20" w:after="20" w:line="220" w:lineRule="auto"/>
            </w:pPr>
            <w:r>
              <w:rPr>
                <w:sz w:val="15"/>
                <w:szCs w:val="15"/>
              </w:rPr>
              <w:t xml:space="preserve">AFS</w:t>
            </w:r>
          </w:p>
        </w:tc>
        <w:tc>
          <w:tcPr>
            <w:tcW w:w="895" w:type="dxa"/>
          </w:tcPr>
          <w:p>
            <w:pPr>
              <w:pStyle w:val="Compact"/>
              <w:jc w:val="left"/>
              <w:spacing w:before="20" w:after="20" w:line="220" w:lineRule="auto"/>
            </w:pPr>
            <w:r>
              <w:rPr>
                <w:sz w:val="15"/>
                <w:szCs w:val="15"/>
              </w:rPr>
              <w:t xml:space="preserve">nonlife</w:t>
            </w:r>
          </w:p>
        </w:tc>
        <w:tc>
          <w:tcPr>
            <w:tcW w:w="3582" w:type="dxa"/>
          </w:tcPr>
          <w:p>
            <w:pPr>
              <w:pStyle w:val="Compact"/>
              <w:jc w:val="left"/>
              <w:spacing w:before="20" w:after="20" w:line="220" w:lineRule="auto"/>
            </w:pPr>
            <w:r>
              <w:rPr>
                <w:sz w:val="15"/>
                <w:szCs w:val="15"/>
              </w:rPr>
              <w:t xml:space="preserve">bank captive</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FY2025 (Dec)</w:t>
            </w:r>
          </w:p>
        </w:tc>
        <w:tc>
          <w:tcPr>
            <w:tcW w:w="597" w:type="dxa"/>
          </w:tcPr>
          <w:p>
            <w:pPr>
              <w:pStyle w:val="Compact"/>
              <w:jc w:val="left"/>
              <w:spacing w:before="20" w:after="20" w:line="220" w:lineRule="auto"/>
            </w:pPr>
            <w:r>
              <w:rPr>
                <w:sz w:val="15"/>
                <w:szCs w:val="15"/>
              </w:rPr>
              <w:t xml:space="preserve">12.3%</w:t>
            </w:r>
          </w:p>
        </w:tc>
        <w:tc>
          <w:tcPr>
            <w:tcW w:w="995" w:type="dxa"/>
          </w:tcPr>
          <w:p>
            <w:pPr>
              <w:pStyle w:val="Compact"/>
              <w:jc w:val="left"/>
              <w:spacing w:before="20" w:after="20" w:line="220" w:lineRule="auto"/>
            </w:pPr>
            <w:r>
              <w:rPr>
                <w:sz w:val="15"/>
                <w:szCs w:val="15"/>
              </w:rPr>
              <w:t xml:space="preserve">12.3%</w:t>
            </w:r>
          </w:p>
        </w:tc>
        <w:tc>
          <w:tcPr>
            <w:tcW w:w="995" w:type="dxa"/>
          </w:tcPr>
          <w:p>
            <w:pPr>
              <w:pStyle w:val="Compact"/>
              <w:jc w:val="left"/>
              <w:spacing w:before="20" w:after="20" w:line="220" w:lineRule="auto"/>
            </w:pPr>
            <w:r>
              <w:rPr>
                <w:sz w:val="15"/>
                <w:szCs w:val="15"/>
              </w:rPr>
              <w:t xml:space="preserve">no</w:t>
            </w:r>
          </w:p>
        </w:tc>
      </w:tr>
      <w:tr>
        <w:tc>
          <w:tcPr>
            <w:tcW w:w="3343" w:type="dxa"/>
          </w:tcPr>
          <w:p>
            <w:pPr>
              <w:pStyle w:val="Compact"/>
              <w:jc w:val="left"/>
              <w:spacing w:before="20" w:after="20" w:line="220" w:lineRule="auto"/>
            </w:pPr>
            <w:r>
              <w:rPr>
                <w:sz w:val="15"/>
                <w:szCs w:val="15"/>
              </w:rPr>
              <w:t xml:space="preserve">AFS Insurance SA (Absa Life, AIC, ARTIC, HO)</w:t>
            </w:r>
          </w:p>
        </w:tc>
        <w:tc>
          <w:tcPr>
            <w:tcW w:w="696" w:type="dxa"/>
          </w:tcPr>
          <w:p>
            <w:pPr>
              <w:pStyle w:val="Compact"/>
              <w:jc w:val="left"/>
              <w:spacing w:before="20" w:after="20" w:line="220" w:lineRule="auto"/>
            </w:pPr>
            <w:r>
              <w:rPr>
                <w:sz w:val="15"/>
                <w:szCs w:val="15"/>
              </w:rPr>
              <w:t xml:space="preserve">AFS</w:t>
            </w:r>
          </w:p>
        </w:tc>
        <w:tc>
          <w:tcPr>
            <w:tcW w:w="895" w:type="dxa"/>
          </w:tcPr>
          <w:p>
            <w:pPr>
              <w:pStyle w:val="Compact"/>
              <w:jc w:val="left"/>
              <w:spacing w:before="20" w:after="20" w:line="220" w:lineRule="auto"/>
            </w:pPr>
            <w:r>
              <w:rPr>
                <w:sz w:val="15"/>
                <w:szCs w:val="15"/>
              </w:rPr>
              <w:t xml:space="preserve">composite</w:t>
            </w:r>
          </w:p>
        </w:tc>
        <w:tc>
          <w:tcPr>
            <w:tcW w:w="3582" w:type="dxa"/>
          </w:tcPr>
          <w:p>
            <w:pPr>
              <w:pStyle w:val="Compact"/>
              <w:jc w:val="left"/>
              <w:spacing w:before="20" w:after="20" w:line="220" w:lineRule="auto"/>
            </w:pPr>
            <w:r>
              <w:rPr>
                <w:sz w:val="15"/>
                <w:szCs w:val="15"/>
              </w:rPr>
              <w:t xml:space="preserve">bank captive</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FY2025 (Dec)</w:t>
            </w:r>
          </w:p>
        </w:tc>
        <w:tc>
          <w:tcPr>
            <w:tcW w:w="597" w:type="dxa"/>
          </w:tcPr>
          <w:p>
            <w:pPr>
              <w:pStyle w:val="Compact"/>
              <w:jc w:val="left"/>
              <w:spacing w:before="20" w:after="20" w:line="220" w:lineRule="auto"/>
            </w:pPr>
            <w:r>
              <w:rPr>
                <w:sz w:val="15"/>
                <w:szCs w:val="15"/>
              </w:rPr>
              <w:t xml:space="preserve">11.5%</w:t>
            </w:r>
          </w:p>
        </w:tc>
        <w:tc>
          <w:tcPr>
            <w:tcW w:w="995" w:type="dxa"/>
          </w:tcPr>
          <w:p>
            <w:pPr>
              <w:pStyle w:val="Compact"/>
              <w:jc w:val="left"/>
              <w:spacing w:before="20" w:after="20" w:line="220" w:lineRule="auto"/>
            </w:pPr>
            <w:r>
              <w:rPr>
                <w:sz w:val="15"/>
                <w:szCs w:val="15"/>
              </w:rPr>
              <w:t xml:space="preserve">11.5%</w:t>
            </w:r>
          </w:p>
        </w:tc>
        <w:tc>
          <w:tcPr>
            <w:tcW w:w="995" w:type="dxa"/>
          </w:tcPr>
          <w:p>
            <w:pPr>
              <w:pStyle w:val="Compact"/>
              <w:jc w:val="left"/>
              <w:spacing w:before="20" w:after="20" w:line="220" w:lineRule="auto"/>
            </w:pPr>
            <w:r>
              <w:rPr>
                <w:sz w:val="15"/>
                <w:szCs w:val="15"/>
              </w:rPr>
              <w:t xml:space="preserve">no</w:t>
            </w:r>
          </w:p>
        </w:tc>
      </w:tr>
      <w:tr>
        <w:tc>
          <w:tcPr>
            <w:tcW w:w="3343" w:type="dxa"/>
          </w:tcPr>
          <w:p>
            <w:pPr>
              <w:pStyle w:val="Compact"/>
              <w:jc w:val="left"/>
              <w:spacing w:before="20" w:after="20" w:line="220" w:lineRule="auto"/>
            </w:pPr>
            <w:r>
              <w:rPr>
                <w:sz w:val="15"/>
                <w:szCs w:val="15"/>
              </w:rPr>
              <w:t xml:space="preserve">Capitec Life (Capitec)</w:t>
            </w:r>
          </w:p>
        </w:tc>
        <w:tc>
          <w:tcPr>
            <w:tcW w:w="696" w:type="dxa"/>
          </w:tcPr>
          <w:p>
            <w:pPr>
              <w:pStyle w:val="Compact"/>
              <w:jc w:val="left"/>
              <w:spacing w:before="20" w:after="20" w:line="220" w:lineRule="auto"/>
            </w:pPr>
            <w:r>
              <w:rPr>
                <w:sz w:val="15"/>
                <w:szCs w:val="15"/>
              </w:rPr>
              <w:t xml:space="preserve">LB</w:t>
            </w:r>
          </w:p>
        </w:tc>
        <w:tc>
          <w:tcPr>
            <w:tcW w:w="895" w:type="dxa"/>
          </w:tcPr>
          <w:p>
            <w:pPr>
              <w:pStyle w:val="Compact"/>
              <w:jc w:val="left"/>
              <w:spacing w:before="20" w:after="20" w:line="220" w:lineRule="auto"/>
            </w:pPr>
            <w:r>
              <w:rPr>
                <w:sz w:val="15"/>
                <w:szCs w:val="15"/>
              </w:rPr>
              <w:t xml:space="preserve">life</w:t>
            </w:r>
          </w:p>
        </w:tc>
        <w:tc>
          <w:tcPr>
            <w:tcW w:w="3582" w:type="dxa"/>
          </w:tcPr>
          <w:p>
            <w:pPr>
              <w:pStyle w:val="Compact"/>
              <w:jc w:val="left"/>
              <w:spacing w:before="20" w:after="20" w:line="220" w:lineRule="auto"/>
            </w:pPr>
            <w:r>
              <w:rPr>
                <w:sz w:val="15"/>
                <w:szCs w:val="15"/>
              </w:rPr>
              <w:t xml:space="preserve">bank captive</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FY2026 (Feb)</w:t>
            </w:r>
          </w:p>
        </w:tc>
        <w:tc>
          <w:tcPr>
            <w:tcW w:w="597" w:type="dxa"/>
          </w:tcPr>
          <w:p>
            <w:pPr>
              <w:pStyle w:val="Compact"/>
              <w:jc w:val="left"/>
              <w:spacing w:before="20" w:after="20" w:line="220" w:lineRule="auto"/>
            </w:pPr>
            <w:r>
              <w:rPr>
                <w:sz w:val="15"/>
                <w:szCs w:val="15"/>
              </w:rPr>
              <w:t xml:space="preserve">1.8%</w:t>
            </w:r>
          </w:p>
        </w:tc>
        <w:tc>
          <w:tcPr>
            <w:tcW w:w="995" w:type="dxa"/>
          </w:tcPr>
          <w:p>
            <w:pPr>
              <w:pStyle w:val="Compact"/>
              <w:jc w:val="left"/>
              <w:spacing w:before="20" w:after="20" w:line="220" w:lineRule="auto"/>
            </w:pPr>
            <w:r>
              <w:rPr>
                <w:sz w:val="15"/>
                <w:szCs w:val="15"/>
              </w:rPr>
              <w:t xml:space="preserve">1.8%</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Discovery Life</w:t>
            </w:r>
          </w:p>
        </w:tc>
        <w:tc>
          <w:tcPr>
            <w:tcW w:w="696" w:type="dxa"/>
          </w:tcPr>
          <w:p>
            <w:pPr>
              <w:pStyle w:val="Compact"/>
              <w:jc w:val="left"/>
              <w:spacing w:before="20" w:after="20" w:line="220" w:lineRule="auto"/>
            </w:pPr>
            <w:r>
              <w:rPr>
                <w:sz w:val="15"/>
                <w:szCs w:val="15"/>
              </w:rPr>
              <w:t xml:space="preserve">LN</w:t>
            </w:r>
          </w:p>
        </w:tc>
        <w:tc>
          <w:tcPr>
            <w:tcW w:w="895" w:type="dxa"/>
          </w:tcPr>
          <w:p>
            <w:pPr>
              <w:pStyle w:val="Compact"/>
              <w:jc w:val="left"/>
              <w:spacing w:before="20" w:after="20" w:line="220" w:lineRule="auto"/>
            </w:pPr>
            <w:r>
              <w:rPr>
                <w:sz w:val="15"/>
                <w:szCs w:val="15"/>
              </w:rPr>
              <w:t xml:space="preserve">life</w:t>
            </w:r>
          </w:p>
        </w:tc>
        <w:tc>
          <w:tcPr>
            <w:tcW w:w="3582" w:type="dxa"/>
          </w:tcPr>
          <w:p>
            <w:pPr>
              <w:pStyle w:val="Compact"/>
              <w:jc w:val="left"/>
              <w:spacing w:before="20" w:after="20" w:line="220" w:lineRule="auto"/>
            </w:pPr>
            <w:r>
              <w:rPr>
                <w:sz w:val="15"/>
                <w:szCs w:val="15"/>
              </w:rPr>
              <w:t xml:space="preserve">open: brokers, tied</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FY2026 (Jun)</w:t>
            </w:r>
          </w:p>
        </w:tc>
        <w:tc>
          <w:tcPr>
            <w:tcW w:w="597" w:type="dxa"/>
          </w:tcPr>
          <w:p>
            <w:pPr>
              <w:pStyle w:val="Compact"/>
              <w:jc w:val="left"/>
              <w:spacing w:before="20" w:after="20" w:line="220" w:lineRule="auto"/>
            </w:pPr>
            <w:r>
              <w:rPr>
                <w:sz w:val="15"/>
                <w:szCs w:val="15"/>
              </w:rPr>
              <w:t xml:space="preserve">4.2%</w:t>
            </w:r>
          </w:p>
        </w:tc>
        <w:tc>
          <w:tcPr>
            <w:tcW w:w="995" w:type="dxa"/>
          </w:tcPr>
          <w:p>
            <w:pPr>
              <w:pStyle w:val="Compact"/>
              <w:jc w:val="left"/>
              <w:spacing w:before="20" w:after="20" w:line="220" w:lineRule="auto"/>
            </w:pPr>
            <w:r>
              <w:rPr>
                <w:sz w:val="15"/>
                <w:szCs w:val="15"/>
              </w:rPr>
              <w:t xml:space="preserve">4.2%</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Hollard Life Assurance</w:t>
            </w:r>
          </w:p>
        </w:tc>
        <w:tc>
          <w:tcPr>
            <w:tcW w:w="696" w:type="dxa"/>
          </w:tcPr>
          <w:p>
            <w:pPr>
              <w:pStyle w:val="Compact"/>
              <w:jc w:val="left"/>
              <w:spacing w:before="20" w:after="20" w:line="220" w:lineRule="auto"/>
            </w:pPr>
            <w:r>
              <w:rPr>
                <w:sz w:val="15"/>
                <w:szCs w:val="15"/>
              </w:rPr>
              <w:t xml:space="preserve">LN</w:t>
            </w:r>
          </w:p>
        </w:tc>
        <w:tc>
          <w:tcPr>
            <w:tcW w:w="895" w:type="dxa"/>
          </w:tcPr>
          <w:p>
            <w:pPr>
              <w:pStyle w:val="Compact"/>
              <w:jc w:val="left"/>
              <w:spacing w:before="20" w:after="20" w:line="220" w:lineRule="auto"/>
            </w:pPr>
            <w:r>
              <w:rPr>
                <w:sz w:val="15"/>
                <w:szCs w:val="15"/>
              </w:rPr>
              <w:t xml:space="preserve">life</w:t>
            </w:r>
          </w:p>
        </w:tc>
        <w:tc>
          <w:tcPr>
            <w:tcW w:w="3582" w:type="dxa"/>
          </w:tcPr>
          <w:p>
            <w:pPr>
              <w:pStyle w:val="Compact"/>
              <w:jc w:val="left"/>
              <w:spacing w:before="20" w:after="20" w:line="220" w:lineRule="auto"/>
            </w:pPr>
            <w:r>
              <w:rPr>
                <w:sz w:val="15"/>
                <w:szCs w:val="15"/>
              </w:rPr>
              <w:t xml:space="preserve">open: partnerships, brokers</w:t>
            </w:r>
          </w:p>
        </w:tc>
        <w:tc>
          <w:tcPr>
            <w:tcW w:w="2269" w:type="dxa"/>
          </w:tcPr>
          <w:p>
            <w:pPr>
              <w:pStyle w:val="Compact"/>
              <w:jc w:val="left"/>
              <w:spacing w:before="20" w:after="20" w:line="220" w:lineRule="auto"/>
            </w:pPr>
            <w:r>
              <w:rPr>
                <w:sz w:val="15"/>
                <w:szCs w:val="15"/>
              </w:rPr>
              <w:t xml:space="preserve">IFRS 17 (KPMG survey, company)</w:t>
            </w:r>
          </w:p>
        </w:tc>
        <w:tc>
          <w:tcPr>
            <w:tcW w:w="1194" w:type="dxa"/>
          </w:tcPr>
          <w:p>
            <w:pPr>
              <w:pStyle w:val="Compact"/>
              <w:jc w:val="left"/>
              <w:spacing w:before="20" w:after="20" w:line="220" w:lineRule="auto"/>
            </w:pPr>
            <w:r>
              <w:rPr>
                <w:sz w:val="15"/>
                <w:szCs w:val="15"/>
              </w:rPr>
              <w:t xml:space="preserve">FY2024 (Jun)</w:t>
            </w:r>
          </w:p>
        </w:tc>
        <w:tc>
          <w:tcPr>
            <w:tcW w:w="597" w:type="dxa"/>
          </w:tcPr>
          <w:p>
            <w:pPr>
              <w:pStyle w:val="Compact"/>
              <w:jc w:val="left"/>
              <w:spacing w:before="20" w:after="20" w:line="220" w:lineRule="auto"/>
            </w:pPr>
            <w:r>
              <w:rPr>
                <w:sz w:val="15"/>
                <w:szCs w:val="15"/>
              </w:rPr>
              <w:t xml:space="preserve">8.4%</w:t>
            </w:r>
          </w:p>
        </w:tc>
        <w:tc>
          <w:tcPr>
            <w:tcW w:w="995" w:type="dxa"/>
          </w:tcPr>
          <w:p>
            <w:pPr>
              <w:pStyle w:val="Compact"/>
              <w:jc w:val="left"/>
              <w:spacing w:before="20" w:after="20" w:line="220" w:lineRule="auto"/>
            </w:pPr>
            <w:r>
              <w:rPr>
                <w:sz w:val="15"/>
                <w:szCs w:val="15"/>
              </w:rPr>
              <w:t xml:space="preserve">8.4%</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Liberty Group (Standard Bank)</w:t>
            </w:r>
          </w:p>
        </w:tc>
        <w:tc>
          <w:tcPr>
            <w:tcW w:w="696" w:type="dxa"/>
          </w:tcPr>
          <w:p>
            <w:pPr>
              <w:pStyle w:val="Compact"/>
              <w:jc w:val="left"/>
              <w:spacing w:before="20" w:after="20" w:line="220" w:lineRule="auto"/>
            </w:pPr>
            <w:r>
              <w:rPr>
                <w:sz w:val="15"/>
                <w:szCs w:val="15"/>
              </w:rPr>
              <w:t xml:space="preserve">LB</w:t>
            </w:r>
          </w:p>
        </w:tc>
        <w:tc>
          <w:tcPr>
            <w:tcW w:w="895" w:type="dxa"/>
          </w:tcPr>
          <w:p>
            <w:pPr>
              <w:pStyle w:val="Compact"/>
              <w:jc w:val="left"/>
              <w:spacing w:before="20" w:after="20" w:line="220" w:lineRule="auto"/>
            </w:pPr>
            <w:r>
              <w:rPr>
                <w:sz w:val="15"/>
                <w:szCs w:val="15"/>
              </w:rPr>
              <w:t xml:space="preserve">life</w:t>
            </w:r>
          </w:p>
        </w:tc>
        <w:tc>
          <w:tcPr>
            <w:tcW w:w="3582" w:type="dxa"/>
          </w:tcPr>
          <w:p>
            <w:pPr>
              <w:pStyle w:val="Compact"/>
              <w:jc w:val="left"/>
              <w:spacing w:before="20" w:after="20" w:line="220" w:lineRule="auto"/>
            </w:pPr>
            <w:r>
              <w:rPr>
                <w:sz w:val="15"/>
                <w:szCs w:val="15"/>
              </w:rPr>
              <w:t xml:space="preserve">mixed: tied advisers, brokers, bank</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FY2025 (Dec)</w:t>
            </w:r>
          </w:p>
        </w:tc>
        <w:tc>
          <w:tcPr>
            <w:tcW w:w="597" w:type="dxa"/>
          </w:tcPr>
          <w:p>
            <w:pPr>
              <w:pStyle w:val="Compact"/>
              <w:jc w:val="left"/>
              <w:spacing w:before="20" w:after="20" w:line="220" w:lineRule="auto"/>
            </w:pPr>
            <w:r>
              <w:rPr>
                <w:sz w:val="15"/>
                <w:szCs w:val="15"/>
              </w:rPr>
              <w:t xml:space="preserve">20.6%</w:t>
            </w:r>
          </w:p>
        </w:tc>
        <w:tc>
          <w:tcPr>
            <w:tcW w:w="995" w:type="dxa"/>
          </w:tcPr>
          <w:p>
            <w:pPr>
              <w:pStyle w:val="Compact"/>
              <w:jc w:val="left"/>
              <w:spacing w:before="20" w:after="20" w:line="220" w:lineRule="auto"/>
            </w:pPr>
            <w:r>
              <w:rPr>
                <w:sz w:val="15"/>
                <w:szCs w:val="15"/>
              </w:rPr>
              <w:t xml:space="preserve">20.6%</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Metropolitan Life (Momentum, retail mass)</w:t>
            </w:r>
          </w:p>
        </w:tc>
        <w:tc>
          <w:tcPr>
            <w:tcW w:w="696" w:type="dxa"/>
          </w:tcPr>
          <w:p>
            <w:pPr>
              <w:pStyle w:val="Compact"/>
              <w:jc w:val="left"/>
              <w:spacing w:before="20" w:after="20" w:line="220" w:lineRule="auto"/>
            </w:pPr>
            <w:r>
              <w:rPr>
                <w:sz w:val="15"/>
                <w:szCs w:val="15"/>
              </w:rPr>
              <w:t xml:space="preserve">LN</w:t>
            </w:r>
          </w:p>
        </w:tc>
        <w:tc>
          <w:tcPr>
            <w:tcW w:w="895" w:type="dxa"/>
          </w:tcPr>
          <w:p>
            <w:pPr>
              <w:pStyle w:val="Compact"/>
              <w:jc w:val="left"/>
              <w:spacing w:before="20" w:after="20" w:line="220" w:lineRule="auto"/>
            </w:pPr>
            <w:r>
              <w:rPr>
                <w:sz w:val="15"/>
                <w:szCs w:val="15"/>
              </w:rPr>
              <w:t xml:space="preserve">life</w:t>
            </w:r>
          </w:p>
        </w:tc>
        <w:tc>
          <w:tcPr>
            <w:tcW w:w="3582" w:type="dxa"/>
          </w:tcPr>
          <w:p>
            <w:pPr>
              <w:pStyle w:val="Compact"/>
              <w:jc w:val="left"/>
              <w:spacing w:before="20" w:after="20" w:line="220" w:lineRule="auto"/>
            </w:pPr>
            <w:r>
              <w:rPr>
                <w:sz w:val="15"/>
                <w:szCs w:val="15"/>
              </w:rPr>
              <w:t xml:space="preserve">open: tied agents</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FY2026 (Jun)</w:t>
            </w:r>
          </w:p>
        </w:tc>
        <w:tc>
          <w:tcPr>
            <w:tcW w:w="597" w:type="dxa"/>
          </w:tcPr>
          <w:p>
            <w:pPr>
              <w:pStyle w:val="Compact"/>
              <w:jc w:val="left"/>
              <w:spacing w:before="20" w:after="20" w:line="220" w:lineRule="auto"/>
            </w:pPr>
            <w:r>
              <w:rPr>
                <w:sz w:val="15"/>
                <w:szCs w:val="15"/>
              </w:rPr>
              <w:t xml:space="preserve">4.0%</w:t>
            </w:r>
          </w:p>
        </w:tc>
        <w:tc>
          <w:tcPr>
            <w:tcW w:w="995" w:type="dxa"/>
          </w:tcPr>
          <w:p>
            <w:pPr>
              <w:pStyle w:val="Compact"/>
              <w:jc w:val="left"/>
              <w:spacing w:before="20" w:after="20" w:line="220" w:lineRule="auto"/>
            </w:pPr>
            <w:r>
              <w:rPr>
                <w:sz w:val="15"/>
                <w:szCs w:val="15"/>
              </w:rPr>
              <w:t xml:space="preserve">4.0%</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Momentum Retail (retail affluent)</w:t>
            </w:r>
          </w:p>
        </w:tc>
        <w:tc>
          <w:tcPr>
            <w:tcW w:w="696" w:type="dxa"/>
          </w:tcPr>
          <w:p>
            <w:pPr>
              <w:pStyle w:val="Compact"/>
              <w:jc w:val="left"/>
              <w:spacing w:before="20" w:after="20" w:line="220" w:lineRule="auto"/>
            </w:pPr>
            <w:r>
              <w:rPr>
                <w:sz w:val="15"/>
                <w:szCs w:val="15"/>
              </w:rPr>
              <w:t xml:space="preserve">LN</w:t>
            </w:r>
          </w:p>
        </w:tc>
        <w:tc>
          <w:tcPr>
            <w:tcW w:w="895" w:type="dxa"/>
          </w:tcPr>
          <w:p>
            <w:pPr>
              <w:pStyle w:val="Compact"/>
              <w:jc w:val="left"/>
              <w:spacing w:before="20" w:after="20" w:line="220" w:lineRule="auto"/>
            </w:pPr>
            <w:r>
              <w:rPr>
                <w:sz w:val="15"/>
                <w:szCs w:val="15"/>
              </w:rPr>
              <w:t xml:space="preserve">life</w:t>
            </w:r>
          </w:p>
        </w:tc>
        <w:tc>
          <w:tcPr>
            <w:tcW w:w="3582" w:type="dxa"/>
          </w:tcPr>
          <w:p>
            <w:pPr>
              <w:pStyle w:val="Compact"/>
              <w:jc w:val="left"/>
              <w:spacing w:before="20" w:after="20" w:line="220" w:lineRule="auto"/>
            </w:pPr>
            <w:r>
              <w:rPr>
                <w:sz w:val="15"/>
                <w:szCs w:val="15"/>
              </w:rPr>
              <w:t xml:space="preserve">open</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FY2026 (Jun)</w:t>
            </w:r>
          </w:p>
        </w:tc>
        <w:tc>
          <w:tcPr>
            <w:tcW w:w="597" w:type="dxa"/>
          </w:tcPr>
          <w:p>
            <w:pPr>
              <w:pStyle w:val="Compact"/>
              <w:jc w:val="left"/>
              <w:spacing w:before="20" w:after="20" w:line="220" w:lineRule="auto"/>
            </w:pPr>
            <w:r>
              <w:rPr>
                <w:sz w:val="15"/>
                <w:szCs w:val="15"/>
              </w:rPr>
              <w:t xml:space="preserve">15.9%</w:t>
            </w:r>
          </w:p>
        </w:tc>
        <w:tc>
          <w:tcPr>
            <w:tcW w:w="995" w:type="dxa"/>
          </w:tcPr>
          <w:p>
            <w:pPr>
              <w:pStyle w:val="Compact"/>
              <w:jc w:val="left"/>
              <w:spacing w:before="20" w:after="20" w:line="220" w:lineRule="auto"/>
            </w:pPr>
            <w:r>
              <w:rPr>
                <w:sz w:val="15"/>
                <w:szCs w:val="15"/>
              </w:rPr>
              <w:t xml:space="preserve">15.9%</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Nedgroup Life Assurance (Nedbank)</w:t>
            </w:r>
          </w:p>
        </w:tc>
        <w:tc>
          <w:tcPr>
            <w:tcW w:w="696" w:type="dxa"/>
          </w:tcPr>
          <w:p>
            <w:pPr>
              <w:pStyle w:val="Compact"/>
              <w:jc w:val="left"/>
              <w:spacing w:before="20" w:after="20" w:line="220" w:lineRule="auto"/>
            </w:pPr>
            <w:r>
              <w:rPr>
                <w:sz w:val="15"/>
                <w:szCs w:val="15"/>
              </w:rPr>
              <w:t xml:space="preserve">LB</w:t>
            </w:r>
          </w:p>
        </w:tc>
        <w:tc>
          <w:tcPr>
            <w:tcW w:w="895" w:type="dxa"/>
          </w:tcPr>
          <w:p>
            <w:pPr>
              <w:pStyle w:val="Compact"/>
              <w:jc w:val="left"/>
              <w:spacing w:before="20" w:after="20" w:line="220" w:lineRule="auto"/>
            </w:pPr>
            <w:r>
              <w:rPr>
                <w:sz w:val="15"/>
                <w:szCs w:val="15"/>
              </w:rPr>
              <w:t xml:space="preserve">life</w:t>
            </w:r>
          </w:p>
        </w:tc>
        <w:tc>
          <w:tcPr>
            <w:tcW w:w="3582" w:type="dxa"/>
          </w:tcPr>
          <w:p>
            <w:pPr>
              <w:pStyle w:val="Compact"/>
              <w:jc w:val="left"/>
              <w:spacing w:before="20" w:after="20" w:line="220" w:lineRule="auto"/>
            </w:pPr>
            <w:r>
              <w:rPr>
                <w:sz w:val="15"/>
                <w:szCs w:val="15"/>
              </w:rPr>
              <w:t xml:space="preserve">bank captive</w:t>
            </w:r>
          </w:p>
        </w:tc>
        <w:tc>
          <w:tcPr>
            <w:tcW w:w="2269" w:type="dxa"/>
          </w:tcPr>
          <w:p>
            <w:pPr>
              <w:pStyle w:val="Compact"/>
              <w:jc w:val="left"/>
              <w:spacing w:before="20" w:after="20" w:line="220" w:lineRule="auto"/>
            </w:pPr>
            <w:r>
              <w:rPr>
                <w:sz w:val="15"/>
                <w:szCs w:val="15"/>
              </w:rPr>
              <w:t xml:space="preserve">IFRS 17 (KPMG survey, company)</w:t>
            </w:r>
          </w:p>
        </w:tc>
        <w:tc>
          <w:tcPr>
            <w:tcW w:w="1194" w:type="dxa"/>
          </w:tcPr>
          <w:p>
            <w:pPr>
              <w:pStyle w:val="Compact"/>
              <w:jc w:val="left"/>
              <w:spacing w:before="20" w:after="20" w:line="220" w:lineRule="auto"/>
            </w:pPr>
            <w:r>
              <w:rPr>
                <w:sz w:val="15"/>
                <w:szCs w:val="15"/>
              </w:rPr>
              <w:t xml:space="preserve">FY2024 (Dec)</w:t>
            </w:r>
          </w:p>
        </w:tc>
        <w:tc>
          <w:tcPr>
            <w:tcW w:w="597" w:type="dxa"/>
          </w:tcPr>
          <w:p>
            <w:pPr>
              <w:pStyle w:val="Compact"/>
              <w:jc w:val="left"/>
              <w:spacing w:before="20" w:after="20" w:line="220" w:lineRule="auto"/>
            </w:pPr>
            <w:r>
              <w:rPr>
                <w:sz w:val="15"/>
                <w:szCs w:val="15"/>
              </w:rPr>
              <w:t xml:space="preserve">2.5%</w:t>
            </w:r>
          </w:p>
        </w:tc>
        <w:tc>
          <w:tcPr>
            <w:tcW w:w="995" w:type="dxa"/>
          </w:tcPr>
          <w:p>
            <w:pPr>
              <w:pStyle w:val="Compact"/>
              <w:jc w:val="left"/>
              <w:spacing w:before="20" w:after="20" w:line="220" w:lineRule="auto"/>
            </w:pPr>
            <w:r>
              <w:rPr>
                <w:sz w:val="15"/>
                <w:szCs w:val="15"/>
              </w:rPr>
              <w:t xml:space="preserve">2.5%</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OUTsurance Life</w:t>
            </w:r>
          </w:p>
        </w:tc>
        <w:tc>
          <w:tcPr>
            <w:tcW w:w="696" w:type="dxa"/>
          </w:tcPr>
          <w:p>
            <w:pPr>
              <w:pStyle w:val="Compact"/>
              <w:jc w:val="left"/>
              <w:spacing w:before="20" w:after="20" w:line="220" w:lineRule="auto"/>
            </w:pPr>
            <w:r>
              <w:rPr>
                <w:sz w:val="15"/>
                <w:szCs w:val="15"/>
              </w:rPr>
              <w:t xml:space="preserve">LN</w:t>
            </w:r>
          </w:p>
        </w:tc>
        <w:tc>
          <w:tcPr>
            <w:tcW w:w="895" w:type="dxa"/>
          </w:tcPr>
          <w:p>
            <w:pPr>
              <w:pStyle w:val="Compact"/>
              <w:jc w:val="left"/>
              <w:spacing w:before="20" w:after="20" w:line="220" w:lineRule="auto"/>
            </w:pPr>
            <w:r>
              <w:rPr>
                <w:sz w:val="15"/>
                <w:szCs w:val="15"/>
              </w:rPr>
              <w:t xml:space="preserve">life</w:t>
            </w:r>
          </w:p>
        </w:tc>
        <w:tc>
          <w:tcPr>
            <w:tcW w:w="3582" w:type="dxa"/>
          </w:tcPr>
          <w:p>
            <w:pPr>
              <w:pStyle w:val="Compact"/>
              <w:jc w:val="left"/>
              <w:spacing w:before="20" w:after="20" w:line="220" w:lineRule="auto"/>
            </w:pPr>
            <w:r>
              <w:rPr>
                <w:sz w:val="15"/>
                <w:szCs w:val="15"/>
              </w:rPr>
              <w:t xml:space="preserve">direct</w:t>
            </w:r>
          </w:p>
        </w:tc>
        <w:tc>
          <w:tcPr>
            <w:tcW w:w="2269" w:type="dxa"/>
          </w:tcPr>
          <w:p>
            <w:pPr>
              <w:pStyle w:val="Compact"/>
              <w:jc w:val="left"/>
              <w:spacing w:before="20" w:after="20" w:line="220" w:lineRule="auto"/>
            </w:pPr>
            <w:r>
              <w:rPr>
                <w:sz w:val="15"/>
                <w:szCs w:val="15"/>
              </w:rPr>
              <w:t xml:space="preserve">IFRS 17 (KPMG survey, company)</w:t>
            </w:r>
          </w:p>
        </w:tc>
        <w:tc>
          <w:tcPr>
            <w:tcW w:w="1194" w:type="dxa"/>
          </w:tcPr>
          <w:p>
            <w:pPr>
              <w:pStyle w:val="Compact"/>
              <w:jc w:val="left"/>
              <w:spacing w:before="20" w:after="20" w:line="220" w:lineRule="auto"/>
            </w:pPr>
            <w:r>
              <w:rPr>
                <w:sz w:val="15"/>
                <w:szCs w:val="15"/>
              </w:rPr>
              <w:t xml:space="preserve">FY2024 (Jun)</w:t>
            </w:r>
          </w:p>
        </w:tc>
        <w:tc>
          <w:tcPr>
            <w:tcW w:w="597" w:type="dxa"/>
          </w:tcPr>
          <w:p>
            <w:pPr>
              <w:pStyle w:val="Compact"/>
              <w:jc w:val="left"/>
              <w:spacing w:before="20" w:after="20" w:line="220" w:lineRule="auto"/>
            </w:pPr>
            <w:r>
              <w:rPr>
                <w:sz w:val="15"/>
                <w:szCs w:val="15"/>
              </w:rPr>
              <w:t xml:space="preserve">11.8%</w:t>
            </w:r>
          </w:p>
        </w:tc>
        <w:tc>
          <w:tcPr>
            <w:tcW w:w="995" w:type="dxa"/>
          </w:tcPr>
          <w:p>
            <w:pPr>
              <w:pStyle w:val="Compact"/>
              <w:jc w:val="left"/>
              <w:spacing w:before="20" w:after="20" w:line="220" w:lineRule="auto"/>
            </w:pPr>
            <w:r>
              <w:rPr>
                <w:sz w:val="15"/>
                <w:szCs w:val="15"/>
              </w:rPr>
              <w:t xml:space="preserve">11.8%</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Old Mutual Mass and Foundation (SA retail mass)</w:t>
            </w:r>
          </w:p>
        </w:tc>
        <w:tc>
          <w:tcPr>
            <w:tcW w:w="696" w:type="dxa"/>
          </w:tcPr>
          <w:p>
            <w:pPr>
              <w:pStyle w:val="Compact"/>
              <w:jc w:val="left"/>
              <w:spacing w:before="20" w:after="20" w:line="220" w:lineRule="auto"/>
            </w:pPr>
            <w:r>
              <w:rPr>
                <w:sz w:val="15"/>
                <w:szCs w:val="15"/>
              </w:rPr>
              <w:t xml:space="preserve">LN</w:t>
            </w:r>
          </w:p>
        </w:tc>
        <w:tc>
          <w:tcPr>
            <w:tcW w:w="895" w:type="dxa"/>
          </w:tcPr>
          <w:p>
            <w:pPr>
              <w:pStyle w:val="Compact"/>
              <w:jc w:val="left"/>
              <w:spacing w:before="20" w:after="20" w:line="220" w:lineRule="auto"/>
            </w:pPr>
            <w:r>
              <w:rPr>
                <w:sz w:val="15"/>
                <w:szCs w:val="15"/>
              </w:rPr>
              <w:t xml:space="preserve">life</w:t>
            </w:r>
          </w:p>
        </w:tc>
        <w:tc>
          <w:tcPr>
            <w:tcW w:w="3582" w:type="dxa"/>
          </w:tcPr>
          <w:p>
            <w:pPr>
              <w:pStyle w:val="Compact"/>
              <w:jc w:val="left"/>
              <w:spacing w:before="20" w:after="20" w:line="220" w:lineRule="auto"/>
            </w:pPr>
            <w:r>
              <w:rPr>
                <w:sz w:val="15"/>
                <w:szCs w:val="15"/>
              </w:rPr>
              <w:t xml:space="preserve">open: tied advisers, branches</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FY2024 (Dec)</w:t>
            </w:r>
          </w:p>
        </w:tc>
        <w:tc>
          <w:tcPr>
            <w:tcW w:w="597" w:type="dxa"/>
          </w:tcPr>
          <w:p>
            <w:pPr>
              <w:pStyle w:val="Compact"/>
              <w:jc w:val="left"/>
              <w:spacing w:before="20" w:after="20" w:line="220" w:lineRule="auto"/>
            </w:pPr>
            <w:r>
              <w:rPr>
                <w:sz w:val="15"/>
                <w:szCs w:val="15"/>
              </w:rPr>
              <w:t xml:space="preserve">31.5%</w:t>
            </w:r>
          </w:p>
        </w:tc>
        <w:tc>
          <w:tcPr>
            <w:tcW w:w="995" w:type="dxa"/>
          </w:tcPr>
          <w:p>
            <w:pPr>
              <w:pStyle w:val="Compact"/>
              <w:jc w:val="left"/>
              <w:spacing w:before="20" w:after="20" w:line="220" w:lineRule="auto"/>
            </w:pPr>
            <w:r>
              <w:rPr>
                <w:sz w:val="15"/>
                <w:szCs w:val="15"/>
              </w:rPr>
              <w:t xml:space="preserve">31.5%</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Old Mutual Personal Finance (SA retail affluent)</w:t>
            </w:r>
          </w:p>
        </w:tc>
        <w:tc>
          <w:tcPr>
            <w:tcW w:w="696" w:type="dxa"/>
          </w:tcPr>
          <w:p>
            <w:pPr>
              <w:pStyle w:val="Compact"/>
              <w:jc w:val="left"/>
              <w:spacing w:before="20" w:after="20" w:line="220" w:lineRule="auto"/>
            </w:pPr>
            <w:r>
              <w:rPr>
                <w:sz w:val="15"/>
                <w:szCs w:val="15"/>
              </w:rPr>
              <w:t xml:space="preserve">LN</w:t>
            </w:r>
          </w:p>
        </w:tc>
        <w:tc>
          <w:tcPr>
            <w:tcW w:w="895" w:type="dxa"/>
          </w:tcPr>
          <w:p>
            <w:pPr>
              <w:pStyle w:val="Compact"/>
              <w:jc w:val="left"/>
              <w:spacing w:before="20" w:after="20" w:line="220" w:lineRule="auto"/>
            </w:pPr>
            <w:r>
              <w:rPr>
                <w:sz w:val="15"/>
                <w:szCs w:val="15"/>
              </w:rPr>
              <w:t xml:space="preserve">life</w:t>
            </w:r>
          </w:p>
        </w:tc>
        <w:tc>
          <w:tcPr>
            <w:tcW w:w="3582" w:type="dxa"/>
          </w:tcPr>
          <w:p>
            <w:pPr>
              <w:pStyle w:val="Compact"/>
              <w:jc w:val="left"/>
              <w:spacing w:before="20" w:after="20" w:line="220" w:lineRule="auto"/>
            </w:pPr>
            <w:r>
              <w:rPr>
                <w:sz w:val="15"/>
                <w:szCs w:val="15"/>
              </w:rPr>
              <w:t xml:space="preserve">open</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FY2024 (Dec)</w:t>
            </w:r>
          </w:p>
        </w:tc>
        <w:tc>
          <w:tcPr>
            <w:tcW w:w="597" w:type="dxa"/>
          </w:tcPr>
          <w:p>
            <w:pPr>
              <w:pStyle w:val="Compact"/>
              <w:jc w:val="left"/>
              <w:spacing w:before="20" w:after="20" w:line="220" w:lineRule="auto"/>
            </w:pPr>
            <w:r>
              <w:rPr>
                <w:sz w:val="15"/>
                <w:szCs w:val="15"/>
              </w:rPr>
              <w:t xml:space="preserve">49.1%</w:t>
            </w:r>
          </w:p>
        </w:tc>
        <w:tc>
          <w:tcPr>
            <w:tcW w:w="995" w:type="dxa"/>
          </w:tcPr>
          <w:p>
            <w:pPr>
              <w:pStyle w:val="Compact"/>
              <w:jc w:val="left"/>
              <w:spacing w:before="20" w:after="20" w:line="220" w:lineRule="auto"/>
            </w:pPr>
            <w:r>
              <w:rPr>
                <w:sz w:val="15"/>
                <w:szCs w:val="15"/>
              </w:rPr>
              <w:t xml:space="preserve">49.1%</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Sanlam Life and Savings (SA)</w:t>
            </w:r>
          </w:p>
        </w:tc>
        <w:tc>
          <w:tcPr>
            <w:tcW w:w="696" w:type="dxa"/>
          </w:tcPr>
          <w:p>
            <w:pPr>
              <w:pStyle w:val="Compact"/>
              <w:jc w:val="left"/>
              <w:spacing w:before="20" w:after="20" w:line="220" w:lineRule="auto"/>
            </w:pPr>
            <w:r>
              <w:rPr>
                <w:sz w:val="15"/>
                <w:szCs w:val="15"/>
              </w:rPr>
              <w:t xml:space="preserve">LN</w:t>
            </w:r>
          </w:p>
        </w:tc>
        <w:tc>
          <w:tcPr>
            <w:tcW w:w="895" w:type="dxa"/>
          </w:tcPr>
          <w:p>
            <w:pPr>
              <w:pStyle w:val="Compact"/>
              <w:jc w:val="left"/>
              <w:spacing w:before="20" w:after="20" w:line="220" w:lineRule="auto"/>
            </w:pPr>
            <w:r>
              <w:rPr>
                <w:sz w:val="15"/>
                <w:szCs w:val="15"/>
              </w:rPr>
              <w:t xml:space="preserve">life</w:t>
            </w:r>
          </w:p>
        </w:tc>
        <w:tc>
          <w:tcPr>
            <w:tcW w:w="3582" w:type="dxa"/>
          </w:tcPr>
          <w:p>
            <w:pPr>
              <w:pStyle w:val="Compact"/>
              <w:jc w:val="left"/>
              <w:spacing w:before="20" w:after="20" w:line="220" w:lineRule="auto"/>
            </w:pPr>
            <w:r>
              <w:rPr>
                <w:sz w:val="15"/>
                <w:szCs w:val="15"/>
              </w:rPr>
              <w:t xml:space="preserve">open</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FY2024 (Dec)</w:t>
            </w:r>
          </w:p>
        </w:tc>
        <w:tc>
          <w:tcPr>
            <w:tcW w:w="597" w:type="dxa"/>
          </w:tcPr>
          <w:p>
            <w:pPr>
              <w:pStyle w:val="Compact"/>
              <w:jc w:val="left"/>
              <w:spacing w:before="20" w:after="20" w:line="220" w:lineRule="auto"/>
            </w:pPr>
            <w:r>
              <w:rPr>
                <w:sz w:val="15"/>
                <w:szCs w:val="15"/>
              </w:rPr>
              <w:t xml:space="preserve">34.2%</w:t>
            </w:r>
          </w:p>
        </w:tc>
        <w:tc>
          <w:tcPr>
            <w:tcW w:w="995" w:type="dxa"/>
          </w:tcPr>
          <w:p>
            <w:pPr>
              <w:pStyle w:val="Compact"/>
              <w:jc w:val="left"/>
              <w:spacing w:before="20" w:after="20" w:line="220" w:lineRule="auto"/>
            </w:pPr>
            <w:r>
              <w:rPr>
                <w:sz w:val="15"/>
                <w:szCs w:val="15"/>
              </w:rPr>
              <w:t xml:space="preserve">34.2%</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Scottish Widows Limited (Lloyds)</w:t>
            </w:r>
          </w:p>
        </w:tc>
        <w:tc>
          <w:tcPr>
            <w:tcW w:w="696" w:type="dxa"/>
          </w:tcPr>
          <w:p>
            <w:pPr>
              <w:pStyle w:val="Compact"/>
              <w:jc w:val="left"/>
              <w:spacing w:before="20" w:after="20" w:line="220" w:lineRule="auto"/>
            </w:pPr>
            <w:r>
              <w:rPr>
                <w:sz w:val="15"/>
                <w:szCs w:val="15"/>
              </w:rPr>
              <w:t xml:space="preserve">EU</w:t>
            </w:r>
          </w:p>
        </w:tc>
        <w:tc>
          <w:tcPr>
            <w:tcW w:w="895" w:type="dxa"/>
          </w:tcPr>
          <w:p>
            <w:pPr>
              <w:pStyle w:val="Compact"/>
              <w:jc w:val="left"/>
              <w:spacing w:before="20" w:after="20" w:line="220" w:lineRule="auto"/>
            </w:pPr>
            <w:r>
              <w:rPr>
                <w:sz w:val="15"/>
                <w:szCs w:val="15"/>
              </w:rPr>
              <w:t xml:space="preserve">life</w:t>
            </w:r>
          </w:p>
        </w:tc>
        <w:tc>
          <w:tcPr>
            <w:tcW w:w="3582" w:type="dxa"/>
          </w:tcPr>
          <w:p>
            <w:pPr>
              <w:pStyle w:val="Compact"/>
              <w:jc w:val="left"/>
              <w:spacing w:before="20" w:after="20" w:line="220" w:lineRule="auto"/>
            </w:pPr>
            <w:r>
              <w:rPr>
                <w:sz w:val="15"/>
                <w:szCs w:val="15"/>
              </w:rPr>
              <w:t xml:space="preserve">bank captive</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FY2024 (Dec)</w:t>
            </w:r>
          </w:p>
        </w:tc>
        <w:tc>
          <w:tcPr>
            <w:tcW w:w="597" w:type="dxa"/>
          </w:tcPr>
          <w:p>
            <w:pPr>
              <w:pStyle w:val="Compact"/>
              <w:jc w:val="left"/>
              <w:spacing w:before="20" w:after="20" w:line="220" w:lineRule="auto"/>
            </w:pPr>
            <w:r>
              <w:rPr>
                <w:sz w:val="15"/>
                <w:szCs w:val="15"/>
              </w:rPr>
              <w:t xml:space="preserve">26.8%</w:t>
            </w:r>
          </w:p>
        </w:tc>
        <w:tc>
          <w:tcPr>
            <w:tcW w:w="995" w:type="dxa"/>
          </w:tcPr>
          <w:p>
            <w:pPr>
              <w:pStyle w:val="Compact"/>
              <w:jc w:val="left"/>
              <w:spacing w:before="20" w:after="20" w:line="220" w:lineRule="auto"/>
            </w:pPr>
            <w:r>
              <w:rPr>
                <w:sz w:val="15"/>
                <w:szCs w:val="15"/>
              </w:rPr>
              <w:t xml:space="preserve">26.8%</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Discovery Insure</w:t>
            </w:r>
          </w:p>
        </w:tc>
        <w:tc>
          <w:tcPr>
            <w:tcW w:w="696" w:type="dxa"/>
          </w:tcPr>
          <w:p>
            <w:pPr>
              <w:pStyle w:val="Compact"/>
              <w:jc w:val="left"/>
              <w:spacing w:before="20" w:after="20" w:line="220" w:lineRule="auto"/>
            </w:pPr>
            <w:r>
              <w:rPr>
                <w:sz w:val="15"/>
                <w:szCs w:val="15"/>
              </w:rPr>
              <w:t xml:space="preserve">LN</w:t>
            </w:r>
          </w:p>
        </w:tc>
        <w:tc>
          <w:tcPr>
            <w:tcW w:w="895" w:type="dxa"/>
          </w:tcPr>
          <w:p>
            <w:pPr>
              <w:pStyle w:val="Compact"/>
              <w:jc w:val="left"/>
              <w:spacing w:before="20" w:after="20" w:line="220" w:lineRule="auto"/>
            </w:pPr>
            <w:r>
              <w:rPr>
                <w:sz w:val="15"/>
                <w:szCs w:val="15"/>
              </w:rPr>
              <w:t xml:space="preserve">nonlife</w:t>
            </w:r>
          </w:p>
        </w:tc>
        <w:tc>
          <w:tcPr>
            <w:tcW w:w="3582" w:type="dxa"/>
          </w:tcPr>
          <w:p>
            <w:pPr>
              <w:pStyle w:val="Compact"/>
              <w:jc w:val="left"/>
              <w:spacing w:before="20" w:after="20" w:line="220" w:lineRule="auto"/>
            </w:pPr>
            <w:r>
              <w:rPr>
                <w:sz w:val="15"/>
                <w:szCs w:val="15"/>
              </w:rPr>
              <w:t xml:space="preserve">open and direct</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FY2026 (Jun)</w:t>
            </w:r>
          </w:p>
        </w:tc>
        <w:tc>
          <w:tcPr>
            <w:tcW w:w="597" w:type="dxa"/>
          </w:tcPr>
          <w:p>
            <w:pPr>
              <w:pStyle w:val="Compact"/>
              <w:jc w:val="left"/>
              <w:spacing w:before="20" w:after="20" w:line="220" w:lineRule="auto"/>
            </w:pPr>
            <w:r>
              <w:rPr>
                <w:sz w:val="15"/>
                <w:szCs w:val="15"/>
              </w:rPr>
              <w:t xml:space="preserve">2.6%</w:t>
            </w:r>
          </w:p>
        </w:tc>
        <w:tc>
          <w:tcPr>
            <w:tcW w:w="995" w:type="dxa"/>
          </w:tcPr>
          <w:p>
            <w:pPr>
              <w:pStyle w:val="Compact"/>
              <w:jc w:val="left"/>
              <w:spacing w:before="20" w:after="20" w:line="220" w:lineRule="auto"/>
            </w:pPr>
            <w:r>
              <w:rPr>
                <w:sz w:val="15"/>
                <w:szCs w:val="15"/>
              </w:rPr>
              <w:t xml:space="preserve">2.6%</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Hollard Insurance Company</w:t>
            </w:r>
          </w:p>
        </w:tc>
        <w:tc>
          <w:tcPr>
            <w:tcW w:w="696" w:type="dxa"/>
          </w:tcPr>
          <w:p>
            <w:pPr>
              <w:pStyle w:val="Compact"/>
              <w:jc w:val="left"/>
              <w:spacing w:before="20" w:after="20" w:line="220" w:lineRule="auto"/>
            </w:pPr>
            <w:r>
              <w:rPr>
                <w:sz w:val="15"/>
                <w:szCs w:val="15"/>
              </w:rPr>
              <w:t xml:space="preserve">LN</w:t>
            </w:r>
          </w:p>
        </w:tc>
        <w:tc>
          <w:tcPr>
            <w:tcW w:w="895" w:type="dxa"/>
          </w:tcPr>
          <w:p>
            <w:pPr>
              <w:pStyle w:val="Compact"/>
              <w:jc w:val="left"/>
              <w:spacing w:before="20" w:after="20" w:line="220" w:lineRule="auto"/>
            </w:pPr>
            <w:r>
              <w:rPr>
                <w:sz w:val="15"/>
                <w:szCs w:val="15"/>
              </w:rPr>
              <w:t xml:space="preserve">nonlife</w:t>
            </w:r>
          </w:p>
        </w:tc>
        <w:tc>
          <w:tcPr>
            <w:tcW w:w="3582" w:type="dxa"/>
          </w:tcPr>
          <w:p>
            <w:pPr>
              <w:pStyle w:val="Compact"/>
              <w:jc w:val="left"/>
              <w:spacing w:before="20" w:after="20" w:line="220" w:lineRule="auto"/>
            </w:pPr>
            <w:r>
              <w:rPr>
                <w:sz w:val="15"/>
                <w:szCs w:val="15"/>
              </w:rPr>
              <w:t xml:space="preserve">open: brokers, partnerships</w:t>
            </w:r>
          </w:p>
        </w:tc>
        <w:tc>
          <w:tcPr>
            <w:tcW w:w="2269" w:type="dxa"/>
          </w:tcPr>
          <w:p>
            <w:pPr>
              <w:pStyle w:val="Compact"/>
              <w:jc w:val="left"/>
              <w:spacing w:before="20" w:after="20" w:line="220" w:lineRule="auto"/>
            </w:pPr>
            <w:r>
              <w:rPr>
                <w:sz w:val="15"/>
                <w:szCs w:val="15"/>
              </w:rPr>
              <w:t xml:space="preserve">IFRS 17 (KPMG survey, company)</w:t>
            </w:r>
          </w:p>
        </w:tc>
        <w:tc>
          <w:tcPr>
            <w:tcW w:w="1194" w:type="dxa"/>
          </w:tcPr>
          <w:p>
            <w:pPr>
              <w:pStyle w:val="Compact"/>
              <w:jc w:val="left"/>
              <w:spacing w:before="20" w:after="20" w:line="220" w:lineRule="auto"/>
            </w:pPr>
            <w:r>
              <w:rPr>
                <w:sz w:val="15"/>
                <w:szCs w:val="15"/>
              </w:rPr>
              <w:t xml:space="preserve">FY2024 (Jun)</w:t>
            </w:r>
          </w:p>
        </w:tc>
        <w:tc>
          <w:tcPr>
            <w:tcW w:w="597" w:type="dxa"/>
          </w:tcPr>
          <w:p>
            <w:pPr>
              <w:pStyle w:val="Compact"/>
              <w:jc w:val="left"/>
              <w:spacing w:before="20" w:after="20" w:line="220" w:lineRule="auto"/>
            </w:pPr>
            <w:r>
              <w:rPr>
                <w:sz w:val="15"/>
                <w:szCs w:val="15"/>
              </w:rPr>
              <w:t xml:space="preserve">6.9%</w:t>
            </w:r>
          </w:p>
        </w:tc>
        <w:tc>
          <w:tcPr>
            <w:tcW w:w="995" w:type="dxa"/>
          </w:tcPr>
          <w:p>
            <w:pPr>
              <w:pStyle w:val="Compact"/>
              <w:jc w:val="left"/>
              <w:spacing w:before="20" w:after="20" w:line="220" w:lineRule="auto"/>
            </w:pPr>
            <w:r>
              <w:rPr>
                <w:sz w:val="15"/>
                <w:szCs w:val="15"/>
              </w:rPr>
              <w:t xml:space="preserve">6.9%</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Momentum Insure</w:t>
            </w:r>
          </w:p>
        </w:tc>
        <w:tc>
          <w:tcPr>
            <w:tcW w:w="696" w:type="dxa"/>
          </w:tcPr>
          <w:p>
            <w:pPr>
              <w:pStyle w:val="Compact"/>
              <w:jc w:val="left"/>
              <w:spacing w:before="20" w:after="20" w:line="220" w:lineRule="auto"/>
            </w:pPr>
            <w:r>
              <w:rPr>
                <w:sz w:val="15"/>
                <w:szCs w:val="15"/>
              </w:rPr>
              <w:t xml:space="preserve">LN</w:t>
            </w:r>
          </w:p>
        </w:tc>
        <w:tc>
          <w:tcPr>
            <w:tcW w:w="895" w:type="dxa"/>
          </w:tcPr>
          <w:p>
            <w:pPr>
              <w:pStyle w:val="Compact"/>
              <w:jc w:val="left"/>
              <w:spacing w:before="20" w:after="20" w:line="220" w:lineRule="auto"/>
            </w:pPr>
            <w:r>
              <w:rPr>
                <w:sz w:val="15"/>
                <w:szCs w:val="15"/>
              </w:rPr>
              <w:t xml:space="preserve">nonlife</w:t>
            </w:r>
          </w:p>
        </w:tc>
        <w:tc>
          <w:tcPr>
            <w:tcW w:w="3582" w:type="dxa"/>
          </w:tcPr>
          <w:p>
            <w:pPr>
              <w:pStyle w:val="Compact"/>
              <w:jc w:val="left"/>
              <w:spacing w:before="20" w:after="20" w:line="220" w:lineRule="auto"/>
            </w:pPr>
            <w:r>
              <w:rPr>
                <w:sz w:val="15"/>
                <w:szCs w:val="15"/>
              </w:rPr>
              <w:t xml:space="preserve">open</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FY2026 (Jun)</w:t>
            </w:r>
          </w:p>
        </w:tc>
        <w:tc>
          <w:tcPr>
            <w:tcW w:w="597" w:type="dxa"/>
          </w:tcPr>
          <w:p>
            <w:pPr>
              <w:pStyle w:val="Compact"/>
              <w:jc w:val="left"/>
              <w:spacing w:before="20" w:after="20" w:line="220" w:lineRule="auto"/>
            </w:pPr>
            <w:r>
              <w:rPr>
                <w:sz w:val="15"/>
                <w:szCs w:val="15"/>
              </w:rPr>
              <w:t xml:space="preserve">15.4%</w:t>
            </w:r>
          </w:p>
        </w:tc>
        <w:tc>
          <w:tcPr>
            <w:tcW w:w="995" w:type="dxa"/>
          </w:tcPr>
          <w:p>
            <w:pPr>
              <w:pStyle w:val="Compact"/>
              <w:jc w:val="left"/>
              <w:spacing w:before="20" w:after="20" w:line="220" w:lineRule="auto"/>
            </w:pPr>
            <w:r>
              <w:rPr>
                <w:sz w:val="15"/>
                <w:szCs w:val="15"/>
              </w:rPr>
              <w:t xml:space="preserve">15.4%</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Nedgroup Insurance Company (Nedbank)</w:t>
            </w:r>
          </w:p>
        </w:tc>
        <w:tc>
          <w:tcPr>
            <w:tcW w:w="696" w:type="dxa"/>
          </w:tcPr>
          <w:p>
            <w:pPr>
              <w:pStyle w:val="Compact"/>
              <w:jc w:val="left"/>
              <w:spacing w:before="20" w:after="20" w:line="220" w:lineRule="auto"/>
            </w:pPr>
            <w:r>
              <w:rPr>
                <w:sz w:val="15"/>
                <w:szCs w:val="15"/>
              </w:rPr>
              <w:t xml:space="preserve">LB</w:t>
            </w:r>
          </w:p>
        </w:tc>
        <w:tc>
          <w:tcPr>
            <w:tcW w:w="895" w:type="dxa"/>
          </w:tcPr>
          <w:p>
            <w:pPr>
              <w:pStyle w:val="Compact"/>
              <w:jc w:val="left"/>
              <w:spacing w:before="20" w:after="20" w:line="220" w:lineRule="auto"/>
            </w:pPr>
            <w:r>
              <w:rPr>
                <w:sz w:val="15"/>
                <w:szCs w:val="15"/>
              </w:rPr>
              <w:t xml:space="preserve">nonlife</w:t>
            </w:r>
          </w:p>
        </w:tc>
        <w:tc>
          <w:tcPr>
            <w:tcW w:w="3582" w:type="dxa"/>
          </w:tcPr>
          <w:p>
            <w:pPr>
              <w:pStyle w:val="Compact"/>
              <w:jc w:val="left"/>
              <w:spacing w:before="20" w:after="20" w:line="220" w:lineRule="auto"/>
            </w:pPr>
            <w:r>
              <w:rPr>
                <w:sz w:val="15"/>
                <w:szCs w:val="15"/>
              </w:rPr>
              <w:t xml:space="preserve">bank captive</w:t>
            </w:r>
          </w:p>
        </w:tc>
        <w:tc>
          <w:tcPr>
            <w:tcW w:w="2269" w:type="dxa"/>
          </w:tcPr>
          <w:p>
            <w:pPr>
              <w:pStyle w:val="Compact"/>
              <w:jc w:val="left"/>
              <w:spacing w:before="20" w:after="20" w:line="220" w:lineRule="auto"/>
            </w:pPr>
            <w:r>
              <w:rPr>
                <w:sz w:val="15"/>
                <w:szCs w:val="15"/>
              </w:rPr>
              <w:t xml:space="preserve">IFRS 17 (KPMG survey, company)</w:t>
            </w:r>
          </w:p>
        </w:tc>
        <w:tc>
          <w:tcPr>
            <w:tcW w:w="1194" w:type="dxa"/>
          </w:tcPr>
          <w:p>
            <w:pPr>
              <w:pStyle w:val="Compact"/>
              <w:jc w:val="left"/>
              <w:spacing w:before="20" w:after="20" w:line="220" w:lineRule="auto"/>
            </w:pPr>
            <w:r>
              <w:rPr>
                <w:sz w:val="15"/>
                <w:szCs w:val="15"/>
              </w:rPr>
              <w:t xml:space="preserve">FY2024 (Dec)</w:t>
            </w:r>
          </w:p>
        </w:tc>
        <w:tc>
          <w:tcPr>
            <w:tcW w:w="597" w:type="dxa"/>
          </w:tcPr>
          <w:p>
            <w:pPr>
              <w:pStyle w:val="Compact"/>
              <w:jc w:val="left"/>
              <w:spacing w:before="20" w:after="20" w:line="220" w:lineRule="auto"/>
            </w:pPr>
            <w:r>
              <w:rPr>
                <w:sz w:val="15"/>
                <w:szCs w:val="15"/>
              </w:rPr>
              <w:t xml:space="preserve">1.7%</w:t>
            </w:r>
          </w:p>
        </w:tc>
        <w:tc>
          <w:tcPr>
            <w:tcW w:w="995" w:type="dxa"/>
          </w:tcPr>
          <w:p>
            <w:pPr>
              <w:pStyle w:val="Compact"/>
              <w:jc w:val="left"/>
              <w:spacing w:before="20" w:after="20" w:line="220" w:lineRule="auto"/>
            </w:pPr>
            <w:r>
              <w:rPr>
                <w:sz w:val="15"/>
                <w:szCs w:val="15"/>
              </w:rPr>
              <w:t xml:space="preserve">1.7%</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OUTsurance SA</w:t>
            </w:r>
          </w:p>
        </w:tc>
        <w:tc>
          <w:tcPr>
            <w:tcW w:w="696" w:type="dxa"/>
          </w:tcPr>
          <w:p>
            <w:pPr>
              <w:pStyle w:val="Compact"/>
              <w:jc w:val="left"/>
              <w:spacing w:before="20" w:after="20" w:line="220" w:lineRule="auto"/>
            </w:pPr>
            <w:r>
              <w:rPr>
                <w:sz w:val="15"/>
                <w:szCs w:val="15"/>
              </w:rPr>
              <w:t xml:space="preserve">LN</w:t>
            </w:r>
          </w:p>
        </w:tc>
        <w:tc>
          <w:tcPr>
            <w:tcW w:w="895" w:type="dxa"/>
          </w:tcPr>
          <w:p>
            <w:pPr>
              <w:pStyle w:val="Compact"/>
              <w:jc w:val="left"/>
              <w:spacing w:before="20" w:after="20" w:line="220" w:lineRule="auto"/>
            </w:pPr>
            <w:r>
              <w:rPr>
                <w:sz w:val="15"/>
                <w:szCs w:val="15"/>
              </w:rPr>
              <w:t xml:space="preserve">nonlife</w:t>
            </w:r>
          </w:p>
        </w:tc>
        <w:tc>
          <w:tcPr>
            <w:tcW w:w="3582" w:type="dxa"/>
          </w:tcPr>
          <w:p>
            <w:pPr>
              <w:pStyle w:val="Compact"/>
              <w:jc w:val="left"/>
              <w:spacing w:before="20" w:after="20" w:line="220" w:lineRule="auto"/>
            </w:pPr>
            <w:r>
              <w:rPr>
                <w:sz w:val="15"/>
                <w:szCs w:val="15"/>
              </w:rPr>
              <w:t xml:space="preserve">direct</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FY2026 (Jun)</w:t>
            </w:r>
          </w:p>
        </w:tc>
        <w:tc>
          <w:tcPr>
            <w:tcW w:w="597" w:type="dxa"/>
          </w:tcPr>
          <w:p>
            <w:pPr>
              <w:pStyle w:val="Compact"/>
              <w:jc w:val="left"/>
              <w:spacing w:before="20" w:after="20" w:line="220" w:lineRule="auto"/>
            </w:pPr>
            <w:r>
              <w:rPr>
                <w:sz w:val="15"/>
                <w:szCs w:val="15"/>
              </w:rPr>
              <w:t xml:space="preserve">3.3%</w:t>
            </w:r>
          </w:p>
        </w:tc>
        <w:tc>
          <w:tcPr>
            <w:tcW w:w="995" w:type="dxa"/>
          </w:tcPr>
          <w:p>
            <w:pPr>
              <w:pStyle w:val="Compact"/>
              <w:jc w:val="left"/>
              <w:spacing w:before="20" w:after="20" w:line="220" w:lineRule="auto"/>
            </w:pPr>
            <w:r>
              <w:rPr>
                <w:sz w:val="15"/>
                <w:szCs w:val="15"/>
              </w:rPr>
              <w:t xml:space="preserve">3.3%</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Old Mutual Insure</w:t>
            </w:r>
          </w:p>
        </w:tc>
        <w:tc>
          <w:tcPr>
            <w:tcW w:w="696" w:type="dxa"/>
          </w:tcPr>
          <w:p>
            <w:pPr>
              <w:pStyle w:val="Compact"/>
              <w:jc w:val="left"/>
              <w:spacing w:before="20" w:after="20" w:line="220" w:lineRule="auto"/>
            </w:pPr>
            <w:r>
              <w:rPr>
                <w:sz w:val="15"/>
                <w:szCs w:val="15"/>
              </w:rPr>
              <w:t xml:space="preserve">LN</w:t>
            </w:r>
          </w:p>
        </w:tc>
        <w:tc>
          <w:tcPr>
            <w:tcW w:w="895" w:type="dxa"/>
          </w:tcPr>
          <w:p>
            <w:pPr>
              <w:pStyle w:val="Compact"/>
              <w:jc w:val="left"/>
              <w:spacing w:before="20" w:after="20" w:line="220" w:lineRule="auto"/>
            </w:pPr>
            <w:r>
              <w:rPr>
                <w:sz w:val="15"/>
                <w:szCs w:val="15"/>
              </w:rPr>
              <w:t xml:space="preserve">nonlife</w:t>
            </w:r>
          </w:p>
        </w:tc>
        <w:tc>
          <w:tcPr>
            <w:tcW w:w="3582" w:type="dxa"/>
          </w:tcPr>
          <w:p>
            <w:pPr>
              <w:pStyle w:val="Compact"/>
              <w:jc w:val="left"/>
              <w:spacing w:before="20" w:after="20" w:line="220" w:lineRule="auto"/>
            </w:pPr>
            <w:r>
              <w:rPr>
                <w:sz w:val="15"/>
                <w:szCs w:val="15"/>
              </w:rPr>
              <w:t xml:space="preserve">open: brokers</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FY2025 (Dec)</w:t>
            </w:r>
          </w:p>
        </w:tc>
        <w:tc>
          <w:tcPr>
            <w:tcW w:w="597" w:type="dxa"/>
          </w:tcPr>
          <w:p>
            <w:pPr>
              <w:pStyle w:val="Compact"/>
              <w:jc w:val="left"/>
              <w:spacing w:before="20" w:after="20" w:line="220" w:lineRule="auto"/>
            </w:pPr>
            <w:r>
              <w:rPr>
                <w:sz w:val="15"/>
                <w:szCs w:val="15"/>
              </w:rPr>
              <w:t xml:space="preserve">4.3%</w:t>
            </w:r>
          </w:p>
        </w:tc>
        <w:tc>
          <w:tcPr>
            <w:tcW w:w="995" w:type="dxa"/>
          </w:tcPr>
          <w:p>
            <w:pPr>
              <w:pStyle w:val="Compact"/>
              <w:jc w:val="left"/>
              <w:spacing w:before="20" w:after="20" w:line="220" w:lineRule="auto"/>
            </w:pPr>
            <w:r>
              <w:rPr>
                <w:sz w:val="15"/>
                <w:szCs w:val="15"/>
              </w:rPr>
              <w:t xml:space="preserve">4.3%</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Santam Group</w:t>
            </w:r>
          </w:p>
        </w:tc>
        <w:tc>
          <w:tcPr>
            <w:tcW w:w="696" w:type="dxa"/>
          </w:tcPr>
          <w:p>
            <w:pPr>
              <w:pStyle w:val="Compact"/>
              <w:jc w:val="left"/>
              <w:spacing w:before="20" w:after="20" w:line="220" w:lineRule="auto"/>
            </w:pPr>
            <w:r>
              <w:rPr>
                <w:sz w:val="15"/>
                <w:szCs w:val="15"/>
              </w:rPr>
              <w:t xml:space="preserve">LN</w:t>
            </w:r>
          </w:p>
        </w:tc>
        <w:tc>
          <w:tcPr>
            <w:tcW w:w="895" w:type="dxa"/>
          </w:tcPr>
          <w:p>
            <w:pPr>
              <w:pStyle w:val="Compact"/>
              <w:jc w:val="left"/>
              <w:spacing w:before="20" w:after="20" w:line="220" w:lineRule="auto"/>
            </w:pPr>
            <w:r>
              <w:rPr>
                <w:sz w:val="15"/>
                <w:szCs w:val="15"/>
              </w:rPr>
              <w:t xml:space="preserve">nonlife</w:t>
            </w:r>
          </w:p>
        </w:tc>
        <w:tc>
          <w:tcPr>
            <w:tcW w:w="3582" w:type="dxa"/>
          </w:tcPr>
          <w:p>
            <w:pPr>
              <w:pStyle w:val="Compact"/>
              <w:jc w:val="left"/>
              <w:spacing w:before="20" w:after="20" w:line="220" w:lineRule="auto"/>
            </w:pPr>
            <w:r>
              <w:rPr>
                <w:sz w:val="15"/>
                <w:szCs w:val="15"/>
              </w:rPr>
              <w:t xml:space="preserve">open: brokers, direct (MiWay)</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FY2025 (Dec)</w:t>
            </w:r>
          </w:p>
        </w:tc>
        <w:tc>
          <w:tcPr>
            <w:tcW w:w="597" w:type="dxa"/>
          </w:tcPr>
          <w:p>
            <w:pPr>
              <w:pStyle w:val="Compact"/>
              <w:jc w:val="left"/>
              <w:spacing w:before="20" w:after="20" w:line="220" w:lineRule="auto"/>
            </w:pPr>
            <w:r>
              <w:rPr>
                <w:sz w:val="15"/>
                <w:szCs w:val="15"/>
              </w:rPr>
              <w:t xml:space="preserve">3.1%</w:t>
            </w:r>
          </w:p>
        </w:tc>
        <w:tc>
          <w:tcPr>
            <w:tcW w:w="995" w:type="dxa"/>
          </w:tcPr>
          <w:p>
            <w:pPr>
              <w:pStyle w:val="Compact"/>
              <w:jc w:val="left"/>
              <w:spacing w:before="20" w:after="20" w:line="220" w:lineRule="auto"/>
            </w:pPr>
            <w:r>
              <w:rPr>
                <w:sz w:val="15"/>
                <w:szCs w:val="15"/>
              </w:rPr>
              <w:t xml:space="preserve">3.1%</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Standard Insurance Limited (Standard Bank)</w:t>
            </w:r>
          </w:p>
        </w:tc>
        <w:tc>
          <w:tcPr>
            <w:tcW w:w="696" w:type="dxa"/>
          </w:tcPr>
          <w:p>
            <w:pPr>
              <w:pStyle w:val="Compact"/>
              <w:jc w:val="left"/>
              <w:spacing w:before="20" w:after="20" w:line="220" w:lineRule="auto"/>
            </w:pPr>
            <w:r>
              <w:rPr>
                <w:sz w:val="15"/>
                <w:szCs w:val="15"/>
              </w:rPr>
              <w:t xml:space="preserve">LB</w:t>
            </w:r>
          </w:p>
        </w:tc>
        <w:tc>
          <w:tcPr>
            <w:tcW w:w="895" w:type="dxa"/>
          </w:tcPr>
          <w:p>
            <w:pPr>
              <w:pStyle w:val="Compact"/>
              <w:jc w:val="left"/>
              <w:spacing w:before="20" w:after="20" w:line="220" w:lineRule="auto"/>
            </w:pPr>
            <w:r>
              <w:rPr>
                <w:sz w:val="15"/>
                <w:szCs w:val="15"/>
              </w:rPr>
              <w:t xml:space="preserve">nonlife</w:t>
            </w:r>
          </w:p>
        </w:tc>
        <w:tc>
          <w:tcPr>
            <w:tcW w:w="3582" w:type="dxa"/>
          </w:tcPr>
          <w:p>
            <w:pPr>
              <w:pStyle w:val="Compact"/>
              <w:jc w:val="left"/>
              <w:spacing w:before="20" w:after="20" w:line="220" w:lineRule="auto"/>
            </w:pPr>
            <w:r>
              <w:rPr>
                <w:sz w:val="15"/>
                <w:szCs w:val="15"/>
              </w:rPr>
              <w:t xml:space="preserve">bank captive</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FY2025 (Dec)</w:t>
            </w:r>
          </w:p>
        </w:tc>
        <w:tc>
          <w:tcPr>
            <w:tcW w:w="597" w:type="dxa"/>
          </w:tcPr>
          <w:p>
            <w:pPr>
              <w:pStyle w:val="Compact"/>
              <w:jc w:val="left"/>
              <w:spacing w:before="20" w:after="20" w:line="220" w:lineRule="auto"/>
            </w:pPr>
            <w:r>
              <w:rPr>
                <w:sz w:val="15"/>
                <w:szCs w:val="15"/>
              </w:rPr>
              <w:t xml:space="preserve">4.2%</w:t>
            </w:r>
          </w:p>
        </w:tc>
        <w:tc>
          <w:tcPr>
            <w:tcW w:w="995" w:type="dxa"/>
          </w:tcPr>
          <w:p>
            <w:pPr>
              <w:pStyle w:val="Compact"/>
              <w:jc w:val="left"/>
              <w:spacing w:before="20" w:after="20" w:line="220" w:lineRule="auto"/>
            </w:pPr>
            <w:r>
              <w:rPr>
                <w:sz w:val="15"/>
                <w:szCs w:val="15"/>
              </w:rPr>
              <w:t xml:space="preserve">4.2%</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BNP Paribas Cardif</w:t>
            </w:r>
          </w:p>
        </w:tc>
        <w:tc>
          <w:tcPr>
            <w:tcW w:w="696" w:type="dxa"/>
          </w:tcPr>
          <w:p>
            <w:pPr>
              <w:pStyle w:val="Compact"/>
              <w:jc w:val="left"/>
              <w:spacing w:before="20" w:after="20" w:line="220" w:lineRule="auto"/>
            </w:pPr>
            <w:r>
              <w:rPr>
                <w:sz w:val="15"/>
                <w:szCs w:val="15"/>
              </w:rPr>
              <w:t xml:space="preserve">EU</w:t>
            </w:r>
          </w:p>
        </w:tc>
        <w:tc>
          <w:tcPr>
            <w:tcW w:w="895" w:type="dxa"/>
          </w:tcPr>
          <w:p>
            <w:pPr>
              <w:pStyle w:val="Compact"/>
              <w:jc w:val="left"/>
              <w:spacing w:before="20" w:after="20" w:line="220" w:lineRule="auto"/>
            </w:pPr>
            <w:r>
              <w:rPr>
                <w:sz w:val="15"/>
                <w:szCs w:val="15"/>
              </w:rPr>
              <w:t xml:space="preserve">composite</w:t>
            </w:r>
          </w:p>
        </w:tc>
        <w:tc>
          <w:tcPr>
            <w:tcW w:w="3582" w:type="dxa"/>
          </w:tcPr>
          <w:p>
            <w:pPr>
              <w:pStyle w:val="Compact"/>
              <w:jc w:val="left"/>
              <w:spacing w:before="20" w:after="20" w:line="220" w:lineRule="auto"/>
            </w:pPr>
            <w:r>
              <w:rPr>
                <w:sz w:val="15"/>
                <w:szCs w:val="15"/>
              </w:rPr>
              <w:t xml:space="preserve">partly captive (46 percent via BNP Paribas networks)</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FY2025 (Dec)</w:t>
            </w:r>
          </w:p>
        </w:tc>
        <w:tc>
          <w:tcPr>
            <w:tcW w:w="597" w:type="dxa"/>
          </w:tcPr>
          <w:p>
            <w:pPr>
              <w:pStyle w:val="Compact"/>
              <w:jc w:val="left"/>
              <w:spacing w:before="20" w:after="20" w:line="220" w:lineRule="auto"/>
            </w:pPr>
            <w:r>
              <w:rPr>
                <w:sz w:val="15"/>
                <w:szCs w:val="15"/>
              </w:rPr>
              <w:t xml:space="preserve">8.8%</w:t>
            </w:r>
          </w:p>
        </w:tc>
        <w:tc>
          <w:tcPr>
            <w:tcW w:w="995" w:type="dxa"/>
          </w:tcPr>
          <w:p>
            <w:pPr>
              <w:pStyle w:val="Compact"/>
              <w:jc w:val="left"/>
              <w:spacing w:before="20" w:after="20" w:line="220" w:lineRule="auto"/>
            </w:pPr>
            <w:r>
              <w:rPr>
                <w:sz w:val="15"/>
                <w:szCs w:val="15"/>
              </w:rPr>
              <w:t xml:space="preserve">8.8%</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Brasilseg (BB Seguridade)</w:t>
            </w:r>
          </w:p>
        </w:tc>
        <w:tc>
          <w:tcPr>
            <w:tcW w:w="696" w:type="dxa"/>
          </w:tcPr>
          <w:p>
            <w:pPr>
              <w:pStyle w:val="Compact"/>
              <w:jc w:val="left"/>
              <w:spacing w:before="20" w:after="20" w:line="220" w:lineRule="auto"/>
            </w:pPr>
            <w:r>
              <w:rPr>
                <w:sz w:val="15"/>
                <w:szCs w:val="15"/>
              </w:rPr>
              <w:t xml:space="preserve">EM</w:t>
            </w:r>
          </w:p>
        </w:tc>
        <w:tc>
          <w:tcPr>
            <w:tcW w:w="895" w:type="dxa"/>
          </w:tcPr>
          <w:p>
            <w:pPr>
              <w:pStyle w:val="Compact"/>
              <w:jc w:val="left"/>
              <w:spacing w:before="20" w:after="20" w:line="220" w:lineRule="auto"/>
            </w:pPr>
            <w:r>
              <w:rPr>
                <w:sz w:val="15"/>
                <w:szCs w:val="15"/>
              </w:rPr>
              <w:t xml:space="preserve">composite</w:t>
            </w:r>
          </w:p>
        </w:tc>
        <w:tc>
          <w:tcPr>
            <w:tcW w:w="3582" w:type="dxa"/>
          </w:tcPr>
          <w:p>
            <w:pPr>
              <w:pStyle w:val="Compact"/>
              <w:jc w:val="left"/>
              <w:spacing w:before="20" w:after="20" w:line="220" w:lineRule="auto"/>
            </w:pPr>
            <w:r>
              <w:rPr>
                <w:sz w:val="15"/>
                <w:szCs w:val="15"/>
              </w:rPr>
              <w:t xml:space="preserve">bank captive via BB Corretora</w:t>
            </w:r>
          </w:p>
        </w:tc>
        <w:tc>
          <w:tcPr>
            <w:tcW w:w="2269" w:type="dxa"/>
          </w:tcPr>
          <w:p>
            <w:pPr>
              <w:pStyle w:val="Compact"/>
              <w:jc w:val="left"/>
              <w:spacing w:before="20" w:after="20" w:line="220" w:lineRule="auto"/>
            </w:pPr>
            <w:r>
              <w:rPr>
                <w:sz w:val="15"/>
                <w:szCs w:val="15"/>
              </w:rPr>
              <w:t xml:space="preserve">IFRS 17 (CPC 50)</w:t>
            </w:r>
          </w:p>
        </w:tc>
        <w:tc>
          <w:tcPr>
            <w:tcW w:w="1194" w:type="dxa"/>
          </w:tcPr>
          <w:p>
            <w:pPr>
              <w:pStyle w:val="Compact"/>
              <w:jc w:val="left"/>
              <w:spacing w:before="20" w:after="20" w:line="220" w:lineRule="auto"/>
            </w:pPr>
            <w:r>
              <w:rPr>
                <w:sz w:val="15"/>
                <w:szCs w:val="15"/>
              </w:rPr>
              <w:t xml:space="preserve">FY2025 (Dec)</w:t>
            </w:r>
          </w:p>
        </w:tc>
        <w:tc>
          <w:tcPr>
            <w:tcW w:w="597" w:type="dxa"/>
          </w:tcPr>
          <w:p>
            <w:pPr>
              <w:pStyle w:val="Compact"/>
              <w:jc w:val="left"/>
              <w:spacing w:before="20" w:after="20" w:line="220" w:lineRule="auto"/>
            </w:pPr>
            <w:r>
              <w:rPr>
                <w:sz w:val="15"/>
                <w:szCs w:val="15"/>
              </w:rPr>
              <w:t xml:space="preserve">6.8%</w:t>
            </w:r>
          </w:p>
        </w:tc>
        <w:tc>
          <w:tcPr>
            <w:tcW w:w="995" w:type="dxa"/>
          </w:tcPr>
          <w:p>
            <w:pPr>
              <w:pStyle w:val="Compact"/>
              <w:jc w:val="left"/>
              <w:spacing w:before="20" w:after="20" w:line="220" w:lineRule="auto"/>
            </w:pPr>
            <w:r>
              <w:rPr>
                <w:sz w:val="15"/>
                <w:szCs w:val="15"/>
              </w:rPr>
              <w:t xml:space="preserve">6.8%</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Credit Agricole Assurances</w:t>
            </w:r>
          </w:p>
        </w:tc>
        <w:tc>
          <w:tcPr>
            <w:tcW w:w="696" w:type="dxa"/>
          </w:tcPr>
          <w:p>
            <w:pPr>
              <w:pStyle w:val="Compact"/>
              <w:jc w:val="left"/>
              <w:spacing w:before="20" w:after="20" w:line="220" w:lineRule="auto"/>
            </w:pPr>
            <w:r>
              <w:rPr>
                <w:sz w:val="15"/>
                <w:szCs w:val="15"/>
              </w:rPr>
              <w:t xml:space="preserve">EU</w:t>
            </w:r>
          </w:p>
        </w:tc>
        <w:tc>
          <w:tcPr>
            <w:tcW w:w="895" w:type="dxa"/>
          </w:tcPr>
          <w:p>
            <w:pPr>
              <w:pStyle w:val="Compact"/>
              <w:jc w:val="left"/>
              <w:spacing w:before="20" w:after="20" w:line="220" w:lineRule="auto"/>
            </w:pPr>
            <w:r>
              <w:rPr>
                <w:sz w:val="15"/>
                <w:szCs w:val="15"/>
              </w:rPr>
              <w:t xml:space="preserve">composite</w:t>
            </w:r>
          </w:p>
        </w:tc>
        <w:tc>
          <w:tcPr>
            <w:tcW w:w="3582" w:type="dxa"/>
          </w:tcPr>
          <w:p>
            <w:pPr>
              <w:pStyle w:val="Compact"/>
              <w:jc w:val="left"/>
              <w:spacing w:before="20" w:after="20" w:line="220" w:lineRule="auto"/>
            </w:pPr>
            <w:r>
              <w:rPr>
                <w:sz w:val="15"/>
                <w:szCs w:val="15"/>
              </w:rPr>
              <w:t xml:space="preserve">bank captive (regional banks, LCL)</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FY2025 (Dec)</w:t>
            </w:r>
          </w:p>
        </w:tc>
        <w:tc>
          <w:tcPr>
            <w:tcW w:w="597" w:type="dxa"/>
          </w:tcPr>
          <w:p>
            <w:pPr>
              <w:pStyle w:val="Compact"/>
              <w:jc w:val="left"/>
              <w:spacing w:before="20" w:after="20" w:line="220" w:lineRule="auto"/>
            </w:pPr>
            <w:r>
              <w:rPr>
                <w:sz w:val="15"/>
                <w:szCs w:val="15"/>
              </w:rPr>
              <w:t xml:space="preserve">2.7%</w:t>
            </w:r>
          </w:p>
        </w:tc>
        <w:tc>
          <w:tcPr>
            <w:tcW w:w="995" w:type="dxa"/>
          </w:tcPr>
          <w:p>
            <w:pPr>
              <w:pStyle w:val="Compact"/>
              <w:jc w:val="left"/>
              <w:spacing w:before="20" w:after="20" w:line="220" w:lineRule="auto"/>
            </w:pPr>
            <w:r>
              <w:rPr>
                <w:sz w:val="15"/>
                <w:szCs w:val="15"/>
              </w:rPr>
              <w:t xml:space="preserve">2.7%</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Etiqa (Maybank insurance and takaful segment)</w:t>
            </w:r>
          </w:p>
        </w:tc>
        <w:tc>
          <w:tcPr>
            <w:tcW w:w="696" w:type="dxa"/>
          </w:tcPr>
          <w:p>
            <w:pPr>
              <w:pStyle w:val="Compact"/>
              <w:jc w:val="left"/>
              <w:spacing w:before="20" w:after="20" w:line="220" w:lineRule="auto"/>
            </w:pPr>
            <w:r>
              <w:rPr>
                <w:sz w:val="15"/>
                <w:szCs w:val="15"/>
              </w:rPr>
              <w:t xml:space="preserve">EM</w:t>
            </w:r>
          </w:p>
        </w:tc>
        <w:tc>
          <w:tcPr>
            <w:tcW w:w="895" w:type="dxa"/>
          </w:tcPr>
          <w:p>
            <w:pPr>
              <w:pStyle w:val="Compact"/>
              <w:jc w:val="left"/>
              <w:spacing w:before="20" w:after="20" w:line="220" w:lineRule="auto"/>
            </w:pPr>
            <w:r>
              <w:rPr>
                <w:sz w:val="15"/>
                <w:szCs w:val="15"/>
              </w:rPr>
              <w:t xml:space="preserve">composite</w:t>
            </w:r>
          </w:p>
        </w:tc>
        <w:tc>
          <w:tcPr>
            <w:tcW w:w="3582" w:type="dxa"/>
          </w:tcPr>
          <w:p>
            <w:pPr>
              <w:pStyle w:val="Compact"/>
              <w:jc w:val="left"/>
              <w:spacing w:before="20" w:after="20" w:line="220" w:lineRule="auto"/>
            </w:pPr>
            <w:r>
              <w:rPr>
                <w:sz w:val="15"/>
                <w:szCs w:val="15"/>
              </w:rPr>
              <w:t xml:space="preserve">partly captive (42 percent of GWP via Maybank)</w:t>
            </w:r>
          </w:p>
        </w:tc>
        <w:tc>
          <w:tcPr>
            <w:tcW w:w="2269" w:type="dxa"/>
          </w:tcPr>
          <w:p>
            <w:pPr>
              <w:pStyle w:val="Compact"/>
              <w:jc w:val="left"/>
              <w:spacing w:before="20" w:after="20" w:line="220" w:lineRule="auto"/>
            </w:pPr>
            <w:r>
              <w:rPr>
                <w:sz w:val="15"/>
                <w:szCs w:val="15"/>
              </w:rPr>
              <w:t xml:space="preserve">MFRS 17</w:t>
            </w:r>
          </w:p>
        </w:tc>
        <w:tc>
          <w:tcPr>
            <w:tcW w:w="1194" w:type="dxa"/>
          </w:tcPr>
          <w:p>
            <w:pPr>
              <w:pStyle w:val="Compact"/>
              <w:jc w:val="left"/>
              <w:spacing w:before="20" w:after="20" w:line="220" w:lineRule="auto"/>
            </w:pPr>
            <w:r>
              <w:rPr>
                <w:sz w:val="15"/>
                <w:szCs w:val="15"/>
              </w:rPr>
              <w:t xml:space="preserve">FY2025 (Dec)</w:t>
            </w:r>
          </w:p>
        </w:tc>
        <w:tc>
          <w:tcPr>
            <w:tcW w:w="597" w:type="dxa"/>
          </w:tcPr>
          <w:p>
            <w:pPr>
              <w:pStyle w:val="Compact"/>
              <w:jc w:val="left"/>
              <w:spacing w:before="20" w:after="20" w:line="220" w:lineRule="auto"/>
            </w:pPr>
            <w:r>
              <w:rPr>
                <w:sz w:val="15"/>
                <w:szCs w:val="15"/>
              </w:rPr>
              <w:t xml:space="preserve">2.7%</w:t>
            </w:r>
          </w:p>
        </w:tc>
        <w:tc>
          <w:tcPr>
            <w:tcW w:w="995" w:type="dxa"/>
          </w:tcPr>
          <w:p>
            <w:pPr>
              <w:pStyle w:val="Compact"/>
              <w:jc w:val="left"/>
              <w:spacing w:before="20" w:after="20" w:line="220" w:lineRule="auto"/>
            </w:pPr>
            <w:r>
              <w:rPr>
                <w:sz w:val="15"/>
                <w:szCs w:val="15"/>
              </w:rPr>
              <w:t xml:space="preserve">2.7%</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Intesa Sanpaolo Assicurazioni</w:t>
            </w:r>
          </w:p>
        </w:tc>
        <w:tc>
          <w:tcPr>
            <w:tcW w:w="696" w:type="dxa"/>
          </w:tcPr>
          <w:p>
            <w:pPr>
              <w:pStyle w:val="Compact"/>
              <w:jc w:val="left"/>
              <w:spacing w:before="20" w:after="20" w:line="220" w:lineRule="auto"/>
            </w:pPr>
            <w:r>
              <w:rPr>
                <w:sz w:val="15"/>
                <w:szCs w:val="15"/>
              </w:rPr>
              <w:t xml:space="preserve">EU</w:t>
            </w:r>
          </w:p>
        </w:tc>
        <w:tc>
          <w:tcPr>
            <w:tcW w:w="895" w:type="dxa"/>
          </w:tcPr>
          <w:p>
            <w:pPr>
              <w:pStyle w:val="Compact"/>
              <w:jc w:val="left"/>
              <w:spacing w:before="20" w:after="20" w:line="220" w:lineRule="auto"/>
            </w:pPr>
            <w:r>
              <w:rPr>
                <w:sz w:val="15"/>
                <w:szCs w:val="15"/>
              </w:rPr>
              <w:t xml:space="preserve">composite</w:t>
            </w:r>
          </w:p>
        </w:tc>
        <w:tc>
          <w:tcPr>
            <w:tcW w:w="3582" w:type="dxa"/>
          </w:tcPr>
          <w:p>
            <w:pPr>
              <w:pStyle w:val="Compact"/>
              <w:jc w:val="left"/>
              <w:spacing w:before="20" w:after="20" w:line="220" w:lineRule="auto"/>
            </w:pPr>
            <w:r>
              <w:rPr>
                <w:sz w:val="15"/>
                <w:szCs w:val="15"/>
              </w:rPr>
              <w:t xml:space="preserve">bank captive</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FY2025 (Dec)</w:t>
            </w:r>
          </w:p>
        </w:tc>
        <w:tc>
          <w:tcPr>
            <w:tcW w:w="597" w:type="dxa"/>
          </w:tcPr>
          <w:p>
            <w:pPr>
              <w:pStyle w:val="Compact"/>
              <w:jc w:val="left"/>
              <w:spacing w:before="20" w:after="20" w:line="220" w:lineRule="auto"/>
            </w:pPr>
            <w:r>
              <w:rPr>
                <w:sz w:val="15"/>
                <w:szCs w:val="15"/>
              </w:rPr>
              <w:t xml:space="preserve">3.9%</w:t>
            </w:r>
          </w:p>
        </w:tc>
        <w:tc>
          <w:tcPr>
            <w:tcW w:w="995" w:type="dxa"/>
          </w:tcPr>
          <w:p>
            <w:pPr>
              <w:pStyle w:val="Compact"/>
              <w:jc w:val="left"/>
              <w:spacing w:before="20" w:after="20" w:line="220" w:lineRule="auto"/>
            </w:pPr>
            <w:r>
              <w:rPr>
                <w:sz w:val="15"/>
                <w:szCs w:val="15"/>
              </w:rPr>
              <w:t xml:space="preserve">3.9%</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KBC Insurance</w:t>
            </w:r>
          </w:p>
        </w:tc>
        <w:tc>
          <w:tcPr>
            <w:tcW w:w="696" w:type="dxa"/>
          </w:tcPr>
          <w:p>
            <w:pPr>
              <w:pStyle w:val="Compact"/>
              <w:jc w:val="left"/>
              <w:spacing w:before="20" w:after="20" w:line="220" w:lineRule="auto"/>
            </w:pPr>
            <w:r>
              <w:rPr>
                <w:sz w:val="15"/>
                <w:szCs w:val="15"/>
              </w:rPr>
              <w:t xml:space="preserve">EU</w:t>
            </w:r>
          </w:p>
        </w:tc>
        <w:tc>
          <w:tcPr>
            <w:tcW w:w="895" w:type="dxa"/>
          </w:tcPr>
          <w:p>
            <w:pPr>
              <w:pStyle w:val="Compact"/>
              <w:jc w:val="left"/>
              <w:spacing w:before="20" w:after="20" w:line="220" w:lineRule="auto"/>
            </w:pPr>
            <w:r>
              <w:rPr>
                <w:sz w:val="15"/>
                <w:szCs w:val="15"/>
              </w:rPr>
              <w:t xml:space="preserve">composite</w:t>
            </w:r>
          </w:p>
        </w:tc>
        <w:tc>
          <w:tcPr>
            <w:tcW w:w="3582" w:type="dxa"/>
          </w:tcPr>
          <w:p>
            <w:pPr>
              <w:pStyle w:val="Compact"/>
              <w:jc w:val="left"/>
              <w:spacing w:before="20" w:after="20" w:line="220" w:lineRule="auto"/>
            </w:pPr>
            <w:r>
              <w:rPr>
                <w:sz w:val="15"/>
                <w:szCs w:val="15"/>
              </w:rPr>
              <w:t xml:space="preserve">bank branches and tied agents</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FY2025 (Dec)</w:t>
            </w:r>
          </w:p>
        </w:tc>
        <w:tc>
          <w:tcPr>
            <w:tcW w:w="597" w:type="dxa"/>
          </w:tcPr>
          <w:p>
            <w:pPr>
              <w:pStyle w:val="Compact"/>
              <w:jc w:val="left"/>
              <w:spacing w:before="20" w:after="20" w:line="220" w:lineRule="auto"/>
            </w:pPr>
            <w:r>
              <w:rPr>
                <w:sz w:val="15"/>
                <w:szCs w:val="15"/>
              </w:rPr>
              <w:t xml:space="preserve">5.9%</w:t>
            </w:r>
          </w:p>
        </w:tc>
        <w:tc>
          <w:tcPr>
            <w:tcW w:w="995" w:type="dxa"/>
          </w:tcPr>
          <w:p>
            <w:pPr>
              <w:pStyle w:val="Compact"/>
              <w:jc w:val="left"/>
              <w:spacing w:before="20" w:after="20" w:line="220" w:lineRule="auto"/>
            </w:pPr>
            <w:r>
              <w:rPr>
                <w:sz w:val="15"/>
                <w:szCs w:val="15"/>
              </w:rPr>
              <w:t xml:space="preserve">5.9%</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Momentum Group</w:t>
            </w:r>
          </w:p>
        </w:tc>
        <w:tc>
          <w:tcPr>
            <w:tcW w:w="696" w:type="dxa"/>
          </w:tcPr>
          <w:p>
            <w:pPr>
              <w:pStyle w:val="Compact"/>
              <w:jc w:val="left"/>
              <w:spacing w:before="20" w:after="20" w:line="220" w:lineRule="auto"/>
            </w:pPr>
            <w:r>
              <w:rPr>
                <w:sz w:val="15"/>
                <w:szCs w:val="15"/>
              </w:rPr>
              <w:t xml:space="preserve">LN</w:t>
            </w:r>
          </w:p>
        </w:tc>
        <w:tc>
          <w:tcPr>
            <w:tcW w:w="895" w:type="dxa"/>
          </w:tcPr>
          <w:p>
            <w:pPr>
              <w:pStyle w:val="Compact"/>
              <w:jc w:val="left"/>
              <w:spacing w:before="20" w:after="20" w:line="220" w:lineRule="auto"/>
            </w:pPr>
            <w:r>
              <w:rPr>
                <w:sz w:val="15"/>
                <w:szCs w:val="15"/>
              </w:rPr>
              <w:t xml:space="preserve">composite</w:t>
            </w:r>
          </w:p>
        </w:tc>
        <w:tc>
          <w:tcPr>
            <w:tcW w:w="3582" w:type="dxa"/>
          </w:tcPr>
          <w:p>
            <w:pPr>
              <w:pStyle w:val="Compact"/>
              <w:jc w:val="left"/>
              <w:spacing w:before="20" w:after="20" w:line="220" w:lineRule="auto"/>
            </w:pPr>
            <w:r>
              <w:rPr>
                <w:sz w:val="15"/>
                <w:szCs w:val="15"/>
              </w:rPr>
              <w:t xml:space="preserve">open: advisers, brokers</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FY2026 (Jun)</w:t>
            </w:r>
          </w:p>
        </w:tc>
        <w:tc>
          <w:tcPr>
            <w:tcW w:w="597" w:type="dxa"/>
          </w:tcPr>
          <w:p>
            <w:pPr>
              <w:pStyle w:val="Compact"/>
              <w:jc w:val="left"/>
              <w:spacing w:before="20" w:after="20" w:line="220" w:lineRule="auto"/>
            </w:pPr>
            <w:r>
              <w:rPr>
                <w:sz w:val="15"/>
                <w:szCs w:val="15"/>
              </w:rPr>
              <w:t xml:space="preserve">23.4%</w:t>
            </w:r>
          </w:p>
        </w:tc>
        <w:tc>
          <w:tcPr>
            <w:tcW w:w="995" w:type="dxa"/>
          </w:tcPr>
          <w:p>
            <w:pPr>
              <w:pStyle w:val="Compact"/>
              <w:jc w:val="left"/>
              <w:spacing w:before="20" w:after="20" w:line="220" w:lineRule="auto"/>
            </w:pPr>
            <w:r>
              <w:rPr>
                <w:sz w:val="15"/>
                <w:szCs w:val="15"/>
              </w:rPr>
              <w:t xml:space="preserve">23.4%</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Old Mutual Group</w:t>
            </w:r>
          </w:p>
        </w:tc>
        <w:tc>
          <w:tcPr>
            <w:tcW w:w="696" w:type="dxa"/>
          </w:tcPr>
          <w:p>
            <w:pPr>
              <w:pStyle w:val="Compact"/>
              <w:jc w:val="left"/>
              <w:spacing w:before="20" w:after="20" w:line="220" w:lineRule="auto"/>
            </w:pPr>
            <w:r>
              <w:rPr>
                <w:sz w:val="15"/>
                <w:szCs w:val="15"/>
              </w:rPr>
              <w:t xml:space="preserve">LN</w:t>
            </w:r>
          </w:p>
        </w:tc>
        <w:tc>
          <w:tcPr>
            <w:tcW w:w="895" w:type="dxa"/>
          </w:tcPr>
          <w:p>
            <w:pPr>
              <w:pStyle w:val="Compact"/>
              <w:jc w:val="left"/>
              <w:spacing w:before="20" w:after="20" w:line="220" w:lineRule="auto"/>
            </w:pPr>
            <w:r>
              <w:rPr>
                <w:sz w:val="15"/>
                <w:szCs w:val="15"/>
              </w:rPr>
              <w:t xml:space="preserve">composite</w:t>
            </w:r>
          </w:p>
        </w:tc>
        <w:tc>
          <w:tcPr>
            <w:tcW w:w="3582" w:type="dxa"/>
          </w:tcPr>
          <w:p>
            <w:pPr>
              <w:pStyle w:val="Compact"/>
              <w:jc w:val="left"/>
              <w:spacing w:before="20" w:after="20" w:line="220" w:lineRule="auto"/>
            </w:pPr>
            <w:r>
              <w:rPr>
                <w:sz w:val="15"/>
                <w:szCs w:val="15"/>
              </w:rPr>
              <w:t xml:space="preserve">open: tied advisers, brokers, bank partnerships</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FY2025 (Dec)</w:t>
            </w:r>
          </w:p>
        </w:tc>
        <w:tc>
          <w:tcPr>
            <w:tcW w:w="597" w:type="dxa"/>
          </w:tcPr>
          <w:p>
            <w:pPr>
              <w:pStyle w:val="Compact"/>
              <w:jc w:val="left"/>
              <w:spacing w:before="20" w:after="20" w:line="220" w:lineRule="auto"/>
            </w:pPr>
            <w:r>
              <w:rPr>
                <w:sz w:val="15"/>
                <w:szCs w:val="15"/>
              </w:rPr>
              <w:t xml:space="preserve">34.3%</w:t>
            </w:r>
          </w:p>
        </w:tc>
        <w:tc>
          <w:tcPr>
            <w:tcW w:w="995" w:type="dxa"/>
          </w:tcPr>
          <w:p>
            <w:pPr>
              <w:pStyle w:val="Compact"/>
              <w:jc w:val="left"/>
              <w:spacing w:before="20" w:after="20" w:line="220" w:lineRule="auto"/>
            </w:pPr>
            <w:r>
              <w:rPr>
                <w:sz w:val="15"/>
                <w:szCs w:val="15"/>
              </w:rPr>
              <w:t xml:space="preserve">34.3%</w:t>
            </w:r>
          </w:p>
        </w:tc>
        <w:tc>
          <w:tcPr>
            <w:tcW w:w="995" w:type="dxa"/>
          </w:tcPr>
          <w:p>
            <w:pPr>
              <w:pStyle w:val="Compact"/>
              <w:jc w:val="left"/>
              <w:spacing w:before="20" w:after="20" w:line="220" w:lineRule="auto"/>
            </w:pPr>
            <w:r>
              <w:rPr>
                <w:sz w:val="15"/>
                <w:szCs w:val="15"/>
              </w:rPr>
              <w:t xml:space="preserve">yes</w:t>
            </w:r>
          </w:p>
        </w:tc>
      </w:tr>
      <w:tr>
        <w:tc>
          <w:tcPr>
            <w:tcW w:w="3343" w:type="dxa"/>
          </w:tcPr>
          <w:p>
            <w:pPr>
              <w:pStyle w:val="Compact"/>
              <w:jc w:val="left"/>
              <w:spacing w:before="20" w:after="20" w:line="220" w:lineRule="auto"/>
            </w:pPr>
            <w:r>
              <w:rPr>
                <w:sz w:val="15"/>
                <w:szCs w:val="15"/>
              </w:rPr>
              <w:t xml:space="preserve">Sanlam Group</w:t>
            </w:r>
          </w:p>
        </w:tc>
        <w:tc>
          <w:tcPr>
            <w:tcW w:w="696" w:type="dxa"/>
          </w:tcPr>
          <w:p>
            <w:pPr>
              <w:pStyle w:val="Compact"/>
              <w:jc w:val="left"/>
              <w:spacing w:before="20" w:after="20" w:line="220" w:lineRule="auto"/>
            </w:pPr>
            <w:r>
              <w:rPr>
                <w:sz w:val="15"/>
                <w:szCs w:val="15"/>
              </w:rPr>
              <w:t xml:space="preserve">LN</w:t>
            </w:r>
          </w:p>
        </w:tc>
        <w:tc>
          <w:tcPr>
            <w:tcW w:w="895" w:type="dxa"/>
          </w:tcPr>
          <w:p>
            <w:pPr>
              <w:pStyle w:val="Compact"/>
              <w:jc w:val="left"/>
              <w:spacing w:before="20" w:after="20" w:line="220" w:lineRule="auto"/>
            </w:pPr>
            <w:r>
              <w:rPr>
                <w:sz w:val="15"/>
                <w:szCs w:val="15"/>
              </w:rPr>
              <w:t xml:space="preserve">composite</w:t>
            </w:r>
          </w:p>
        </w:tc>
        <w:tc>
          <w:tcPr>
            <w:tcW w:w="3582" w:type="dxa"/>
          </w:tcPr>
          <w:p>
            <w:pPr>
              <w:pStyle w:val="Compact"/>
              <w:jc w:val="left"/>
              <w:spacing w:before="20" w:after="20" w:line="220" w:lineRule="auto"/>
            </w:pPr>
            <w:r>
              <w:rPr>
                <w:sz w:val="15"/>
                <w:szCs w:val="15"/>
              </w:rPr>
              <w:t xml:space="preserve">open: advisers, brokers, affinity</w:t>
            </w:r>
          </w:p>
        </w:tc>
        <w:tc>
          <w:tcPr>
            <w:tcW w:w="2269" w:type="dxa"/>
          </w:tcPr>
          <w:p>
            <w:pPr>
              <w:pStyle w:val="Compact"/>
              <w:jc w:val="left"/>
              <w:spacing w:before="20" w:after="20" w:line="220" w:lineRule="auto"/>
            </w:pPr>
            <w:r>
              <w:rPr>
                <w:sz w:val="15"/>
                <w:szCs w:val="15"/>
              </w:rPr>
              <w:t xml:space="preserve">IFRS 17</w:t>
            </w:r>
          </w:p>
        </w:tc>
        <w:tc>
          <w:tcPr>
            <w:tcW w:w="1194" w:type="dxa"/>
          </w:tcPr>
          <w:p>
            <w:pPr>
              <w:pStyle w:val="Compact"/>
              <w:jc w:val="left"/>
              <w:spacing w:before="20" w:after="20" w:line="220" w:lineRule="auto"/>
            </w:pPr>
            <w:r>
              <w:rPr>
                <w:sz w:val="15"/>
                <w:szCs w:val="15"/>
              </w:rPr>
              <w:t xml:space="preserve">FY2025 (Dec)</w:t>
            </w:r>
          </w:p>
        </w:tc>
        <w:tc>
          <w:tcPr>
            <w:tcW w:w="597" w:type="dxa"/>
          </w:tcPr>
          <w:p>
            <w:pPr>
              <w:pStyle w:val="Compact"/>
              <w:jc w:val="left"/>
              <w:spacing w:before="20" w:after="20" w:line="220" w:lineRule="auto"/>
            </w:pPr>
            <w:r>
              <w:rPr>
                <w:sz w:val="15"/>
                <w:szCs w:val="15"/>
              </w:rPr>
              <w:t xml:space="preserve">23.2%</w:t>
            </w:r>
          </w:p>
        </w:tc>
        <w:tc>
          <w:tcPr>
            <w:tcW w:w="995" w:type="dxa"/>
          </w:tcPr>
          <w:p>
            <w:pPr>
              <w:pStyle w:val="Compact"/>
              <w:jc w:val="left"/>
              <w:spacing w:before="20" w:after="20" w:line="220" w:lineRule="auto"/>
            </w:pPr>
            <w:r>
              <w:rPr>
                <w:sz w:val="15"/>
                <w:szCs w:val="15"/>
              </w:rPr>
              <w:t xml:space="preserve">23.2%</w:t>
            </w:r>
          </w:p>
        </w:tc>
        <w:tc>
          <w:tcPr>
            <w:tcW w:w="995" w:type="dxa"/>
          </w:tcPr>
          <w:p>
            <w:pPr>
              <w:pStyle w:val="Compact"/>
              <w:jc w:val="left"/>
              <w:spacing w:before="20" w:after="20" w:line="220" w:lineRule="auto"/>
            </w:pPr>
            <w:r>
              <w:rPr>
                <w:sz w:val="15"/>
                <w:szCs w:val="15"/>
              </w:rPr>
              <w:t xml:space="preserve">yes</w:t>
            </w:r>
          </w:p>
        </w:tc>
      </w:tr>
    </w:tbl>
    <w:bookmarkEnd w:id="23"/>
    <w:bookmarkStart w:id="24" w:name="Xbf19bddbd5b15c74d8c5aaf9dd752dbc1553de7"/>
    <w:p>
      <w:pPr>
        <w:pStyle w:val="Heading4"/>
      </w:pPr>
      <w:r>
        <w:t xml:space="preserve">M2: Total operating expenses excluding commission and claims / insurance revenue</w:t>
      </w:r>
    </w:p>
    <w:tbl>
      <w:tblPr>
        <w:tblStyle w:val="Table"/>
        <w:tblLook w:firstRow="1" w:lastRow="0" w:firstColumn="0" w:lastColumn="0" w:noHBand="0" w:noVBand="0" w:val="0020"/>
        <w:jc w:val="start"/>
        <w:tblW w:w="14565" w:type="dxa"/>
        <w:tblLayout w:type="fixed"/>
      </w:tblPr>
      <w:tblGrid>
        <w:gridCol w:w="4180"/>
        <w:gridCol w:w="717"/>
        <w:gridCol w:w="922"/>
        <w:gridCol w:w="2704"/>
        <w:gridCol w:w="2151"/>
        <w:gridCol w:w="1229"/>
        <w:gridCol w:w="614"/>
        <w:gridCol w:w="1024"/>
        <w:gridCol w:w="1024"/>
      </w:tblGrid>
      <w:tr>
        <w:trPr>
          <w:tblHeader w:val="true"/>
        </w:trPr>
        <w:tc>
          <w:tcPr>
            <w:tcW w:w="4180" w:type="dxa"/>
          </w:tcPr>
          <w:p>
            <w:pPr>
              <w:pStyle w:val="Compact"/>
              <w:jc w:val="left"/>
              <w:spacing w:before="20" w:after="20" w:line="220" w:lineRule="auto"/>
            </w:pPr>
            <w:r>
              <w:rPr>
                <w:sz w:val="15"/>
                <w:szCs w:val="15"/>
              </w:rPr>
              <w:t xml:space="preserve">Entity</w:t>
            </w:r>
          </w:p>
        </w:tc>
        <w:tc>
          <w:tcPr>
            <w:tcW w:w="717" w:type="dxa"/>
          </w:tcPr>
          <w:p>
            <w:pPr>
              <w:pStyle w:val="Compact"/>
              <w:jc w:val="left"/>
              <w:spacing w:before="20" w:after="20" w:line="220" w:lineRule="auto"/>
            </w:pPr>
            <w:r>
              <w:rPr>
                <w:sz w:val="15"/>
                <w:szCs w:val="15"/>
              </w:rPr>
              <w:t xml:space="preserve">Cluster</w:t>
            </w:r>
          </w:p>
        </w:tc>
        <w:tc>
          <w:tcPr>
            <w:tcW w:w="922" w:type="dxa"/>
          </w:tcPr>
          <w:p>
            <w:pPr>
              <w:pStyle w:val="Compact"/>
              <w:jc w:val="left"/>
              <w:spacing w:before="20" w:after="20" w:line="220" w:lineRule="auto"/>
            </w:pPr>
            <w:r>
              <w:rPr>
                <w:sz w:val="15"/>
                <w:szCs w:val="15"/>
              </w:rPr>
              <w:t xml:space="preserve">Mix</w:t>
            </w:r>
          </w:p>
        </w:tc>
        <w:tc>
          <w:tcPr>
            <w:tcW w:w="2704" w:type="dxa"/>
          </w:tcPr>
          <w:p>
            <w:pPr>
              <w:pStyle w:val="Compact"/>
              <w:jc w:val="left"/>
              <w:spacing w:before="20" w:after="20" w:line="220" w:lineRule="auto"/>
            </w:pPr>
            <w:r>
              <w:rPr>
                <w:sz w:val="15"/>
                <w:szCs w:val="15"/>
              </w:rPr>
              <w:t xml:space="preserve">Distribution</w:t>
            </w:r>
          </w:p>
        </w:tc>
        <w:tc>
          <w:tcPr>
            <w:tcW w:w="2151" w:type="dxa"/>
          </w:tcPr>
          <w:p>
            <w:pPr>
              <w:pStyle w:val="Compact"/>
              <w:jc w:val="left"/>
              <w:spacing w:before="20" w:after="20" w:line="220" w:lineRule="auto"/>
            </w:pPr>
            <w:r>
              <w:rPr>
                <w:sz w:val="15"/>
                <w:szCs w:val="15"/>
              </w:rPr>
              <w:t xml:space="preserve">Basis</w:t>
            </w:r>
          </w:p>
        </w:tc>
        <w:tc>
          <w:tcPr>
            <w:tcW w:w="1229" w:type="dxa"/>
          </w:tcPr>
          <w:p>
            <w:pPr>
              <w:pStyle w:val="Compact"/>
              <w:jc w:val="left"/>
              <w:spacing w:before="20" w:after="20" w:line="220" w:lineRule="auto"/>
            </w:pPr>
            <w:r>
              <w:rPr>
                <w:sz w:val="15"/>
                <w:szCs w:val="15"/>
              </w:rPr>
              <w:t xml:space="preserve">Period</w:t>
            </w:r>
          </w:p>
        </w:tc>
        <w:tc>
          <w:tcPr>
            <w:tcW w:w="614" w:type="dxa"/>
          </w:tcPr>
          <w:p>
            <w:pPr>
              <w:pStyle w:val="Compact"/>
              <w:jc w:val="left"/>
              <w:spacing w:before="20" w:after="20" w:line="220" w:lineRule="auto"/>
            </w:pPr>
            <w:r>
              <w:rPr>
                <w:sz w:val="15"/>
                <w:szCs w:val="15"/>
              </w:rPr>
              <w:t xml:space="preserve">Raw</w:t>
            </w:r>
          </w:p>
        </w:tc>
        <w:tc>
          <w:tcPr>
            <w:tcW w:w="1024" w:type="dxa"/>
          </w:tcPr>
          <w:p>
            <w:pPr>
              <w:pStyle w:val="Compact"/>
              <w:jc w:val="left"/>
              <w:spacing w:before="20" w:after="20" w:line="220" w:lineRule="auto"/>
            </w:pPr>
            <w:r>
              <w:rPr>
                <w:sz w:val="15"/>
                <w:szCs w:val="15"/>
              </w:rPr>
              <w:t xml:space="preserve">Normalised</w:t>
            </w:r>
          </w:p>
        </w:tc>
        <w:tc>
          <w:tcPr>
            <w:tcW w:w="1024" w:type="dxa"/>
          </w:tcPr>
          <w:p>
            <w:pPr>
              <w:pStyle w:val="Compact"/>
              <w:jc w:val="left"/>
              <w:spacing w:before="20" w:after="20" w:line="220" w:lineRule="auto"/>
            </w:pPr>
            <w:r>
              <w:rPr>
                <w:sz w:val="15"/>
                <w:szCs w:val="15"/>
              </w:rPr>
              <w:t xml:space="preserve">In medians</w:t>
            </w:r>
          </w:p>
        </w:tc>
      </w:tr>
      <w:tr>
        <w:tc>
          <w:tcPr>
            <w:tcW w:w="4180" w:type="dxa"/>
          </w:tcPr>
          <w:p>
            <w:pPr>
              <w:pStyle w:val="Compact"/>
              <w:jc w:val="left"/>
              <w:spacing w:before="20" w:after="20" w:line="220" w:lineRule="auto"/>
            </w:pPr>
            <w:r>
              <w:rPr>
                <w:sz w:val="15"/>
                <w:szCs w:val="15"/>
              </w:rPr>
              <w:t xml:space="preserve">AFS Insurance SA (non-attributable plus attributable estimate†)</w:t>
            </w:r>
          </w:p>
        </w:tc>
        <w:tc>
          <w:tcPr>
            <w:tcW w:w="717" w:type="dxa"/>
          </w:tcPr>
          <w:p>
            <w:pPr>
              <w:pStyle w:val="Compact"/>
              <w:jc w:val="left"/>
              <w:spacing w:before="20" w:after="20" w:line="220" w:lineRule="auto"/>
            </w:pPr>
            <w:r>
              <w:rPr>
                <w:sz w:val="15"/>
                <w:szCs w:val="15"/>
              </w:rPr>
              <w:t xml:space="preserve">AFS</w:t>
            </w:r>
          </w:p>
        </w:tc>
        <w:tc>
          <w:tcPr>
            <w:tcW w:w="922" w:type="dxa"/>
          </w:tcPr>
          <w:p>
            <w:pPr>
              <w:pStyle w:val="Compact"/>
              <w:jc w:val="left"/>
              <w:spacing w:before="20" w:after="20" w:line="220" w:lineRule="auto"/>
            </w:pPr>
            <w:r>
              <w:rPr>
                <w:sz w:val="15"/>
                <w:szCs w:val="15"/>
              </w:rPr>
              <w:t xml:space="preserve">composite</w:t>
            </w:r>
          </w:p>
        </w:tc>
        <w:tc>
          <w:tcPr>
            <w:tcW w:w="2704" w:type="dxa"/>
          </w:tcPr>
          <w:p>
            <w:pPr>
              <w:pStyle w:val="Compact"/>
              <w:jc w:val="left"/>
              <w:spacing w:before="20" w:after="20" w:line="220" w:lineRule="auto"/>
            </w:pPr>
            <w:r>
              <w:rPr>
                <w:sz w:val="15"/>
                <w:szCs w:val="15"/>
              </w:rPr>
              <w:t xml:space="preserve">bank captive</w:t>
            </w:r>
          </w:p>
        </w:tc>
        <w:tc>
          <w:tcPr>
            <w:tcW w:w="2151" w:type="dxa"/>
          </w:tcPr>
          <w:p>
            <w:pPr>
              <w:pStyle w:val="Compact"/>
              <w:jc w:val="left"/>
              <w:spacing w:before="20" w:after="20" w:line="220" w:lineRule="auto"/>
            </w:pPr>
            <w:r>
              <w:rPr>
                <w:sz w:val="15"/>
                <w:szCs w:val="15"/>
              </w:rPr>
              <w:t xml:space="preserve">IFRS 17</w:t>
            </w:r>
          </w:p>
        </w:tc>
        <w:tc>
          <w:tcPr>
            <w:tcW w:w="1229" w:type="dxa"/>
          </w:tcPr>
          <w:p>
            <w:pPr>
              <w:pStyle w:val="Compact"/>
              <w:jc w:val="left"/>
              <w:spacing w:before="20" w:after="20" w:line="220" w:lineRule="auto"/>
            </w:pPr>
            <w:r>
              <w:rPr>
                <w:sz w:val="15"/>
                <w:szCs w:val="15"/>
              </w:rPr>
              <w:t xml:space="preserve">FY2025 (Dec)</w:t>
            </w:r>
          </w:p>
        </w:tc>
        <w:tc>
          <w:tcPr>
            <w:tcW w:w="614" w:type="dxa"/>
          </w:tcPr>
          <w:p>
            <w:pPr>
              <w:pStyle w:val="Compact"/>
              <w:jc w:val="left"/>
              <w:spacing w:before="20" w:after="20" w:line="220" w:lineRule="auto"/>
            </w:pPr>
            <w:r>
              <w:rPr>
                <w:sz w:val="15"/>
                <w:szCs w:val="15"/>
              </w:rPr>
              <w:t xml:space="preserve">19.5%</w:t>
            </w:r>
          </w:p>
        </w:tc>
        <w:tc>
          <w:tcPr>
            <w:tcW w:w="1024" w:type="dxa"/>
          </w:tcPr>
          <w:p>
            <w:pPr>
              <w:pStyle w:val="Compact"/>
              <w:jc w:val="left"/>
              <w:spacing w:before="20" w:after="20" w:line="220" w:lineRule="auto"/>
            </w:pPr>
            <w:r>
              <w:rPr>
                <w:sz w:val="15"/>
                <w:szCs w:val="15"/>
              </w:rPr>
              <w:t xml:space="preserve">19.5%</w:t>
            </w:r>
          </w:p>
        </w:tc>
        <w:tc>
          <w:tcPr>
            <w:tcW w:w="1024" w:type="dxa"/>
          </w:tcPr>
          <w:p>
            <w:pPr>
              <w:pStyle w:val="Compact"/>
              <w:jc w:val="left"/>
              <w:spacing w:before="20" w:after="20" w:line="220" w:lineRule="auto"/>
            </w:pPr>
            <w:r>
              <w:rPr>
                <w:sz w:val="15"/>
                <w:szCs w:val="15"/>
              </w:rPr>
              <w:t xml:space="preserve">no</w:t>
            </w:r>
          </w:p>
        </w:tc>
      </w:tr>
      <w:tr>
        <w:tc>
          <w:tcPr>
            <w:tcW w:w="4180" w:type="dxa"/>
          </w:tcPr>
          <w:p>
            <w:pPr>
              <w:pStyle w:val="Compact"/>
              <w:jc w:val="left"/>
              <w:spacing w:before="20" w:after="20" w:line="220" w:lineRule="auto"/>
            </w:pPr>
            <w:r>
              <w:rPr>
                <w:sz w:val="15"/>
                <w:szCs w:val="15"/>
              </w:rPr>
              <w:t xml:space="preserve">AFS Insurance SA plus intermediary block (AIFA, AIMS, Trust, Stockbrokers)†</w:t>
            </w:r>
          </w:p>
        </w:tc>
        <w:tc>
          <w:tcPr>
            <w:tcW w:w="717" w:type="dxa"/>
          </w:tcPr>
          <w:p>
            <w:pPr>
              <w:pStyle w:val="Compact"/>
              <w:jc w:val="left"/>
              <w:spacing w:before="20" w:after="20" w:line="220" w:lineRule="auto"/>
            </w:pPr>
            <w:r>
              <w:rPr>
                <w:sz w:val="15"/>
                <w:szCs w:val="15"/>
              </w:rPr>
              <w:t xml:space="preserve">AFS</w:t>
            </w:r>
          </w:p>
        </w:tc>
        <w:tc>
          <w:tcPr>
            <w:tcW w:w="922" w:type="dxa"/>
          </w:tcPr>
          <w:p>
            <w:pPr>
              <w:pStyle w:val="Compact"/>
              <w:jc w:val="left"/>
              <w:spacing w:before="20" w:after="20" w:line="220" w:lineRule="auto"/>
            </w:pPr>
            <w:r>
              <w:rPr>
                <w:sz w:val="15"/>
                <w:szCs w:val="15"/>
              </w:rPr>
              <w:t xml:space="preserve">composite</w:t>
            </w:r>
          </w:p>
        </w:tc>
        <w:tc>
          <w:tcPr>
            <w:tcW w:w="2704" w:type="dxa"/>
          </w:tcPr>
          <w:p>
            <w:pPr>
              <w:pStyle w:val="Compact"/>
              <w:jc w:val="left"/>
              <w:spacing w:before="20" w:after="20" w:line="220" w:lineRule="auto"/>
            </w:pPr>
            <w:r>
              <w:rPr>
                <w:sz w:val="15"/>
                <w:szCs w:val="15"/>
              </w:rPr>
              <w:t xml:space="preserve">bank captive</w:t>
            </w:r>
          </w:p>
        </w:tc>
        <w:tc>
          <w:tcPr>
            <w:tcW w:w="2151" w:type="dxa"/>
          </w:tcPr>
          <w:p>
            <w:pPr>
              <w:pStyle w:val="Compact"/>
              <w:jc w:val="left"/>
              <w:spacing w:before="20" w:after="20" w:line="220" w:lineRule="auto"/>
            </w:pPr>
            <w:r>
              <w:rPr>
                <w:sz w:val="15"/>
                <w:szCs w:val="15"/>
              </w:rPr>
              <w:t xml:space="preserve">IFRS 17</w:t>
            </w:r>
          </w:p>
        </w:tc>
        <w:tc>
          <w:tcPr>
            <w:tcW w:w="1229" w:type="dxa"/>
          </w:tcPr>
          <w:p>
            <w:pPr>
              <w:pStyle w:val="Compact"/>
              <w:jc w:val="left"/>
              <w:spacing w:before="20" w:after="20" w:line="220" w:lineRule="auto"/>
            </w:pPr>
            <w:r>
              <w:rPr>
                <w:sz w:val="15"/>
                <w:szCs w:val="15"/>
              </w:rPr>
              <w:t xml:space="preserve">FY2025 (Dec)</w:t>
            </w:r>
          </w:p>
        </w:tc>
        <w:tc>
          <w:tcPr>
            <w:tcW w:w="614" w:type="dxa"/>
          </w:tcPr>
          <w:p>
            <w:pPr>
              <w:pStyle w:val="Compact"/>
              <w:jc w:val="left"/>
              <w:spacing w:before="20" w:after="20" w:line="220" w:lineRule="auto"/>
            </w:pPr>
            <w:r>
              <w:rPr>
                <w:sz w:val="15"/>
                <w:szCs w:val="15"/>
              </w:rPr>
              <w:t xml:space="preserve">38.5%</w:t>
            </w:r>
          </w:p>
        </w:tc>
        <w:tc>
          <w:tcPr>
            <w:tcW w:w="1024" w:type="dxa"/>
          </w:tcPr>
          <w:p>
            <w:pPr>
              <w:pStyle w:val="Compact"/>
              <w:jc w:val="left"/>
              <w:spacing w:before="20" w:after="20" w:line="220" w:lineRule="auto"/>
            </w:pPr>
            <w:r>
              <w:rPr>
                <w:sz w:val="15"/>
                <w:szCs w:val="15"/>
              </w:rPr>
              <w:t xml:space="preserve">38.5%</w:t>
            </w:r>
          </w:p>
        </w:tc>
        <w:tc>
          <w:tcPr>
            <w:tcW w:w="1024" w:type="dxa"/>
          </w:tcPr>
          <w:p>
            <w:pPr>
              <w:pStyle w:val="Compact"/>
              <w:jc w:val="left"/>
              <w:spacing w:before="20" w:after="20" w:line="220" w:lineRule="auto"/>
            </w:pPr>
            <w:r>
              <w:rPr>
                <w:sz w:val="15"/>
                <w:szCs w:val="15"/>
              </w:rPr>
              <w:t xml:space="preserve">no</w:t>
            </w:r>
          </w:p>
        </w:tc>
      </w:tr>
      <w:tr>
        <w:tc>
          <w:tcPr>
            <w:tcW w:w="4180" w:type="dxa"/>
          </w:tcPr>
          <w:p>
            <w:pPr>
              <w:pStyle w:val="Compact"/>
              <w:jc w:val="left"/>
              <w:spacing w:before="20" w:after="20" w:line="220" w:lineRule="auto"/>
            </w:pPr>
            <w:r>
              <w:rPr>
                <w:sz w:val="15"/>
                <w:szCs w:val="15"/>
              </w:rPr>
              <w:t xml:space="preserve">Capitec Life (Capitec)</w:t>
            </w:r>
          </w:p>
        </w:tc>
        <w:tc>
          <w:tcPr>
            <w:tcW w:w="717" w:type="dxa"/>
          </w:tcPr>
          <w:p>
            <w:pPr>
              <w:pStyle w:val="Compact"/>
              <w:jc w:val="left"/>
              <w:spacing w:before="20" w:after="20" w:line="220" w:lineRule="auto"/>
            </w:pPr>
            <w:r>
              <w:rPr>
                <w:sz w:val="15"/>
                <w:szCs w:val="15"/>
              </w:rPr>
              <w:t xml:space="preserve">LB</w:t>
            </w:r>
          </w:p>
        </w:tc>
        <w:tc>
          <w:tcPr>
            <w:tcW w:w="922" w:type="dxa"/>
          </w:tcPr>
          <w:p>
            <w:pPr>
              <w:pStyle w:val="Compact"/>
              <w:jc w:val="left"/>
              <w:spacing w:before="20" w:after="20" w:line="220" w:lineRule="auto"/>
            </w:pPr>
            <w:r>
              <w:rPr>
                <w:sz w:val="15"/>
                <w:szCs w:val="15"/>
              </w:rPr>
              <w:t xml:space="preserve">life</w:t>
            </w:r>
          </w:p>
        </w:tc>
        <w:tc>
          <w:tcPr>
            <w:tcW w:w="2704" w:type="dxa"/>
          </w:tcPr>
          <w:p>
            <w:pPr>
              <w:pStyle w:val="Compact"/>
              <w:jc w:val="left"/>
              <w:spacing w:before="20" w:after="20" w:line="220" w:lineRule="auto"/>
            </w:pPr>
            <w:r>
              <w:rPr>
                <w:sz w:val="15"/>
                <w:szCs w:val="15"/>
              </w:rPr>
              <w:t xml:space="preserve">bank captive</w:t>
            </w:r>
          </w:p>
        </w:tc>
        <w:tc>
          <w:tcPr>
            <w:tcW w:w="2151" w:type="dxa"/>
          </w:tcPr>
          <w:p>
            <w:pPr>
              <w:pStyle w:val="Compact"/>
              <w:jc w:val="left"/>
              <w:spacing w:before="20" w:after="20" w:line="220" w:lineRule="auto"/>
            </w:pPr>
            <w:r>
              <w:rPr>
                <w:sz w:val="15"/>
                <w:szCs w:val="15"/>
              </w:rPr>
              <w:t xml:space="preserve">IFRS 17</w:t>
            </w:r>
          </w:p>
        </w:tc>
        <w:tc>
          <w:tcPr>
            <w:tcW w:w="1229" w:type="dxa"/>
          </w:tcPr>
          <w:p>
            <w:pPr>
              <w:pStyle w:val="Compact"/>
              <w:jc w:val="left"/>
              <w:spacing w:before="20" w:after="20" w:line="220" w:lineRule="auto"/>
            </w:pPr>
            <w:r>
              <w:rPr>
                <w:sz w:val="15"/>
                <w:szCs w:val="15"/>
              </w:rPr>
              <w:t xml:space="preserve">FY2026 (Feb)</w:t>
            </w:r>
          </w:p>
        </w:tc>
        <w:tc>
          <w:tcPr>
            <w:tcW w:w="614" w:type="dxa"/>
          </w:tcPr>
          <w:p>
            <w:pPr>
              <w:pStyle w:val="Compact"/>
              <w:jc w:val="left"/>
              <w:spacing w:before="20" w:after="20" w:line="220" w:lineRule="auto"/>
            </w:pPr>
            <w:r>
              <w:rPr>
                <w:sz w:val="15"/>
                <w:szCs w:val="15"/>
              </w:rPr>
              <w:t xml:space="preserve">4.4%</w:t>
            </w:r>
          </w:p>
        </w:tc>
        <w:tc>
          <w:tcPr>
            <w:tcW w:w="1024" w:type="dxa"/>
          </w:tcPr>
          <w:p>
            <w:pPr>
              <w:pStyle w:val="Compact"/>
              <w:jc w:val="left"/>
              <w:spacing w:before="20" w:after="20" w:line="220" w:lineRule="auto"/>
            </w:pPr>
            <w:r>
              <w:rPr>
                <w:sz w:val="15"/>
                <w:szCs w:val="15"/>
              </w:rPr>
              <w:t xml:space="preserve">4.4%</w:t>
            </w:r>
          </w:p>
        </w:tc>
        <w:tc>
          <w:tcPr>
            <w:tcW w:w="1024" w:type="dxa"/>
          </w:tcPr>
          <w:p>
            <w:pPr>
              <w:pStyle w:val="Compact"/>
              <w:jc w:val="left"/>
              <w:spacing w:before="20" w:after="20" w:line="220" w:lineRule="auto"/>
            </w:pPr>
            <w:r>
              <w:rPr>
                <w:sz w:val="15"/>
                <w:szCs w:val="15"/>
              </w:rPr>
              <w:t xml:space="preserve">yes</w:t>
            </w:r>
          </w:p>
        </w:tc>
      </w:tr>
      <w:tr>
        <w:tc>
          <w:tcPr>
            <w:tcW w:w="4180" w:type="dxa"/>
          </w:tcPr>
          <w:p>
            <w:pPr>
              <w:pStyle w:val="Compact"/>
              <w:jc w:val="left"/>
              <w:spacing w:before="20" w:after="20" w:line="220" w:lineRule="auto"/>
            </w:pPr>
            <w:r>
              <w:rPr>
                <w:sz w:val="15"/>
                <w:szCs w:val="15"/>
              </w:rPr>
              <w:t xml:space="preserve">Etiqa Family Takaful</w:t>
            </w:r>
          </w:p>
        </w:tc>
        <w:tc>
          <w:tcPr>
            <w:tcW w:w="717" w:type="dxa"/>
          </w:tcPr>
          <w:p>
            <w:pPr>
              <w:pStyle w:val="Compact"/>
              <w:jc w:val="left"/>
              <w:spacing w:before="20" w:after="20" w:line="220" w:lineRule="auto"/>
            </w:pPr>
            <w:r>
              <w:rPr>
                <w:sz w:val="15"/>
                <w:szCs w:val="15"/>
              </w:rPr>
              <w:t xml:space="preserve">EM</w:t>
            </w:r>
          </w:p>
        </w:tc>
        <w:tc>
          <w:tcPr>
            <w:tcW w:w="922" w:type="dxa"/>
          </w:tcPr>
          <w:p>
            <w:pPr>
              <w:pStyle w:val="Compact"/>
              <w:jc w:val="left"/>
              <w:spacing w:before="20" w:after="20" w:line="220" w:lineRule="auto"/>
            </w:pPr>
            <w:r>
              <w:rPr>
                <w:sz w:val="15"/>
                <w:szCs w:val="15"/>
              </w:rPr>
              <w:t xml:space="preserve">life</w:t>
            </w:r>
          </w:p>
        </w:tc>
        <w:tc>
          <w:tcPr>
            <w:tcW w:w="2704" w:type="dxa"/>
          </w:tcPr>
          <w:p>
            <w:pPr>
              <w:pStyle w:val="Compact"/>
              <w:jc w:val="left"/>
              <w:spacing w:before="20" w:after="20" w:line="220" w:lineRule="auto"/>
            </w:pPr>
            <w:r>
              <w:rPr>
                <w:sz w:val="15"/>
                <w:szCs w:val="15"/>
              </w:rPr>
              <w:t xml:space="preserve">partly captive</w:t>
            </w:r>
          </w:p>
        </w:tc>
        <w:tc>
          <w:tcPr>
            <w:tcW w:w="2151" w:type="dxa"/>
          </w:tcPr>
          <w:p>
            <w:pPr>
              <w:pStyle w:val="Compact"/>
              <w:jc w:val="left"/>
              <w:spacing w:before="20" w:after="20" w:line="220" w:lineRule="auto"/>
            </w:pPr>
            <w:r>
              <w:rPr>
                <w:sz w:val="15"/>
                <w:szCs w:val="15"/>
              </w:rPr>
              <w:t xml:space="preserve">MFRS 17</w:t>
            </w:r>
          </w:p>
        </w:tc>
        <w:tc>
          <w:tcPr>
            <w:tcW w:w="1229" w:type="dxa"/>
          </w:tcPr>
          <w:p>
            <w:pPr>
              <w:pStyle w:val="Compact"/>
              <w:jc w:val="left"/>
              <w:spacing w:before="20" w:after="20" w:line="220" w:lineRule="auto"/>
            </w:pPr>
            <w:r>
              <w:rPr>
                <w:sz w:val="15"/>
                <w:szCs w:val="15"/>
              </w:rPr>
              <w:t xml:space="preserve">FY2025 (Dec)</w:t>
            </w:r>
          </w:p>
        </w:tc>
        <w:tc>
          <w:tcPr>
            <w:tcW w:w="614" w:type="dxa"/>
          </w:tcPr>
          <w:p>
            <w:pPr>
              <w:pStyle w:val="Compact"/>
              <w:jc w:val="left"/>
              <w:spacing w:before="20" w:after="20" w:line="220" w:lineRule="auto"/>
            </w:pPr>
            <w:r>
              <w:rPr>
                <w:sz w:val="15"/>
                <w:szCs w:val="15"/>
              </w:rPr>
              <w:t xml:space="preserve">14.7%</w:t>
            </w:r>
          </w:p>
        </w:tc>
        <w:tc>
          <w:tcPr>
            <w:tcW w:w="1024" w:type="dxa"/>
          </w:tcPr>
          <w:p>
            <w:pPr>
              <w:pStyle w:val="Compact"/>
              <w:jc w:val="left"/>
              <w:spacing w:before="20" w:after="20" w:line="220" w:lineRule="auto"/>
            </w:pPr>
            <w:r>
              <w:rPr>
                <w:sz w:val="15"/>
                <w:szCs w:val="15"/>
              </w:rPr>
              <w:t xml:space="preserve">14.7%</w:t>
            </w:r>
          </w:p>
        </w:tc>
        <w:tc>
          <w:tcPr>
            <w:tcW w:w="1024" w:type="dxa"/>
          </w:tcPr>
          <w:p>
            <w:pPr>
              <w:pStyle w:val="Compact"/>
              <w:jc w:val="left"/>
              <w:spacing w:before="20" w:after="20" w:line="220" w:lineRule="auto"/>
            </w:pPr>
            <w:r>
              <w:rPr>
                <w:sz w:val="15"/>
                <w:szCs w:val="15"/>
              </w:rPr>
              <w:t xml:space="preserve">yes</w:t>
            </w:r>
          </w:p>
        </w:tc>
      </w:tr>
      <w:tr>
        <w:tc>
          <w:tcPr>
            <w:tcW w:w="4180" w:type="dxa"/>
          </w:tcPr>
          <w:p>
            <w:pPr>
              <w:pStyle w:val="Compact"/>
              <w:jc w:val="left"/>
              <w:spacing w:before="20" w:after="20" w:line="220" w:lineRule="auto"/>
            </w:pPr>
            <w:r>
              <w:rPr>
                <w:sz w:val="15"/>
                <w:szCs w:val="15"/>
              </w:rPr>
              <w:t xml:space="preserve">Etiqa Life Insurance</w:t>
            </w:r>
          </w:p>
        </w:tc>
        <w:tc>
          <w:tcPr>
            <w:tcW w:w="717" w:type="dxa"/>
          </w:tcPr>
          <w:p>
            <w:pPr>
              <w:pStyle w:val="Compact"/>
              <w:jc w:val="left"/>
              <w:spacing w:before="20" w:after="20" w:line="220" w:lineRule="auto"/>
            </w:pPr>
            <w:r>
              <w:rPr>
                <w:sz w:val="15"/>
                <w:szCs w:val="15"/>
              </w:rPr>
              <w:t xml:space="preserve">EM</w:t>
            </w:r>
          </w:p>
        </w:tc>
        <w:tc>
          <w:tcPr>
            <w:tcW w:w="922" w:type="dxa"/>
          </w:tcPr>
          <w:p>
            <w:pPr>
              <w:pStyle w:val="Compact"/>
              <w:jc w:val="left"/>
              <w:spacing w:before="20" w:after="20" w:line="220" w:lineRule="auto"/>
            </w:pPr>
            <w:r>
              <w:rPr>
                <w:sz w:val="15"/>
                <w:szCs w:val="15"/>
              </w:rPr>
              <w:t xml:space="preserve">life</w:t>
            </w:r>
          </w:p>
        </w:tc>
        <w:tc>
          <w:tcPr>
            <w:tcW w:w="2704" w:type="dxa"/>
          </w:tcPr>
          <w:p>
            <w:pPr>
              <w:pStyle w:val="Compact"/>
              <w:jc w:val="left"/>
              <w:spacing w:before="20" w:after="20" w:line="220" w:lineRule="auto"/>
            </w:pPr>
            <w:r>
              <w:rPr>
                <w:sz w:val="15"/>
                <w:szCs w:val="15"/>
              </w:rPr>
              <w:t xml:space="preserve">partly captive</w:t>
            </w:r>
          </w:p>
        </w:tc>
        <w:tc>
          <w:tcPr>
            <w:tcW w:w="2151" w:type="dxa"/>
          </w:tcPr>
          <w:p>
            <w:pPr>
              <w:pStyle w:val="Compact"/>
              <w:jc w:val="left"/>
              <w:spacing w:before="20" w:after="20" w:line="220" w:lineRule="auto"/>
            </w:pPr>
            <w:r>
              <w:rPr>
                <w:sz w:val="15"/>
                <w:szCs w:val="15"/>
              </w:rPr>
              <w:t xml:space="preserve">MFRS 17</w:t>
            </w:r>
          </w:p>
        </w:tc>
        <w:tc>
          <w:tcPr>
            <w:tcW w:w="1229" w:type="dxa"/>
          </w:tcPr>
          <w:p>
            <w:pPr>
              <w:pStyle w:val="Compact"/>
              <w:jc w:val="left"/>
              <w:spacing w:before="20" w:after="20" w:line="220" w:lineRule="auto"/>
            </w:pPr>
            <w:r>
              <w:rPr>
                <w:sz w:val="15"/>
                <w:szCs w:val="15"/>
              </w:rPr>
              <w:t xml:space="preserve">FY2025 (Dec)</w:t>
            </w:r>
          </w:p>
        </w:tc>
        <w:tc>
          <w:tcPr>
            <w:tcW w:w="614" w:type="dxa"/>
          </w:tcPr>
          <w:p>
            <w:pPr>
              <w:pStyle w:val="Compact"/>
              <w:jc w:val="left"/>
              <w:spacing w:before="20" w:after="20" w:line="220" w:lineRule="auto"/>
            </w:pPr>
            <w:r>
              <w:rPr>
                <w:sz w:val="15"/>
                <w:szCs w:val="15"/>
              </w:rPr>
              <w:t xml:space="preserve">31.6%</w:t>
            </w:r>
          </w:p>
        </w:tc>
        <w:tc>
          <w:tcPr>
            <w:tcW w:w="1024" w:type="dxa"/>
          </w:tcPr>
          <w:p>
            <w:pPr>
              <w:pStyle w:val="Compact"/>
              <w:jc w:val="left"/>
              <w:spacing w:before="20" w:after="20" w:line="220" w:lineRule="auto"/>
            </w:pPr>
            <w:r>
              <w:rPr>
                <w:sz w:val="15"/>
                <w:szCs w:val="15"/>
              </w:rPr>
              <w:t xml:space="preserve">31.6%</w:t>
            </w:r>
          </w:p>
        </w:tc>
        <w:tc>
          <w:tcPr>
            <w:tcW w:w="1024" w:type="dxa"/>
          </w:tcPr>
          <w:p>
            <w:pPr>
              <w:pStyle w:val="Compact"/>
              <w:jc w:val="left"/>
              <w:spacing w:before="20" w:after="20" w:line="220" w:lineRule="auto"/>
            </w:pPr>
            <w:r>
              <w:rPr>
                <w:sz w:val="15"/>
                <w:szCs w:val="15"/>
              </w:rPr>
              <w:t xml:space="preserve">yes</w:t>
            </w:r>
          </w:p>
        </w:tc>
      </w:tr>
      <w:tr>
        <w:tc>
          <w:tcPr>
            <w:tcW w:w="4180" w:type="dxa"/>
          </w:tcPr>
          <w:p>
            <w:pPr>
              <w:pStyle w:val="Compact"/>
              <w:jc w:val="left"/>
              <w:spacing w:before="20" w:after="20" w:line="220" w:lineRule="auto"/>
            </w:pPr>
            <w:r>
              <w:rPr>
                <w:sz w:val="15"/>
                <w:szCs w:val="15"/>
              </w:rPr>
              <w:t xml:space="preserve">Liberty Group (Standard Bank)</w:t>
            </w:r>
          </w:p>
        </w:tc>
        <w:tc>
          <w:tcPr>
            <w:tcW w:w="717" w:type="dxa"/>
          </w:tcPr>
          <w:p>
            <w:pPr>
              <w:pStyle w:val="Compact"/>
              <w:jc w:val="left"/>
              <w:spacing w:before="20" w:after="20" w:line="220" w:lineRule="auto"/>
            </w:pPr>
            <w:r>
              <w:rPr>
                <w:sz w:val="15"/>
                <w:szCs w:val="15"/>
              </w:rPr>
              <w:t xml:space="preserve">LB</w:t>
            </w:r>
          </w:p>
        </w:tc>
        <w:tc>
          <w:tcPr>
            <w:tcW w:w="922" w:type="dxa"/>
          </w:tcPr>
          <w:p>
            <w:pPr>
              <w:pStyle w:val="Compact"/>
              <w:jc w:val="left"/>
              <w:spacing w:before="20" w:after="20" w:line="220" w:lineRule="auto"/>
            </w:pPr>
            <w:r>
              <w:rPr>
                <w:sz w:val="15"/>
                <w:szCs w:val="15"/>
              </w:rPr>
              <w:t xml:space="preserve">life</w:t>
            </w:r>
          </w:p>
        </w:tc>
        <w:tc>
          <w:tcPr>
            <w:tcW w:w="2704" w:type="dxa"/>
          </w:tcPr>
          <w:p>
            <w:pPr>
              <w:pStyle w:val="Compact"/>
              <w:jc w:val="left"/>
              <w:spacing w:before="20" w:after="20" w:line="220" w:lineRule="auto"/>
            </w:pPr>
            <w:r>
              <w:rPr>
                <w:sz w:val="15"/>
                <w:szCs w:val="15"/>
              </w:rPr>
              <w:t xml:space="preserve">mixed</w:t>
            </w:r>
          </w:p>
        </w:tc>
        <w:tc>
          <w:tcPr>
            <w:tcW w:w="2151" w:type="dxa"/>
          </w:tcPr>
          <w:p>
            <w:pPr>
              <w:pStyle w:val="Compact"/>
              <w:jc w:val="left"/>
              <w:spacing w:before="20" w:after="20" w:line="220" w:lineRule="auto"/>
            </w:pPr>
            <w:r>
              <w:rPr>
                <w:sz w:val="15"/>
                <w:szCs w:val="15"/>
              </w:rPr>
              <w:t xml:space="preserve">IFRS 17</w:t>
            </w:r>
          </w:p>
        </w:tc>
        <w:tc>
          <w:tcPr>
            <w:tcW w:w="1229" w:type="dxa"/>
          </w:tcPr>
          <w:p>
            <w:pPr>
              <w:pStyle w:val="Compact"/>
              <w:jc w:val="left"/>
              <w:spacing w:before="20" w:after="20" w:line="220" w:lineRule="auto"/>
            </w:pPr>
            <w:r>
              <w:rPr>
                <w:sz w:val="15"/>
                <w:szCs w:val="15"/>
              </w:rPr>
              <w:t xml:space="preserve">FY2025 (Dec)</w:t>
            </w:r>
          </w:p>
        </w:tc>
        <w:tc>
          <w:tcPr>
            <w:tcW w:w="614" w:type="dxa"/>
          </w:tcPr>
          <w:p>
            <w:pPr>
              <w:pStyle w:val="Compact"/>
              <w:jc w:val="left"/>
              <w:spacing w:before="20" w:after="20" w:line="220" w:lineRule="auto"/>
            </w:pPr>
            <w:r>
              <w:rPr>
                <w:sz w:val="15"/>
                <w:szCs w:val="15"/>
              </w:rPr>
              <w:t xml:space="preserve">30.8%</w:t>
            </w:r>
          </w:p>
        </w:tc>
        <w:tc>
          <w:tcPr>
            <w:tcW w:w="1024" w:type="dxa"/>
          </w:tcPr>
          <w:p>
            <w:pPr>
              <w:pStyle w:val="Compact"/>
              <w:jc w:val="left"/>
              <w:spacing w:before="20" w:after="20" w:line="220" w:lineRule="auto"/>
            </w:pPr>
            <w:r>
              <w:rPr>
                <w:sz w:val="15"/>
                <w:szCs w:val="15"/>
              </w:rPr>
              <w:t xml:space="preserve">30.8%</w:t>
            </w:r>
          </w:p>
        </w:tc>
        <w:tc>
          <w:tcPr>
            <w:tcW w:w="1024" w:type="dxa"/>
          </w:tcPr>
          <w:p>
            <w:pPr>
              <w:pStyle w:val="Compact"/>
              <w:jc w:val="left"/>
              <w:spacing w:before="20" w:after="20" w:line="220" w:lineRule="auto"/>
            </w:pPr>
            <w:r>
              <w:rPr>
                <w:sz w:val="15"/>
                <w:szCs w:val="15"/>
              </w:rPr>
              <w:t xml:space="preserve">yes</w:t>
            </w:r>
          </w:p>
        </w:tc>
      </w:tr>
      <w:tr>
        <w:tc>
          <w:tcPr>
            <w:tcW w:w="4180" w:type="dxa"/>
          </w:tcPr>
          <w:p>
            <w:pPr>
              <w:pStyle w:val="Compact"/>
              <w:jc w:val="left"/>
              <w:spacing w:before="20" w:after="20" w:line="220" w:lineRule="auto"/>
            </w:pPr>
            <w:r>
              <w:rPr>
                <w:sz w:val="15"/>
                <w:szCs w:val="15"/>
              </w:rPr>
              <w:t xml:space="preserve">SBI Life (opex / GWP)</w:t>
            </w:r>
          </w:p>
        </w:tc>
        <w:tc>
          <w:tcPr>
            <w:tcW w:w="717" w:type="dxa"/>
          </w:tcPr>
          <w:p>
            <w:pPr>
              <w:pStyle w:val="Compact"/>
              <w:jc w:val="left"/>
              <w:spacing w:before="20" w:after="20" w:line="220" w:lineRule="auto"/>
            </w:pPr>
            <w:r>
              <w:rPr>
                <w:sz w:val="15"/>
                <w:szCs w:val="15"/>
              </w:rPr>
              <w:t xml:space="preserve">EM</w:t>
            </w:r>
          </w:p>
        </w:tc>
        <w:tc>
          <w:tcPr>
            <w:tcW w:w="922" w:type="dxa"/>
          </w:tcPr>
          <w:p>
            <w:pPr>
              <w:pStyle w:val="Compact"/>
              <w:jc w:val="left"/>
              <w:spacing w:before="20" w:after="20" w:line="220" w:lineRule="auto"/>
            </w:pPr>
            <w:r>
              <w:rPr>
                <w:sz w:val="15"/>
                <w:szCs w:val="15"/>
              </w:rPr>
              <w:t xml:space="preserve">life</w:t>
            </w:r>
          </w:p>
        </w:tc>
        <w:tc>
          <w:tcPr>
            <w:tcW w:w="2704" w:type="dxa"/>
          </w:tcPr>
          <w:p>
            <w:pPr>
              <w:pStyle w:val="Compact"/>
              <w:jc w:val="left"/>
              <w:spacing w:before="20" w:after="20" w:line="220" w:lineRule="auto"/>
            </w:pPr>
            <w:r>
              <w:rPr>
                <w:sz w:val="15"/>
                <w:szCs w:val="15"/>
              </w:rPr>
              <w:t xml:space="preserve">bank-led (60 percent of APE via SBI)</w:t>
            </w:r>
          </w:p>
        </w:tc>
        <w:tc>
          <w:tcPr>
            <w:tcW w:w="2151" w:type="dxa"/>
          </w:tcPr>
          <w:p>
            <w:pPr>
              <w:pStyle w:val="Compact"/>
              <w:jc w:val="left"/>
              <w:spacing w:before="20" w:after="20" w:line="220" w:lineRule="auto"/>
            </w:pPr>
            <w:r>
              <w:rPr>
                <w:sz w:val="15"/>
                <w:szCs w:val="15"/>
              </w:rPr>
              <w:t xml:space="preserve">IRDAI GAAP, GWP denominator</w:t>
            </w:r>
          </w:p>
        </w:tc>
        <w:tc>
          <w:tcPr>
            <w:tcW w:w="1229" w:type="dxa"/>
          </w:tcPr>
          <w:p>
            <w:pPr>
              <w:pStyle w:val="Compact"/>
              <w:jc w:val="left"/>
              <w:spacing w:before="20" w:after="20" w:line="220" w:lineRule="auto"/>
            </w:pPr>
            <w:r>
              <w:rPr>
                <w:sz w:val="15"/>
                <w:szCs w:val="15"/>
              </w:rPr>
              <w:t xml:space="preserve">FY2026 (Mar)</w:t>
            </w:r>
          </w:p>
        </w:tc>
        <w:tc>
          <w:tcPr>
            <w:tcW w:w="614" w:type="dxa"/>
          </w:tcPr>
          <w:p>
            <w:pPr>
              <w:pStyle w:val="Compact"/>
              <w:jc w:val="left"/>
              <w:spacing w:before="20" w:after="20" w:line="220" w:lineRule="auto"/>
            </w:pPr>
            <w:r>
              <w:rPr>
                <w:sz w:val="15"/>
                <w:szCs w:val="15"/>
              </w:rPr>
              <w:t xml:space="preserve">6.1%</w:t>
            </w:r>
          </w:p>
        </w:tc>
        <w:tc>
          <w:tcPr>
            <w:tcW w:w="1024" w:type="dxa"/>
          </w:tcPr>
          <w:p>
            <w:pPr>
              <w:pStyle w:val="Compact"/>
              <w:jc w:val="left"/>
              <w:spacing w:before="20" w:after="20" w:line="220" w:lineRule="auto"/>
            </w:pPr>
            <w:r>
              <w:rPr>
                <w:sz w:val="15"/>
                <w:szCs w:val="15"/>
              </w:rPr>
              <w:t xml:space="preserve">6.1%</w:t>
            </w:r>
          </w:p>
        </w:tc>
        <w:tc>
          <w:tcPr>
            <w:tcW w:w="1024" w:type="dxa"/>
          </w:tcPr>
          <w:p>
            <w:pPr>
              <w:pStyle w:val="Compact"/>
              <w:jc w:val="left"/>
              <w:spacing w:before="20" w:after="20" w:line="220" w:lineRule="auto"/>
            </w:pPr>
            <w:r>
              <w:rPr>
                <w:sz w:val="15"/>
                <w:szCs w:val="15"/>
              </w:rPr>
              <w:t xml:space="preserve">no</w:t>
            </w:r>
          </w:p>
        </w:tc>
      </w:tr>
      <w:tr>
        <w:tc>
          <w:tcPr>
            <w:tcW w:w="4180" w:type="dxa"/>
          </w:tcPr>
          <w:p>
            <w:pPr>
              <w:pStyle w:val="Compact"/>
              <w:jc w:val="left"/>
              <w:spacing w:before="20" w:after="20" w:line="220" w:lineRule="auto"/>
            </w:pPr>
            <w:r>
              <w:rPr>
                <w:sz w:val="15"/>
                <w:szCs w:val="15"/>
              </w:rPr>
              <w:t xml:space="preserve">Scottish Widows Limited (Lloyds)</w:t>
            </w:r>
          </w:p>
        </w:tc>
        <w:tc>
          <w:tcPr>
            <w:tcW w:w="717" w:type="dxa"/>
          </w:tcPr>
          <w:p>
            <w:pPr>
              <w:pStyle w:val="Compact"/>
              <w:jc w:val="left"/>
              <w:spacing w:before="20" w:after="20" w:line="220" w:lineRule="auto"/>
            </w:pPr>
            <w:r>
              <w:rPr>
                <w:sz w:val="15"/>
                <w:szCs w:val="15"/>
              </w:rPr>
              <w:t xml:space="preserve">EU</w:t>
            </w:r>
          </w:p>
        </w:tc>
        <w:tc>
          <w:tcPr>
            <w:tcW w:w="922" w:type="dxa"/>
          </w:tcPr>
          <w:p>
            <w:pPr>
              <w:pStyle w:val="Compact"/>
              <w:jc w:val="left"/>
              <w:spacing w:before="20" w:after="20" w:line="220" w:lineRule="auto"/>
            </w:pPr>
            <w:r>
              <w:rPr>
                <w:sz w:val="15"/>
                <w:szCs w:val="15"/>
              </w:rPr>
              <w:t xml:space="preserve">life</w:t>
            </w:r>
          </w:p>
        </w:tc>
        <w:tc>
          <w:tcPr>
            <w:tcW w:w="2704" w:type="dxa"/>
          </w:tcPr>
          <w:p>
            <w:pPr>
              <w:pStyle w:val="Compact"/>
              <w:jc w:val="left"/>
              <w:spacing w:before="20" w:after="20" w:line="220" w:lineRule="auto"/>
            </w:pPr>
            <w:r>
              <w:rPr>
                <w:sz w:val="15"/>
                <w:szCs w:val="15"/>
              </w:rPr>
              <w:t xml:space="preserve">bank captive</w:t>
            </w:r>
          </w:p>
        </w:tc>
        <w:tc>
          <w:tcPr>
            <w:tcW w:w="2151" w:type="dxa"/>
          </w:tcPr>
          <w:p>
            <w:pPr>
              <w:pStyle w:val="Compact"/>
              <w:jc w:val="left"/>
              <w:spacing w:before="20" w:after="20" w:line="220" w:lineRule="auto"/>
            </w:pPr>
            <w:r>
              <w:rPr>
                <w:sz w:val="15"/>
                <w:szCs w:val="15"/>
              </w:rPr>
              <w:t xml:space="preserve">IFRS 17</w:t>
            </w:r>
          </w:p>
        </w:tc>
        <w:tc>
          <w:tcPr>
            <w:tcW w:w="1229" w:type="dxa"/>
          </w:tcPr>
          <w:p>
            <w:pPr>
              <w:pStyle w:val="Compact"/>
              <w:jc w:val="left"/>
              <w:spacing w:before="20" w:after="20" w:line="220" w:lineRule="auto"/>
            </w:pPr>
            <w:r>
              <w:rPr>
                <w:sz w:val="15"/>
                <w:szCs w:val="15"/>
              </w:rPr>
              <w:t xml:space="preserve">FY2024 (Dec)</w:t>
            </w:r>
          </w:p>
        </w:tc>
        <w:tc>
          <w:tcPr>
            <w:tcW w:w="614" w:type="dxa"/>
          </w:tcPr>
          <w:p>
            <w:pPr>
              <w:pStyle w:val="Compact"/>
              <w:jc w:val="left"/>
              <w:spacing w:before="20" w:after="20" w:line="220" w:lineRule="auto"/>
            </w:pPr>
            <w:r>
              <w:rPr>
                <w:sz w:val="15"/>
                <w:szCs w:val="15"/>
              </w:rPr>
              <w:t xml:space="preserve">36.6%</w:t>
            </w:r>
          </w:p>
        </w:tc>
        <w:tc>
          <w:tcPr>
            <w:tcW w:w="1024" w:type="dxa"/>
          </w:tcPr>
          <w:p>
            <w:pPr>
              <w:pStyle w:val="Compact"/>
              <w:jc w:val="left"/>
              <w:spacing w:before="20" w:after="20" w:line="220" w:lineRule="auto"/>
            </w:pPr>
            <w:r>
              <w:rPr>
                <w:sz w:val="15"/>
                <w:szCs w:val="15"/>
              </w:rPr>
              <w:t xml:space="preserve">36.6%</w:t>
            </w:r>
          </w:p>
        </w:tc>
        <w:tc>
          <w:tcPr>
            <w:tcW w:w="1024" w:type="dxa"/>
          </w:tcPr>
          <w:p>
            <w:pPr>
              <w:pStyle w:val="Compact"/>
              <w:jc w:val="left"/>
              <w:spacing w:before="20" w:after="20" w:line="220" w:lineRule="auto"/>
            </w:pPr>
            <w:r>
              <w:rPr>
                <w:sz w:val="15"/>
                <w:szCs w:val="15"/>
              </w:rPr>
              <w:t xml:space="preserve">yes</w:t>
            </w:r>
          </w:p>
        </w:tc>
      </w:tr>
      <w:tr>
        <w:tc>
          <w:tcPr>
            <w:tcW w:w="4180" w:type="dxa"/>
          </w:tcPr>
          <w:p>
            <w:pPr>
              <w:pStyle w:val="Compact"/>
              <w:jc w:val="left"/>
              <w:spacing w:before="20" w:after="20" w:line="220" w:lineRule="auto"/>
            </w:pPr>
            <w:r>
              <w:rPr>
                <w:sz w:val="15"/>
                <w:szCs w:val="15"/>
              </w:rPr>
              <w:t xml:space="preserve">VidaCaixa (CaixaBank) attributable expenses excluding commission only</w:t>
            </w:r>
          </w:p>
        </w:tc>
        <w:tc>
          <w:tcPr>
            <w:tcW w:w="717" w:type="dxa"/>
          </w:tcPr>
          <w:p>
            <w:pPr>
              <w:pStyle w:val="Compact"/>
              <w:jc w:val="left"/>
              <w:spacing w:before="20" w:after="20" w:line="220" w:lineRule="auto"/>
            </w:pPr>
            <w:r>
              <w:rPr>
                <w:sz w:val="15"/>
                <w:szCs w:val="15"/>
              </w:rPr>
              <w:t xml:space="preserve">EU</w:t>
            </w:r>
          </w:p>
        </w:tc>
        <w:tc>
          <w:tcPr>
            <w:tcW w:w="922" w:type="dxa"/>
          </w:tcPr>
          <w:p>
            <w:pPr>
              <w:pStyle w:val="Compact"/>
              <w:jc w:val="left"/>
              <w:spacing w:before="20" w:after="20" w:line="220" w:lineRule="auto"/>
            </w:pPr>
            <w:r>
              <w:rPr>
                <w:sz w:val="15"/>
                <w:szCs w:val="15"/>
              </w:rPr>
              <w:t xml:space="preserve">life</w:t>
            </w:r>
          </w:p>
        </w:tc>
        <w:tc>
          <w:tcPr>
            <w:tcW w:w="2704" w:type="dxa"/>
          </w:tcPr>
          <w:p>
            <w:pPr>
              <w:pStyle w:val="Compact"/>
              <w:jc w:val="left"/>
              <w:spacing w:before="20" w:after="20" w:line="220" w:lineRule="auto"/>
            </w:pPr>
            <w:r>
              <w:rPr>
                <w:sz w:val="15"/>
                <w:szCs w:val="15"/>
              </w:rPr>
              <w:t xml:space="preserve">bank captive</w:t>
            </w:r>
          </w:p>
        </w:tc>
        <w:tc>
          <w:tcPr>
            <w:tcW w:w="2151" w:type="dxa"/>
          </w:tcPr>
          <w:p>
            <w:pPr>
              <w:pStyle w:val="Compact"/>
              <w:jc w:val="left"/>
              <w:spacing w:before="20" w:after="20" w:line="220" w:lineRule="auto"/>
            </w:pPr>
            <w:r>
              <w:rPr>
                <w:sz w:val="15"/>
                <w:szCs w:val="15"/>
              </w:rPr>
              <w:t xml:space="preserve">IFRS 17; attributable only</w:t>
            </w:r>
          </w:p>
        </w:tc>
        <w:tc>
          <w:tcPr>
            <w:tcW w:w="1229" w:type="dxa"/>
          </w:tcPr>
          <w:p>
            <w:pPr>
              <w:pStyle w:val="Compact"/>
              <w:jc w:val="left"/>
              <w:spacing w:before="20" w:after="20" w:line="220" w:lineRule="auto"/>
            </w:pPr>
            <w:r>
              <w:rPr>
                <w:sz w:val="15"/>
                <w:szCs w:val="15"/>
              </w:rPr>
              <w:t xml:space="preserve">FY2025 (Dec)</w:t>
            </w:r>
          </w:p>
        </w:tc>
        <w:tc>
          <w:tcPr>
            <w:tcW w:w="614" w:type="dxa"/>
          </w:tcPr>
          <w:p>
            <w:pPr>
              <w:pStyle w:val="Compact"/>
              <w:jc w:val="left"/>
              <w:spacing w:before="20" w:after="20" w:line="220" w:lineRule="auto"/>
            </w:pPr>
            <w:r>
              <w:rPr>
                <w:sz w:val="15"/>
                <w:szCs w:val="15"/>
              </w:rPr>
              <w:t xml:space="preserve">5.4%</w:t>
            </w:r>
          </w:p>
        </w:tc>
        <w:tc>
          <w:tcPr>
            <w:tcW w:w="1024" w:type="dxa"/>
          </w:tcPr>
          <w:p>
            <w:pPr>
              <w:pStyle w:val="Compact"/>
              <w:jc w:val="left"/>
              <w:spacing w:before="20" w:after="20" w:line="220" w:lineRule="auto"/>
            </w:pPr>
            <w:r>
              <w:rPr>
                <w:sz w:val="15"/>
                <w:szCs w:val="15"/>
              </w:rPr>
              <w:t xml:space="preserve">5.4%</w:t>
            </w:r>
          </w:p>
        </w:tc>
        <w:tc>
          <w:tcPr>
            <w:tcW w:w="1024" w:type="dxa"/>
          </w:tcPr>
          <w:p>
            <w:pPr>
              <w:pStyle w:val="Compact"/>
              <w:jc w:val="left"/>
              <w:spacing w:before="20" w:after="20" w:line="220" w:lineRule="auto"/>
            </w:pPr>
            <w:r>
              <w:rPr>
                <w:sz w:val="15"/>
                <w:szCs w:val="15"/>
              </w:rPr>
              <w:t xml:space="preserve">no</w:t>
            </w:r>
          </w:p>
        </w:tc>
      </w:tr>
      <w:tr>
        <w:tc>
          <w:tcPr>
            <w:tcW w:w="4180" w:type="dxa"/>
          </w:tcPr>
          <w:p>
            <w:pPr>
              <w:pStyle w:val="Compact"/>
              <w:jc w:val="left"/>
              <w:spacing w:before="20" w:after="20" w:line="220" w:lineRule="auto"/>
            </w:pPr>
            <w:r>
              <w:rPr>
                <w:sz w:val="15"/>
                <w:szCs w:val="15"/>
              </w:rPr>
              <w:t xml:space="preserve">Etiqa General Insurance</w:t>
            </w:r>
          </w:p>
        </w:tc>
        <w:tc>
          <w:tcPr>
            <w:tcW w:w="717" w:type="dxa"/>
          </w:tcPr>
          <w:p>
            <w:pPr>
              <w:pStyle w:val="Compact"/>
              <w:jc w:val="left"/>
              <w:spacing w:before="20" w:after="20" w:line="220" w:lineRule="auto"/>
            </w:pPr>
            <w:r>
              <w:rPr>
                <w:sz w:val="15"/>
                <w:szCs w:val="15"/>
              </w:rPr>
              <w:t xml:space="preserve">EM</w:t>
            </w:r>
          </w:p>
        </w:tc>
        <w:tc>
          <w:tcPr>
            <w:tcW w:w="922" w:type="dxa"/>
          </w:tcPr>
          <w:p>
            <w:pPr>
              <w:pStyle w:val="Compact"/>
              <w:jc w:val="left"/>
              <w:spacing w:before="20" w:after="20" w:line="220" w:lineRule="auto"/>
            </w:pPr>
            <w:r>
              <w:rPr>
                <w:sz w:val="15"/>
                <w:szCs w:val="15"/>
              </w:rPr>
              <w:t xml:space="preserve">nonlife</w:t>
            </w:r>
          </w:p>
        </w:tc>
        <w:tc>
          <w:tcPr>
            <w:tcW w:w="2704" w:type="dxa"/>
          </w:tcPr>
          <w:p>
            <w:pPr>
              <w:pStyle w:val="Compact"/>
              <w:jc w:val="left"/>
              <w:spacing w:before="20" w:after="20" w:line="220" w:lineRule="auto"/>
            </w:pPr>
            <w:r>
              <w:rPr>
                <w:sz w:val="15"/>
                <w:szCs w:val="15"/>
              </w:rPr>
              <w:t xml:space="preserve">partly captive</w:t>
            </w:r>
          </w:p>
        </w:tc>
        <w:tc>
          <w:tcPr>
            <w:tcW w:w="2151" w:type="dxa"/>
          </w:tcPr>
          <w:p>
            <w:pPr>
              <w:pStyle w:val="Compact"/>
              <w:jc w:val="left"/>
              <w:spacing w:before="20" w:after="20" w:line="220" w:lineRule="auto"/>
            </w:pPr>
            <w:r>
              <w:rPr>
                <w:sz w:val="15"/>
                <w:szCs w:val="15"/>
              </w:rPr>
              <w:t xml:space="preserve">MFRS 17</w:t>
            </w:r>
          </w:p>
        </w:tc>
        <w:tc>
          <w:tcPr>
            <w:tcW w:w="1229" w:type="dxa"/>
          </w:tcPr>
          <w:p>
            <w:pPr>
              <w:pStyle w:val="Compact"/>
              <w:jc w:val="left"/>
              <w:spacing w:before="20" w:after="20" w:line="220" w:lineRule="auto"/>
            </w:pPr>
            <w:r>
              <w:rPr>
                <w:sz w:val="15"/>
                <w:szCs w:val="15"/>
              </w:rPr>
              <w:t xml:space="preserve">FY2025 (Dec)</w:t>
            </w:r>
          </w:p>
        </w:tc>
        <w:tc>
          <w:tcPr>
            <w:tcW w:w="614" w:type="dxa"/>
          </w:tcPr>
          <w:p>
            <w:pPr>
              <w:pStyle w:val="Compact"/>
              <w:jc w:val="left"/>
              <w:spacing w:before="20" w:after="20" w:line="220" w:lineRule="auto"/>
            </w:pPr>
            <w:r>
              <w:rPr>
                <w:sz w:val="15"/>
                <w:szCs w:val="15"/>
              </w:rPr>
              <w:t xml:space="preserve">7.9%</w:t>
            </w:r>
          </w:p>
        </w:tc>
        <w:tc>
          <w:tcPr>
            <w:tcW w:w="1024" w:type="dxa"/>
          </w:tcPr>
          <w:p>
            <w:pPr>
              <w:pStyle w:val="Compact"/>
              <w:jc w:val="left"/>
              <w:spacing w:before="20" w:after="20" w:line="220" w:lineRule="auto"/>
            </w:pPr>
            <w:r>
              <w:rPr>
                <w:sz w:val="15"/>
                <w:szCs w:val="15"/>
              </w:rPr>
              <w:t xml:space="preserve">7.9%</w:t>
            </w:r>
          </w:p>
        </w:tc>
        <w:tc>
          <w:tcPr>
            <w:tcW w:w="1024" w:type="dxa"/>
          </w:tcPr>
          <w:p>
            <w:pPr>
              <w:pStyle w:val="Compact"/>
              <w:jc w:val="left"/>
              <w:spacing w:before="20" w:after="20" w:line="220" w:lineRule="auto"/>
            </w:pPr>
            <w:r>
              <w:rPr>
                <w:sz w:val="15"/>
                <w:szCs w:val="15"/>
              </w:rPr>
              <w:t xml:space="preserve">yes</w:t>
            </w:r>
          </w:p>
        </w:tc>
      </w:tr>
      <w:tr>
        <w:tc>
          <w:tcPr>
            <w:tcW w:w="4180" w:type="dxa"/>
          </w:tcPr>
          <w:p>
            <w:pPr>
              <w:pStyle w:val="Compact"/>
              <w:jc w:val="left"/>
              <w:spacing w:before="20" w:after="20" w:line="220" w:lineRule="auto"/>
            </w:pPr>
            <w:r>
              <w:rPr>
                <w:sz w:val="15"/>
                <w:szCs w:val="15"/>
              </w:rPr>
              <w:t xml:space="preserve">OUTsurance SA</w:t>
            </w:r>
          </w:p>
        </w:tc>
        <w:tc>
          <w:tcPr>
            <w:tcW w:w="717" w:type="dxa"/>
          </w:tcPr>
          <w:p>
            <w:pPr>
              <w:pStyle w:val="Compact"/>
              <w:jc w:val="left"/>
              <w:spacing w:before="20" w:after="20" w:line="220" w:lineRule="auto"/>
            </w:pPr>
            <w:r>
              <w:rPr>
                <w:sz w:val="15"/>
                <w:szCs w:val="15"/>
              </w:rPr>
              <w:t xml:space="preserve">LN</w:t>
            </w:r>
          </w:p>
        </w:tc>
        <w:tc>
          <w:tcPr>
            <w:tcW w:w="922" w:type="dxa"/>
          </w:tcPr>
          <w:p>
            <w:pPr>
              <w:pStyle w:val="Compact"/>
              <w:jc w:val="left"/>
              <w:spacing w:before="20" w:after="20" w:line="220" w:lineRule="auto"/>
            </w:pPr>
            <w:r>
              <w:rPr>
                <w:sz w:val="15"/>
                <w:szCs w:val="15"/>
              </w:rPr>
              <w:t xml:space="preserve">nonlife</w:t>
            </w:r>
          </w:p>
        </w:tc>
        <w:tc>
          <w:tcPr>
            <w:tcW w:w="2704" w:type="dxa"/>
          </w:tcPr>
          <w:p>
            <w:pPr>
              <w:pStyle w:val="Compact"/>
              <w:jc w:val="left"/>
              <w:spacing w:before="20" w:after="20" w:line="220" w:lineRule="auto"/>
            </w:pPr>
            <w:r>
              <w:rPr>
                <w:sz w:val="15"/>
                <w:szCs w:val="15"/>
              </w:rPr>
              <w:t xml:space="preserve">direct</w:t>
            </w:r>
          </w:p>
        </w:tc>
        <w:tc>
          <w:tcPr>
            <w:tcW w:w="2151" w:type="dxa"/>
          </w:tcPr>
          <w:p>
            <w:pPr>
              <w:pStyle w:val="Compact"/>
              <w:jc w:val="left"/>
              <w:spacing w:before="20" w:after="20" w:line="220" w:lineRule="auto"/>
            </w:pPr>
            <w:r>
              <w:rPr>
                <w:sz w:val="15"/>
                <w:szCs w:val="15"/>
              </w:rPr>
              <w:t xml:space="preserve">IFRS 17</w:t>
            </w:r>
          </w:p>
        </w:tc>
        <w:tc>
          <w:tcPr>
            <w:tcW w:w="1229" w:type="dxa"/>
          </w:tcPr>
          <w:p>
            <w:pPr>
              <w:pStyle w:val="Compact"/>
              <w:jc w:val="left"/>
              <w:spacing w:before="20" w:after="20" w:line="220" w:lineRule="auto"/>
            </w:pPr>
            <w:r>
              <w:rPr>
                <w:sz w:val="15"/>
                <w:szCs w:val="15"/>
              </w:rPr>
              <w:t xml:space="preserve">FY2026 (Jun)</w:t>
            </w:r>
          </w:p>
        </w:tc>
        <w:tc>
          <w:tcPr>
            <w:tcW w:w="614" w:type="dxa"/>
          </w:tcPr>
          <w:p>
            <w:pPr>
              <w:pStyle w:val="Compact"/>
              <w:jc w:val="left"/>
              <w:spacing w:before="20" w:after="20" w:line="220" w:lineRule="auto"/>
            </w:pPr>
            <w:r>
              <w:rPr>
                <w:sz w:val="15"/>
                <w:szCs w:val="15"/>
              </w:rPr>
              <w:t xml:space="preserve">22.0%</w:t>
            </w:r>
          </w:p>
        </w:tc>
        <w:tc>
          <w:tcPr>
            <w:tcW w:w="1024" w:type="dxa"/>
          </w:tcPr>
          <w:p>
            <w:pPr>
              <w:pStyle w:val="Compact"/>
              <w:jc w:val="left"/>
              <w:spacing w:before="20" w:after="20" w:line="220" w:lineRule="auto"/>
            </w:pPr>
            <w:r>
              <w:rPr>
                <w:sz w:val="15"/>
                <w:szCs w:val="15"/>
              </w:rPr>
              <w:t xml:space="preserve">22.0%</w:t>
            </w:r>
          </w:p>
        </w:tc>
        <w:tc>
          <w:tcPr>
            <w:tcW w:w="1024" w:type="dxa"/>
          </w:tcPr>
          <w:p>
            <w:pPr>
              <w:pStyle w:val="Compact"/>
              <w:jc w:val="left"/>
              <w:spacing w:before="20" w:after="20" w:line="220" w:lineRule="auto"/>
            </w:pPr>
            <w:r>
              <w:rPr>
                <w:sz w:val="15"/>
                <w:szCs w:val="15"/>
              </w:rPr>
              <w:t xml:space="preserve">yes</w:t>
            </w:r>
          </w:p>
        </w:tc>
      </w:tr>
      <w:tr>
        <w:tc>
          <w:tcPr>
            <w:tcW w:w="4180" w:type="dxa"/>
          </w:tcPr>
          <w:p>
            <w:pPr>
              <w:pStyle w:val="Compact"/>
              <w:jc w:val="left"/>
              <w:spacing w:before="20" w:after="20" w:line="220" w:lineRule="auto"/>
            </w:pPr>
            <w:r>
              <w:rPr>
                <w:sz w:val="15"/>
                <w:szCs w:val="15"/>
              </w:rPr>
              <w:t xml:space="preserve">Santam Group</w:t>
            </w:r>
          </w:p>
        </w:tc>
        <w:tc>
          <w:tcPr>
            <w:tcW w:w="717" w:type="dxa"/>
          </w:tcPr>
          <w:p>
            <w:pPr>
              <w:pStyle w:val="Compact"/>
              <w:jc w:val="left"/>
              <w:spacing w:before="20" w:after="20" w:line="220" w:lineRule="auto"/>
            </w:pPr>
            <w:r>
              <w:rPr>
                <w:sz w:val="15"/>
                <w:szCs w:val="15"/>
              </w:rPr>
              <w:t xml:space="preserve">LN</w:t>
            </w:r>
          </w:p>
        </w:tc>
        <w:tc>
          <w:tcPr>
            <w:tcW w:w="922" w:type="dxa"/>
          </w:tcPr>
          <w:p>
            <w:pPr>
              <w:pStyle w:val="Compact"/>
              <w:jc w:val="left"/>
              <w:spacing w:before="20" w:after="20" w:line="220" w:lineRule="auto"/>
            </w:pPr>
            <w:r>
              <w:rPr>
                <w:sz w:val="15"/>
                <w:szCs w:val="15"/>
              </w:rPr>
              <w:t xml:space="preserve">nonlife</w:t>
            </w:r>
          </w:p>
        </w:tc>
        <w:tc>
          <w:tcPr>
            <w:tcW w:w="2704" w:type="dxa"/>
          </w:tcPr>
          <w:p>
            <w:pPr>
              <w:pStyle w:val="Compact"/>
              <w:jc w:val="left"/>
              <w:spacing w:before="20" w:after="20" w:line="220" w:lineRule="auto"/>
            </w:pPr>
            <w:r>
              <w:rPr>
                <w:sz w:val="15"/>
                <w:szCs w:val="15"/>
              </w:rPr>
              <w:t xml:space="preserve">open</w:t>
            </w:r>
          </w:p>
        </w:tc>
        <w:tc>
          <w:tcPr>
            <w:tcW w:w="2151" w:type="dxa"/>
          </w:tcPr>
          <w:p>
            <w:pPr>
              <w:pStyle w:val="Compact"/>
              <w:jc w:val="left"/>
              <w:spacing w:before="20" w:after="20" w:line="220" w:lineRule="auto"/>
            </w:pPr>
            <w:r>
              <w:rPr>
                <w:sz w:val="15"/>
                <w:szCs w:val="15"/>
              </w:rPr>
              <w:t xml:space="preserve">IFRS 17</w:t>
            </w:r>
          </w:p>
        </w:tc>
        <w:tc>
          <w:tcPr>
            <w:tcW w:w="1229" w:type="dxa"/>
          </w:tcPr>
          <w:p>
            <w:pPr>
              <w:pStyle w:val="Compact"/>
              <w:jc w:val="left"/>
              <w:spacing w:before="20" w:after="20" w:line="220" w:lineRule="auto"/>
            </w:pPr>
            <w:r>
              <w:rPr>
                <w:sz w:val="15"/>
                <w:szCs w:val="15"/>
              </w:rPr>
              <w:t xml:space="preserve">FY2025 (Dec)</w:t>
            </w:r>
          </w:p>
        </w:tc>
        <w:tc>
          <w:tcPr>
            <w:tcW w:w="614" w:type="dxa"/>
          </w:tcPr>
          <w:p>
            <w:pPr>
              <w:pStyle w:val="Compact"/>
              <w:jc w:val="left"/>
              <w:spacing w:before="20" w:after="20" w:line="220" w:lineRule="auto"/>
            </w:pPr>
            <w:r>
              <w:rPr>
                <w:sz w:val="15"/>
                <w:szCs w:val="15"/>
              </w:rPr>
              <w:t xml:space="preserve">14.9%</w:t>
            </w:r>
          </w:p>
        </w:tc>
        <w:tc>
          <w:tcPr>
            <w:tcW w:w="1024" w:type="dxa"/>
          </w:tcPr>
          <w:p>
            <w:pPr>
              <w:pStyle w:val="Compact"/>
              <w:jc w:val="left"/>
              <w:spacing w:before="20" w:after="20" w:line="220" w:lineRule="auto"/>
            </w:pPr>
            <w:r>
              <w:rPr>
                <w:sz w:val="15"/>
                <w:szCs w:val="15"/>
              </w:rPr>
              <w:t xml:space="preserve">14.9%</w:t>
            </w:r>
          </w:p>
        </w:tc>
        <w:tc>
          <w:tcPr>
            <w:tcW w:w="1024" w:type="dxa"/>
          </w:tcPr>
          <w:p>
            <w:pPr>
              <w:pStyle w:val="Compact"/>
              <w:jc w:val="left"/>
              <w:spacing w:before="20" w:after="20" w:line="220" w:lineRule="auto"/>
            </w:pPr>
            <w:r>
              <w:rPr>
                <w:sz w:val="15"/>
                <w:szCs w:val="15"/>
              </w:rPr>
              <w:t xml:space="preserve">yes</w:t>
            </w:r>
          </w:p>
        </w:tc>
      </w:tr>
      <w:tr>
        <w:tc>
          <w:tcPr>
            <w:tcW w:w="4180" w:type="dxa"/>
          </w:tcPr>
          <w:p>
            <w:pPr>
              <w:pStyle w:val="Compact"/>
              <w:jc w:val="left"/>
              <w:spacing w:before="20" w:after="20" w:line="220" w:lineRule="auto"/>
            </w:pPr>
            <w:r>
              <w:rPr>
                <w:sz w:val="15"/>
                <w:szCs w:val="15"/>
              </w:rPr>
              <w:t xml:space="preserve">Standard Insurance Limited (Standard Bank)</w:t>
            </w:r>
          </w:p>
        </w:tc>
        <w:tc>
          <w:tcPr>
            <w:tcW w:w="717" w:type="dxa"/>
          </w:tcPr>
          <w:p>
            <w:pPr>
              <w:pStyle w:val="Compact"/>
              <w:jc w:val="left"/>
              <w:spacing w:before="20" w:after="20" w:line="220" w:lineRule="auto"/>
            </w:pPr>
            <w:r>
              <w:rPr>
                <w:sz w:val="15"/>
                <w:szCs w:val="15"/>
              </w:rPr>
              <w:t xml:space="preserve">LB</w:t>
            </w:r>
          </w:p>
        </w:tc>
        <w:tc>
          <w:tcPr>
            <w:tcW w:w="922" w:type="dxa"/>
          </w:tcPr>
          <w:p>
            <w:pPr>
              <w:pStyle w:val="Compact"/>
              <w:jc w:val="left"/>
              <w:spacing w:before="20" w:after="20" w:line="220" w:lineRule="auto"/>
            </w:pPr>
            <w:r>
              <w:rPr>
                <w:sz w:val="15"/>
                <w:szCs w:val="15"/>
              </w:rPr>
              <w:t xml:space="preserve">nonlife</w:t>
            </w:r>
          </w:p>
        </w:tc>
        <w:tc>
          <w:tcPr>
            <w:tcW w:w="2704" w:type="dxa"/>
          </w:tcPr>
          <w:p>
            <w:pPr>
              <w:pStyle w:val="Compact"/>
              <w:jc w:val="left"/>
              <w:spacing w:before="20" w:after="20" w:line="220" w:lineRule="auto"/>
            </w:pPr>
            <w:r>
              <w:rPr>
                <w:sz w:val="15"/>
                <w:szCs w:val="15"/>
              </w:rPr>
              <w:t xml:space="preserve">bank captive</w:t>
            </w:r>
          </w:p>
        </w:tc>
        <w:tc>
          <w:tcPr>
            <w:tcW w:w="2151" w:type="dxa"/>
          </w:tcPr>
          <w:p>
            <w:pPr>
              <w:pStyle w:val="Compact"/>
              <w:jc w:val="left"/>
              <w:spacing w:before="20" w:after="20" w:line="220" w:lineRule="auto"/>
            </w:pPr>
            <w:r>
              <w:rPr>
                <w:sz w:val="15"/>
                <w:szCs w:val="15"/>
              </w:rPr>
              <w:t xml:space="preserve">IFRS 17</w:t>
            </w:r>
          </w:p>
        </w:tc>
        <w:tc>
          <w:tcPr>
            <w:tcW w:w="1229" w:type="dxa"/>
          </w:tcPr>
          <w:p>
            <w:pPr>
              <w:pStyle w:val="Compact"/>
              <w:jc w:val="left"/>
              <w:spacing w:before="20" w:after="20" w:line="220" w:lineRule="auto"/>
            </w:pPr>
            <w:r>
              <w:rPr>
                <w:sz w:val="15"/>
                <w:szCs w:val="15"/>
              </w:rPr>
              <w:t xml:space="preserve">FY2025 (Dec)</w:t>
            </w:r>
          </w:p>
        </w:tc>
        <w:tc>
          <w:tcPr>
            <w:tcW w:w="614" w:type="dxa"/>
          </w:tcPr>
          <w:p>
            <w:pPr>
              <w:pStyle w:val="Compact"/>
              <w:jc w:val="left"/>
              <w:spacing w:before="20" w:after="20" w:line="220" w:lineRule="auto"/>
            </w:pPr>
            <w:r>
              <w:rPr>
                <w:sz w:val="15"/>
                <w:szCs w:val="15"/>
              </w:rPr>
              <w:t xml:space="preserve">21.2%</w:t>
            </w:r>
          </w:p>
        </w:tc>
        <w:tc>
          <w:tcPr>
            <w:tcW w:w="1024" w:type="dxa"/>
          </w:tcPr>
          <w:p>
            <w:pPr>
              <w:pStyle w:val="Compact"/>
              <w:jc w:val="left"/>
              <w:spacing w:before="20" w:after="20" w:line="220" w:lineRule="auto"/>
            </w:pPr>
            <w:r>
              <w:rPr>
                <w:sz w:val="15"/>
                <w:szCs w:val="15"/>
              </w:rPr>
              <w:t xml:space="preserve">21.2%</w:t>
            </w:r>
          </w:p>
        </w:tc>
        <w:tc>
          <w:tcPr>
            <w:tcW w:w="1024" w:type="dxa"/>
          </w:tcPr>
          <w:p>
            <w:pPr>
              <w:pStyle w:val="Compact"/>
              <w:jc w:val="left"/>
              <w:spacing w:before="20" w:after="20" w:line="220" w:lineRule="auto"/>
            </w:pPr>
            <w:r>
              <w:rPr>
                <w:sz w:val="15"/>
                <w:szCs w:val="15"/>
              </w:rPr>
              <w:t xml:space="preserve">yes</w:t>
            </w:r>
          </w:p>
        </w:tc>
      </w:tr>
      <w:tr>
        <w:tc>
          <w:tcPr>
            <w:tcW w:w="4180" w:type="dxa"/>
          </w:tcPr>
          <w:p>
            <w:pPr>
              <w:pStyle w:val="Compact"/>
              <w:jc w:val="left"/>
              <w:spacing w:before="20" w:after="20" w:line="220" w:lineRule="auto"/>
            </w:pPr>
            <w:r>
              <w:rPr>
                <w:sz w:val="15"/>
                <w:szCs w:val="15"/>
              </w:rPr>
              <w:t xml:space="preserve">BNP Paribas Cardif</w:t>
            </w:r>
          </w:p>
        </w:tc>
        <w:tc>
          <w:tcPr>
            <w:tcW w:w="717" w:type="dxa"/>
          </w:tcPr>
          <w:p>
            <w:pPr>
              <w:pStyle w:val="Compact"/>
              <w:jc w:val="left"/>
              <w:spacing w:before="20" w:after="20" w:line="220" w:lineRule="auto"/>
            </w:pPr>
            <w:r>
              <w:rPr>
                <w:sz w:val="15"/>
                <w:szCs w:val="15"/>
              </w:rPr>
              <w:t xml:space="preserve">EU</w:t>
            </w:r>
          </w:p>
        </w:tc>
        <w:tc>
          <w:tcPr>
            <w:tcW w:w="922" w:type="dxa"/>
          </w:tcPr>
          <w:p>
            <w:pPr>
              <w:pStyle w:val="Compact"/>
              <w:jc w:val="left"/>
              <w:spacing w:before="20" w:after="20" w:line="220" w:lineRule="auto"/>
            </w:pPr>
            <w:r>
              <w:rPr>
                <w:sz w:val="15"/>
                <w:szCs w:val="15"/>
              </w:rPr>
              <w:t xml:space="preserve">composite</w:t>
            </w:r>
          </w:p>
        </w:tc>
        <w:tc>
          <w:tcPr>
            <w:tcW w:w="2704" w:type="dxa"/>
          </w:tcPr>
          <w:p>
            <w:pPr>
              <w:pStyle w:val="Compact"/>
              <w:jc w:val="left"/>
              <w:spacing w:before="20" w:after="20" w:line="220" w:lineRule="auto"/>
            </w:pPr>
            <w:r>
              <w:rPr>
                <w:sz w:val="15"/>
                <w:szCs w:val="15"/>
              </w:rPr>
              <w:t xml:space="preserve">partly captive</w:t>
            </w:r>
          </w:p>
        </w:tc>
        <w:tc>
          <w:tcPr>
            <w:tcW w:w="2151" w:type="dxa"/>
          </w:tcPr>
          <w:p>
            <w:pPr>
              <w:pStyle w:val="Compact"/>
              <w:jc w:val="left"/>
              <w:spacing w:before="20" w:after="20" w:line="220" w:lineRule="auto"/>
            </w:pPr>
            <w:r>
              <w:rPr>
                <w:sz w:val="15"/>
                <w:szCs w:val="15"/>
              </w:rPr>
              <w:t xml:space="preserve">IFRS 17</w:t>
            </w:r>
          </w:p>
        </w:tc>
        <w:tc>
          <w:tcPr>
            <w:tcW w:w="1229" w:type="dxa"/>
          </w:tcPr>
          <w:p>
            <w:pPr>
              <w:pStyle w:val="Compact"/>
              <w:jc w:val="left"/>
              <w:spacing w:before="20" w:after="20" w:line="220" w:lineRule="auto"/>
            </w:pPr>
            <w:r>
              <w:rPr>
                <w:sz w:val="15"/>
                <w:szCs w:val="15"/>
              </w:rPr>
              <w:t xml:space="preserve">FY2025 (Dec)</w:t>
            </w:r>
          </w:p>
        </w:tc>
        <w:tc>
          <w:tcPr>
            <w:tcW w:w="614" w:type="dxa"/>
          </w:tcPr>
          <w:p>
            <w:pPr>
              <w:pStyle w:val="Compact"/>
              <w:jc w:val="left"/>
              <w:spacing w:before="20" w:after="20" w:line="220" w:lineRule="auto"/>
            </w:pPr>
            <w:r>
              <w:rPr>
                <w:sz w:val="15"/>
                <w:szCs w:val="15"/>
              </w:rPr>
              <w:t xml:space="preserve">11.8%</w:t>
            </w:r>
          </w:p>
        </w:tc>
        <w:tc>
          <w:tcPr>
            <w:tcW w:w="1024" w:type="dxa"/>
          </w:tcPr>
          <w:p>
            <w:pPr>
              <w:pStyle w:val="Compact"/>
              <w:jc w:val="left"/>
              <w:spacing w:before="20" w:after="20" w:line="220" w:lineRule="auto"/>
            </w:pPr>
            <w:r>
              <w:rPr>
                <w:sz w:val="15"/>
                <w:szCs w:val="15"/>
              </w:rPr>
              <w:t xml:space="preserve">11.8%</w:t>
            </w:r>
          </w:p>
        </w:tc>
        <w:tc>
          <w:tcPr>
            <w:tcW w:w="1024" w:type="dxa"/>
          </w:tcPr>
          <w:p>
            <w:pPr>
              <w:pStyle w:val="Compact"/>
              <w:jc w:val="left"/>
              <w:spacing w:before="20" w:after="20" w:line="220" w:lineRule="auto"/>
            </w:pPr>
            <w:r>
              <w:rPr>
                <w:sz w:val="15"/>
                <w:szCs w:val="15"/>
              </w:rPr>
              <w:t xml:space="preserve">yes</w:t>
            </w:r>
          </w:p>
        </w:tc>
      </w:tr>
      <w:tr>
        <w:tc>
          <w:tcPr>
            <w:tcW w:w="4180" w:type="dxa"/>
          </w:tcPr>
          <w:p>
            <w:pPr>
              <w:pStyle w:val="Compact"/>
              <w:jc w:val="left"/>
              <w:spacing w:before="20" w:after="20" w:line="220" w:lineRule="auto"/>
            </w:pPr>
            <w:r>
              <w:rPr>
                <w:sz w:val="15"/>
                <w:szCs w:val="15"/>
              </w:rPr>
              <w:t xml:space="preserve">Bradesco Seguros (personnel + admin / premiums earned incl. pension)</w:t>
            </w:r>
          </w:p>
        </w:tc>
        <w:tc>
          <w:tcPr>
            <w:tcW w:w="717" w:type="dxa"/>
          </w:tcPr>
          <w:p>
            <w:pPr>
              <w:pStyle w:val="Compact"/>
              <w:jc w:val="left"/>
              <w:spacing w:before="20" w:after="20" w:line="220" w:lineRule="auto"/>
            </w:pPr>
            <w:r>
              <w:rPr>
                <w:sz w:val="15"/>
                <w:szCs w:val="15"/>
              </w:rPr>
              <w:t xml:space="preserve">EM</w:t>
            </w:r>
          </w:p>
        </w:tc>
        <w:tc>
          <w:tcPr>
            <w:tcW w:w="922" w:type="dxa"/>
          </w:tcPr>
          <w:p>
            <w:pPr>
              <w:pStyle w:val="Compact"/>
              <w:jc w:val="left"/>
              <w:spacing w:before="20" w:after="20" w:line="220" w:lineRule="auto"/>
            </w:pPr>
            <w:r>
              <w:rPr>
                <w:sz w:val="15"/>
                <w:szCs w:val="15"/>
              </w:rPr>
              <w:t xml:space="preserve">composite</w:t>
            </w:r>
          </w:p>
        </w:tc>
        <w:tc>
          <w:tcPr>
            <w:tcW w:w="2704" w:type="dxa"/>
          </w:tcPr>
          <w:p>
            <w:pPr>
              <w:pStyle w:val="Compact"/>
              <w:jc w:val="left"/>
              <w:spacing w:before="20" w:after="20" w:line="220" w:lineRule="auto"/>
            </w:pPr>
            <w:r>
              <w:rPr>
                <w:sz w:val="15"/>
                <w:szCs w:val="15"/>
              </w:rPr>
              <w:t xml:space="preserve">bank captive</w:t>
            </w:r>
          </w:p>
        </w:tc>
        <w:tc>
          <w:tcPr>
            <w:tcW w:w="2151" w:type="dxa"/>
          </w:tcPr>
          <w:p>
            <w:pPr>
              <w:pStyle w:val="Compact"/>
              <w:jc w:val="left"/>
              <w:spacing w:before="20" w:after="20" w:line="220" w:lineRule="auto"/>
            </w:pPr>
            <w:r>
              <w:rPr>
                <w:sz w:val="15"/>
                <w:szCs w:val="15"/>
              </w:rPr>
              <w:t xml:space="preserve">Brazilian GAAP managerial</w:t>
            </w:r>
          </w:p>
        </w:tc>
        <w:tc>
          <w:tcPr>
            <w:tcW w:w="1229" w:type="dxa"/>
          </w:tcPr>
          <w:p>
            <w:pPr>
              <w:pStyle w:val="Compact"/>
              <w:jc w:val="left"/>
              <w:spacing w:before="20" w:after="20" w:line="220" w:lineRule="auto"/>
            </w:pPr>
            <w:r>
              <w:rPr>
                <w:sz w:val="15"/>
                <w:szCs w:val="15"/>
              </w:rPr>
              <w:t xml:space="preserve">FY2025 (Dec)</w:t>
            </w:r>
          </w:p>
        </w:tc>
        <w:tc>
          <w:tcPr>
            <w:tcW w:w="614" w:type="dxa"/>
          </w:tcPr>
          <w:p>
            <w:pPr>
              <w:pStyle w:val="Compact"/>
              <w:jc w:val="left"/>
              <w:spacing w:before="20" w:after="20" w:line="220" w:lineRule="auto"/>
            </w:pPr>
            <w:r>
              <w:rPr>
                <w:sz w:val="15"/>
                <w:szCs w:val="15"/>
              </w:rPr>
              <w:t xml:space="preserve">6.6%</w:t>
            </w:r>
          </w:p>
        </w:tc>
        <w:tc>
          <w:tcPr>
            <w:tcW w:w="1024" w:type="dxa"/>
          </w:tcPr>
          <w:p>
            <w:pPr>
              <w:pStyle w:val="Compact"/>
              <w:jc w:val="left"/>
              <w:spacing w:before="20" w:after="20" w:line="220" w:lineRule="auto"/>
            </w:pPr>
            <w:r>
              <w:rPr>
                <w:sz w:val="15"/>
                <w:szCs w:val="15"/>
              </w:rPr>
              <w:t xml:space="preserve">6.6%</w:t>
            </w:r>
          </w:p>
        </w:tc>
        <w:tc>
          <w:tcPr>
            <w:tcW w:w="1024" w:type="dxa"/>
          </w:tcPr>
          <w:p>
            <w:pPr>
              <w:pStyle w:val="Compact"/>
              <w:jc w:val="left"/>
              <w:spacing w:before="20" w:after="20" w:line="220" w:lineRule="auto"/>
            </w:pPr>
            <w:r>
              <w:rPr>
                <w:sz w:val="15"/>
                <w:szCs w:val="15"/>
              </w:rPr>
              <w:t xml:space="preserve">no</w:t>
            </w:r>
          </w:p>
        </w:tc>
      </w:tr>
      <w:tr>
        <w:tc>
          <w:tcPr>
            <w:tcW w:w="4180" w:type="dxa"/>
          </w:tcPr>
          <w:p>
            <w:pPr>
              <w:pStyle w:val="Compact"/>
              <w:jc w:val="left"/>
              <w:spacing w:before="20" w:after="20" w:line="220" w:lineRule="auto"/>
            </w:pPr>
            <w:r>
              <w:rPr>
                <w:sz w:val="15"/>
                <w:szCs w:val="15"/>
              </w:rPr>
              <w:t xml:space="preserve">Brasilseg (BB Seguridade) admin / retained earned premiums</w:t>
            </w:r>
          </w:p>
        </w:tc>
        <w:tc>
          <w:tcPr>
            <w:tcW w:w="717" w:type="dxa"/>
          </w:tcPr>
          <w:p>
            <w:pPr>
              <w:pStyle w:val="Compact"/>
              <w:jc w:val="left"/>
              <w:spacing w:before="20" w:after="20" w:line="220" w:lineRule="auto"/>
            </w:pPr>
            <w:r>
              <w:rPr>
                <w:sz w:val="15"/>
                <w:szCs w:val="15"/>
              </w:rPr>
              <w:t xml:space="preserve">EM</w:t>
            </w:r>
          </w:p>
        </w:tc>
        <w:tc>
          <w:tcPr>
            <w:tcW w:w="922" w:type="dxa"/>
          </w:tcPr>
          <w:p>
            <w:pPr>
              <w:pStyle w:val="Compact"/>
              <w:jc w:val="left"/>
              <w:spacing w:before="20" w:after="20" w:line="220" w:lineRule="auto"/>
            </w:pPr>
            <w:r>
              <w:rPr>
                <w:sz w:val="15"/>
                <w:szCs w:val="15"/>
              </w:rPr>
              <w:t xml:space="preserve">composite</w:t>
            </w:r>
          </w:p>
        </w:tc>
        <w:tc>
          <w:tcPr>
            <w:tcW w:w="2704" w:type="dxa"/>
          </w:tcPr>
          <w:p>
            <w:pPr>
              <w:pStyle w:val="Compact"/>
              <w:jc w:val="left"/>
              <w:spacing w:before="20" w:after="20" w:line="220" w:lineRule="auto"/>
            </w:pPr>
            <w:r>
              <w:rPr>
                <w:sz w:val="15"/>
                <w:szCs w:val="15"/>
              </w:rPr>
              <w:t xml:space="preserve">bank captive</w:t>
            </w:r>
          </w:p>
        </w:tc>
        <w:tc>
          <w:tcPr>
            <w:tcW w:w="2151" w:type="dxa"/>
          </w:tcPr>
          <w:p>
            <w:pPr>
              <w:pStyle w:val="Compact"/>
              <w:jc w:val="left"/>
              <w:spacing w:before="20" w:after="20" w:line="220" w:lineRule="auto"/>
            </w:pPr>
            <w:r>
              <w:rPr>
                <w:sz w:val="15"/>
                <w:szCs w:val="15"/>
              </w:rPr>
              <w:t xml:space="preserve">Brazilian GAAP managerial</w:t>
            </w:r>
          </w:p>
        </w:tc>
        <w:tc>
          <w:tcPr>
            <w:tcW w:w="1229" w:type="dxa"/>
          </w:tcPr>
          <w:p>
            <w:pPr>
              <w:pStyle w:val="Compact"/>
              <w:jc w:val="left"/>
              <w:spacing w:before="20" w:after="20" w:line="220" w:lineRule="auto"/>
            </w:pPr>
            <w:r>
              <w:rPr>
                <w:sz w:val="15"/>
                <w:szCs w:val="15"/>
              </w:rPr>
              <w:t xml:space="preserve">FY2025 (Dec)</w:t>
            </w:r>
          </w:p>
        </w:tc>
        <w:tc>
          <w:tcPr>
            <w:tcW w:w="614" w:type="dxa"/>
          </w:tcPr>
          <w:p>
            <w:pPr>
              <w:pStyle w:val="Compact"/>
              <w:jc w:val="left"/>
              <w:spacing w:before="20" w:after="20" w:line="220" w:lineRule="auto"/>
            </w:pPr>
            <w:r>
              <w:rPr>
                <w:sz w:val="15"/>
                <w:szCs w:val="15"/>
              </w:rPr>
              <w:t xml:space="preserve">6.2%</w:t>
            </w:r>
          </w:p>
        </w:tc>
        <w:tc>
          <w:tcPr>
            <w:tcW w:w="1024" w:type="dxa"/>
          </w:tcPr>
          <w:p>
            <w:pPr>
              <w:pStyle w:val="Compact"/>
              <w:jc w:val="left"/>
              <w:spacing w:before="20" w:after="20" w:line="220" w:lineRule="auto"/>
            </w:pPr>
            <w:r>
              <w:rPr>
                <w:sz w:val="15"/>
                <w:szCs w:val="15"/>
              </w:rPr>
              <w:t xml:space="preserve">6.2%</w:t>
            </w:r>
          </w:p>
        </w:tc>
        <w:tc>
          <w:tcPr>
            <w:tcW w:w="1024" w:type="dxa"/>
          </w:tcPr>
          <w:p>
            <w:pPr>
              <w:pStyle w:val="Compact"/>
              <w:jc w:val="left"/>
              <w:spacing w:before="20" w:after="20" w:line="220" w:lineRule="auto"/>
            </w:pPr>
            <w:r>
              <w:rPr>
                <w:sz w:val="15"/>
                <w:szCs w:val="15"/>
              </w:rPr>
              <w:t xml:space="preserve">no</w:t>
            </w:r>
          </w:p>
        </w:tc>
      </w:tr>
      <w:tr>
        <w:tc>
          <w:tcPr>
            <w:tcW w:w="4180" w:type="dxa"/>
          </w:tcPr>
          <w:p>
            <w:pPr>
              <w:pStyle w:val="Compact"/>
              <w:jc w:val="left"/>
              <w:spacing w:before="20" w:after="20" w:line="220" w:lineRule="auto"/>
            </w:pPr>
            <w:r>
              <w:rPr>
                <w:sz w:val="15"/>
                <w:szCs w:val="15"/>
              </w:rPr>
              <w:t xml:space="preserve">Credit Agricole Assurances</w:t>
            </w:r>
          </w:p>
        </w:tc>
        <w:tc>
          <w:tcPr>
            <w:tcW w:w="717" w:type="dxa"/>
          </w:tcPr>
          <w:p>
            <w:pPr>
              <w:pStyle w:val="Compact"/>
              <w:jc w:val="left"/>
              <w:spacing w:before="20" w:after="20" w:line="220" w:lineRule="auto"/>
            </w:pPr>
            <w:r>
              <w:rPr>
                <w:sz w:val="15"/>
                <w:szCs w:val="15"/>
              </w:rPr>
              <w:t xml:space="preserve">EU</w:t>
            </w:r>
          </w:p>
        </w:tc>
        <w:tc>
          <w:tcPr>
            <w:tcW w:w="922" w:type="dxa"/>
          </w:tcPr>
          <w:p>
            <w:pPr>
              <w:pStyle w:val="Compact"/>
              <w:jc w:val="left"/>
              <w:spacing w:before="20" w:after="20" w:line="220" w:lineRule="auto"/>
            </w:pPr>
            <w:r>
              <w:rPr>
                <w:sz w:val="15"/>
                <w:szCs w:val="15"/>
              </w:rPr>
              <w:t xml:space="preserve">composite</w:t>
            </w:r>
          </w:p>
        </w:tc>
        <w:tc>
          <w:tcPr>
            <w:tcW w:w="2704" w:type="dxa"/>
          </w:tcPr>
          <w:p>
            <w:pPr>
              <w:pStyle w:val="Compact"/>
              <w:jc w:val="left"/>
              <w:spacing w:before="20" w:after="20" w:line="220" w:lineRule="auto"/>
            </w:pPr>
            <w:r>
              <w:rPr>
                <w:sz w:val="15"/>
                <w:szCs w:val="15"/>
              </w:rPr>
              <w:t xml:space="preserve">bank captive</w:t>
            </w:r>
          </w:p>
        </w:tc>
        <w:tc>
          <w:tcPr>
            <w:tcW w:w="2151" w:type="dxa"/>
          </w:tcPr>
          <w:p>
            <w:pPr>
              <w:pStyle w:val="Compact"/>
              <w:jc w:val="left"/>
              <w:spacing w:before="20" w:after="20" w:line="220" w:lineRule="auto"/>
            </w:pPr>
            <w:r>
              <w:rPr>
                <w:sz w:val="15"/>
                <w:szCs w:val="15"/>
              </w:rPr>
              <w:t xml:space="preserve">IFRS 17</w:t>
            </w:r>
          </w:p>
        </w:tc>
        <w:tc>
          <w:tcPr>
            <w:tcW w:w="1229" w:type="dxa"/>
          </w:tcPr>
          <w:p>
            <w:pPr>
              <w:pStyle w:val="Compact"/>
              <w:jc w:val="left"/>
              <w:spacing w:before="20" w:after="20" w:line="220" w:lineRule="auto"/>
            </w:pPr>
            <w:r>
              <w:rPr>
                <w:sz w:val="15"/>
                <w:szCs w:val="15"/>
              </w:rPr>
              <w:t xml:space="preserve">FY2025 (Dec)</w:t>
            </w:r>
          </w:p>
        </w:tc>
        <w:tc>
          <w:tcPr>
            <w:tcW w:w="614" w:type="dxa"/>
          </w:tcPr>
          <w:p>
            <w:pPr>
              <w:pStyle w:val="Compact"/>
              <w:jc w:val="left"/>
              <w:spacing w:before="20" w:after="20" w:line="220" w:lineRule="auto"/>
            </w:pPr>
            <w:r>
              <w:rPr>
                <w:sz w:val="15"/>
                <w:szCs w:val="15"/>
              </w:rPr>
              <w:t xml:space="preserve">8.7%</w:t>
            </w:r>
          </w:p>
        </w:tc>
        <w:tc>
          <w:tcPr>
            <w:tcW w:w="1024" w:type="dxa"/>
          </w:tcPr>
          <w:p>
            <w:pPr>
              <w:pStyle w:val="Compact"/>
              <w:jc w:val="left"/>
              <w:spacing w:before="20" w:after="20" w:line="220" w:lineRule="auto"/>
            </w:pPr>
            <w:r>
              <w:rPr>
                <w:sz w:val="15"/>
                <w:szCs w:val="15"/>
              </w:rPr>
              <w:t xml:space="preserve">8.7%</w:t>
            </w:r>
          </w:p>
        </w:tc>
        <w:tc>
          <w:tcPr>
            <w:tcW w:w="1024" w:type="dxa"/>
          </w:tcPr>
          <w:p>
            <w:pPr>
              <w:pStyle w:val="Compact"/>
              <w:jc w:val="left"/>
              <w:spacing w:before="20" w:after="20" w:line="220" w:lineRule="auto"/>
            </w:pPr>
            <w:r>
              <w:rPr>
                <w:sz w:val="15"/>
                <w:szCs w:val="15"/>
              </w:rPr>
              <w:t xml:space="preserve">yes</w:t>
            </w:r>
          </w:p>
        </w:tc>
      </w:tr>
      <w:tr>
        <w:tc>
          <w:tcPr>
            <w:tcW w:w="4180" w:type="dxa"/>
          </w:tcPr>
          <w:p>
            <w:pPr>
              <w:pStyle w:val="Compact"/>
              <w:jc w:val="left"/>
              <w:spacing w:before="20" w:after="20" w:line="220" w:lineRule="auto"/>
            </w:pPr>
            <w:r>
              <w:rPr>
                <w:sz w:val="15"/>
                <w:szCs w:val="15"/>
              </w:rPr>
              <w:t xml:space="preserve">KBC Insurance</w:t>
            </w:r>
          </w:p>
        </w:tc>
        <w:tc>
          <w:tcPr>
            <w:tcW w:w="717" w:type="dxa"/>
          </w:tcPr>
          <w:p>
            <w:pPr>
              <w:pStyle w:val="Compact"/>
              <w:jc w:val="left"/>
              <w:spacing w:before="20" w:after="20" w:line="220" w:lineRule="auto"/>
            </w:pPr>
            <w:r>
              <w:rPr>
                <w:sz w:val="15"/>
                <w:szCs w:val="15"/>
              </w:rPr>
              <w:t xml:space="preserve">EU</w:t>
            </w:r>
          </w:p>
        </w:tc>
        <w:tc>
          <w:tcPr>
            <w:tcW w:w="922" w:type="dxa"/>
          </w:tcPr>
          <w:p>
            <w:pPr>
              <w:pStyle w:val="Compact"/>
              <w:jc w:val="left"/>
              <w:spacing w:before="20" w:after="20" w:line="220" w:lineRule="auto"/>
            </w:pPr>
            <w:r>
              <w:rPr>
                <w:sz w:val="15"/>
                <w:szCs w:val="15"/>
              </w:rPr>
              <w:t xml:space="preserve">composite</w:t>
            </w:r>
          </w:p>
        </w:tc>
        <w:tc>
          <w:tcPr>
            <w:tcW w:w="2704" w:type="dxa"/>
          </w:tcPr>
          <w:p>
            <w:pPr>
              <w:pStyle w:val="Compact"/>
              <w:jc w:val="left"/>
              <w:spacing w:before="20" w:after="20" w:line="220" w:lineRule="auto"/>
            </w:pPr>
            <w:r>
              <w:rPr>
                <w:sz w:val="15"/>
                <w:szCs w:val="15"/>
              </w:rPr>
              <w:t xml:space="preserve">bank branches and tied agents</w:t>
            </w:r>
          </w:p>
        </w:tc>
        <w:tc>
          <w:tcPr>
            <w:tcW w:w="2151" w:type="dxa"/>
          </w:tcPr>
          <w:p>
            <w:pPr>
              <w:pStyle w:val="Compact"/>
              <w:jc w:val="left"/>
              <w:spacing w:before="20" w:after="20" w:line="220" w:lineRule="auto"/>
            </w:pPr>
            <w:r>
              <w:rPr>
                <w:sz w:val="15"/>
                <w:szCs w:val="15"/>
              </w:rPr>
              <w:t xml:space="preserve">IFRS 17</w:t>
            </w:r>
          </w:p>
        </w:tc>
        <w:tc>
          <w:tcPr>
            <w:tcW w:w="1229" w:type="dxa"/>
          </w:tcPr>
          <w:p>
            <w:pPr>
              <w:pStyle w:val="Compact"/>
              <w:jc w:val="left"/>
              <w:spacing w:before="20" w:after="20" w:line="220" w:lineRule="auto"/>
            </w:pPr>
            <w:r>
              <w:rPr>
                <w:sz w:val="15"/>
                <w:szCs w:val="15"/>
              </w:rPr>
              <w:t xml:space="preserve">FY2025 (Dec)</w:t>
            </w:r>
          </w:p>
        </w:tc>
        <w:tc>
          <w:tcPr>
            <w:tcW w:w="614" w:type="dxa"/>
          </w:tcPr>
          <w:p>
            <w:pPr>
              <w:pStyle w:val="Compact"/>
              <w:jc w:val="left"/>
              <w:spacing w:before="20" w:after="20" w:line="220" w:lineRule="auto"/>
            </w:pPr>
            <w:r>
              <w:rPr>
                <w:sz w:val="15"/>
                <w:szCs w:val="15"/>
              </w:rPr>
              <w:t xml:space="preserve">23.3%</w:t>
            </w:r>
          </w:p>
        </w:tc>
        <w:tc>
          <w:tcPr>
            <w:tcW w:w="1024" w:type="dxa"/>
          </w:tcPr>
          <w:p>
            <w:pPr>
              <w:pStyle w:val="Compact"/>
              <w:jc w:val="left"/>
              <w:spacing w:before="20" w:after="20" w:line="220" w:lineRule="auto"/>
            </w:pPr>
            <w:r>
              <w:rPr>
                <w:sz w:val="15"/>
                <w:szCs w:val="15"/>
              </w:rPr>
              <w:t xml:space="preserve">23.3%</w:t>
            </w:r>
          </w:p>
        </w:tc>
        <w:tc>
          <w:tcPr>
            <w:tcW w:w="1024" w:type="dxa"/>
          </w:tcPr>
          <w:p>
            <w:pPr>
              <w:pStyle w:val="Compact"/>
              <w:jc w:val="left"/>
              <w:spacing w:before="20" w:after="20" w:line="220" w:lineRule="auto"/>
            </w:pPr>
            <w:r>
              <w:rPr>
                <w:sz w:val="15"/>
                <w:szCs w:val="15"/>
              </w:rPr>
              <w:t xml:space="preserve">yes</w:t>
            </w:r>
          </w:p>
        </w:tc>
      </w:tr>
      <w:tr>
        <w:tc>
          <w:tcPr>
            <w:tcW w:w="4180" w:type="dxa"/>
          </w:tcPr>
          <w:p>
            <w:pPr>
              <w:pStyle w:val="Compact"/>
              <w:jc w:val="left"/>
              <w:spacing w:before="20" w:after="20" w:line="220" w:lineRule="auto"/>
            </w:pPr>
            <w:r>
              <w:rPr>
                <w:sz w:val="15"/>
                <w:szCs w:val="15"/>
              </w:rPr>
              <w:t xml:space="preserve">Momentum Group</w:t>
            </w:r>
          </w:p>
        </w:tc>
        <w:tc>
          <w:tcPr>
            <w:tcW w:w="717" w:type="dxa"/>
          </w:tcPr>
          <w:p>
            <w:pPr>
              <w:pStyle w:val="Compact"/>
              <w:jc w:val="left"/>
              <w:spacing w:before="20" w:after="20" w:line="220" w:lineRule="auto"/>
            </w:pPr>
            <w:r>
              <w:rPr>
                <w:sz w:val="15"/>
                <w:szCs w:val="15"/>
              </w:rPr>
              <w:t xml:space="preserve">LN</w:t>
            </w:r>
          </w:p>
        </w:tc>
        <w:tc>
          <w:tcPr>
            <w:tcW w:w="922" w:type="dxa"/>
          </w:tcPr>
          <w:p>
            <w:pPr>
              <w:pStyle w:val="Compact"/>
              <w:jc w:val="left"/>
              <w:spacing w:before="20" w:after="20" w:line="220" w:lineRule="auto"/>
            </w:pPr>
            <w:r>
              <w:rPr>
                <w:sz w:val="15"/>
                <w:szCs w:val="15"/>
              </w:rPr>
              <w:t xml:space="preserve">composite</w:t>
            </w:r>
          </w:p>
        </w:tc>
        <w:tc>
          <w:tcPr>
            <w:tcW w:w="2704" w:type="dxa"/>
          </w:tcPr>
          <w:p>
            <w:pPr>
              <w:pStyle w:val="Compact"/>
              <w:jc w:val="left"/>
              <w:spacing w:before="20" w:after="20" w:line="220" w:lineRule="auto"/>
            </w:pPr>
            <w:r>
              <w:rPr>
                <w:sz w:val="15"/>
                <w:szCs w:val="15"/>
              </w:rPr>
              <w:t xml:space="preserve">open</w:t>
            </w:r>
          </w:p>
        </w:tc>
        <w:tc>
          <w:tcPr>
            <w:tcW w:w="2151" w:type="dxa"/>
          </w:tcPr>
          <w:p>
            <w:pPr>
              <w:pStyle w:val="Compact"/>
              <w:jc w:val="left"/>
              <w:spacing w:before="20" w:after="20" w:line="220" w:lineRule="auto"/>
            </w:pPr>
            <w:r>
              <w:rPr>
                <w:sz w:val="15"/>
                <w:szCs w:val="15"/>
              </w:rPr>
              <w:t xml:space="preserve">IFRS 17</w:t>
            </w:r>
          </w:p>
        </w:tc>
        <w:tc>
          <w:tcPr>
            <w:tcW w:w="1229" w:type="dxa"/>
          </w:tcPr>
          <w:p>
            <w:pPr>
              <w:pStyle w:val="Compact"/>
              <w:jc w:val="left"/>
              <w:spacing w:before="20" w:after="20" w:line="220" w:lineRule="auto"/>
            </w:pPr>
            <w:r>
              <w:rPr>
                <w:sz w:val="15"/>
                <w:szCs w:val="15"/>
              </w:rPr>
              <w:t xml:space="preserve">FY2026 (Jun)</w:t>
            </w:r>
          </w:p>
        </w:tc>
        <w:tc>
          <w:tcPr>
            <w:tcW w:w="614" w:type="dxa"/>
          </w:tcPr>
          <w:p>
            <w:pPr>
              <w:pStyle w:val="Compact"/>
              <w:jc w:val="left"/>
              <w:spacing w:before="20" w:after="20" w:line="220" w:lineRule="auto"/>
            </w:pPr>
            <w:r>
              <w:rPr>
                <w:sz w:val="15"/>
                <w:szCs w:val="15"/>
              </w:rPr>
              <w:t xml:space="preserve">23.7%</w:t>
            </w:r>
          </w:p>
        </w:tc>
        <w:tc>
          <w:tcPr>
            <w:tcW w:w="1024" w:type="dxa"/>
          </w:tcPr>
          <w:p>
            <w:pPr>
              <w:pStyle w:val="Compact"/>
              <w:jc w:val="left"/>
              <w:spacing w:before="20" w:after="20" w:line="220" w:lineRule="auto"/>
            </w:pPr>
            <w:r>
              <w:rPr>
                <w:sz w:val="15"/>
                <w:szCs w:val="15"/>
              </w:rPr>
              <w:t xml:space="preserve">23.7%</w:t>
            </w:r>
          </w:p>
        </w:tc>
        <w:tc>
          <w:tcPr>
            <w:tcW w:w="1024" w:type="dxa"/>
          </w:tcPr>
          <w:p>
            <w:pPr>
              <w:pStyle w:val="Compact"/>
              <w:jc w:val="left"/>
              <w:spacing w:before="20" w:after="20" w:line="220" w:lineRule="auto"/>
            </w:pPr>
            <w:r>
              <w:rPr>
                <w:sz w:val="15"/>
                <w:szCs w:val="15"/>
              </w:rPr>
              <w:t xml:space="preserve">yes</w:t>
            </w:r>
          </w:p>
        </w:tc>
      </w:tr>
      <w:tr>
        <w:tc>
          <w:tcPr>
            <w:tcW w:w="4180" w:type="dxa"/>
          </w:tcPr>
          <w:p>
            <w:pPr>
              <w:pStyle w:val="Compact"/>
              <w:jc w:val="left"/>
              <w:spacing w:before="20" w:after="20" w:line="220" w:lineRule="auto"/>
            </w:pPr>
            <w:r>
              <w:rPr>
                <w:sz w:val="15"/>
                <w:szCs w:val="15"/>
              </w:rPr>
              <w:t xml:space="preserve">Old Mutual Group</w:t>
            </w:r>
          </w:p>
        </w:tc>
        <w:tc>
          <w:tcPr>
            <w:tcW w:w="717" w:type="dxa"/>
          </w:tcPr>
          <w:p>
            <w:pPr>
              <w:pStyle w:val="Compact"/>
              <w:jc w:val="left"/>
              <w:spacing w:before="20" w:after="20" w:line="220" w:lineRule="auto"/>
            </w:pPr>
            <w:r>
              <w:rPr>
                <w:sz w:val="15"/>
                <w:szCs w:val="15"/>
              </w:rPr>
              <w:t xml:space="preserve">LN</w:t>
            </w:r>
          </w:p>
        </w:tc>
        <w:tc>
          <w:tcPr>
            <w:tcW w:w="922" w:type="dxa"/>
          </w:tcPr>
          <w:p>
            <w:pPr>
              <w:pStyle w:val="Compact"/>
              <w:jc w:val="left"/>
              <w:spacing w:before="20" w:after="20" w:line="220" w:lineRule="auto"/>
            </w:pPr>
            <w:r>
              <w:rPr>
                <w:sz w:val="15"/>
                <w:szCs w:val="15"/>
              </w:rPr>
              <w:t xml:space="preserve">composite</w:t>
            </w:r>
          </w:p>
        </w:tc>
        <w:tc>
          <w:tcPr>
            <w:tcW w:w="2704" w:type="dxa"/>
          </w:tcPr>
          <w:p>
            <w:pPr>
              <w:pStyle w:val="Compact"/>
              <w:jc w:val="left"/>
              <w:spacing w:before="20" w:after="20" w:line="220" w:lineRule="auto"/>
            </w:pPr>
            <w:r>
              <w:rPr>
                <w:sz w:val="15"/>
                <w:szCs w:val="15"/>
              </w:rPr>
              <w:t xml:space="preserve">open</w:t>
            </w:r>
          </w:p>
        </w:tc>
        <w:tc>
          <w:tcPr>
            <w:tcW w:w="2151" w:type="dxa"/>
          </w:tcPr>
          <w:p>
            <w:pPr>
              <w:pStyle w:val="Compact"/>
              <w:jc w:val="left"/>
              <w:spacing w:before="20" w:after="20" w:line="220" w:lineRule="auto"/>
            </w:pPr>
            <w:r>
              <w:rPr>
                <w:sz w:val="15"/>
                <w:szCs w:val="15"/>
              </w:rPr>
              <w:t xml:space="preserve">IFRS 17</w:t>
            </w:r>
          </w:p>
        </w:tc>
        <w:tc>
          <w:tcPr>
            <w:tcW w:w="1229" w:type="dxa"/>
          </w:tcPr>
          <w:p>
            <w:pPr>
              <w:pStyle w:val="Compact"/>
              <w:jc w:val="left"/>
              <w:spacing w:before="20" w:after="20" w:line="220" w:lineRule="auto"/>
            </w:pPr>
            <w:r>
              <w:rPr>
                <w:sz w:val="15"/>
                <w:szCs w:val="15"/>
              </w:rPr>
              <w:t xml:space="preserve">FY2025 (Dec)</w:t>
            </w:r>
          </w:p>
        </w:tc>
        <w:tc>
          <w:tcPr>
            <w:tcW w:w="614" w:type="dxa"/>
          </w:tcPr>
          <w:p>
            <w:pPr>
              <w:pStyle w:val="Compact"/>
              <w:jc w:val="left"/>
              <w:spacing w:before="20" w:after="20" w:line="220" w:lineRule="auto"/>
            </w:pPr>
            <w:r>
              <w:rPr>
                <w:sz w:val="15"/>
                <w:szCs w:val="15"/>
              </w:rPr>
              <w:t xml:space="preserve">30.4%</w:t>
            </w:r>
          </w:p>
        </w:tc>
        <w:tc>
          <w:tcPr>
            <w:tcW w:w="1024" w:type="dxa"/>
          </w:tcPr>
          <w:p>
            <w:pPr>
              <w:pStyle w:val="Compact"/>
              <w:jc w:val="left"/>
              <w:spacing w:before="20" w:after="20" w:line="220" w:lineRule="auto"/>
            </w:pPr>
            <w:r>
              <w:rPr>
                <w:sz w:val="15"/>
                <w:szCs w:val="15"/>
              </w:rPr>
              <w:t xml:space="preserve">30.4%</w:t>
            </w:r>
          </w:p>
        </w:tc>
        <w:tc>
          <w:tcPr>
            <w:tcW w:w="1024" w:type="dxa"/>
          </w:tcPr>
          <w:p>
            <w:pPr>
              <w:pStyle w:val="Compact"/>
              <w:jc w:val="left"/>
              <w:spacing w:before="20" w:after="20" w:line="220" w:lineRule="auto"/>
            </w:pPr>
            <w:r>
              <w:rPr>
                <w:sz w:val="15"/>
                <w:szCs w:val="15"/>
              </w:rPr>
              <w:t xml:space="preserve">yes</w:t>
            </w:r>
          </w:p>
        </w:tc>
      </w:tr>
      <w:tr>
        <w:tc>
          <w:tcPr>
            <w:tcW w:w="4180" w:type="dxa"/>
          </w:tcPr>
          <w:p>
            <w:pPr>
              <w:pStyle w:val="Compact"/>
              <w:jc w:val="left"/>
              <w:spacing w:before="20" w:after="20" w:line="220" w:lineRule="auto"/>
            </w:pPr>
            <w:r>
              <w:rPr>
                <w:sz w:val="15"/>
                <w:szCs w:val="15"/>
              </w:rPr>
              <w:t xml:space="preserve">Sanlam Group</w:t>
            </w:r>
          </w:p>
        </w:tc>
        <w:tc>
          <w:tcPr>
            <w:tcW w:w="717" w:type="dxa"/>
          </w:tcPr>
          <w:p>
            <w:pPr>
              <w:pStyle w:val="Compact"/>
              <w:jc w:val="left"/>
              <w:spacing w:before="20" w:after="20" w:line="220" w:lineRule="auto"/>
            </w:pPr>
            <w:r>
              <w:rPr>
                <w:sz w:val="15"/>
                <w:szCs w:val="15"/>
              </w:rPr>
              <w:t xml:space="preserve">LN</w:t>
            </w:r>
          </w:p>
        </w:tc>
        <w:tc>
          <w:tcPr>
            <w:tcW w:w="922" w:type="dxa"/>
          </w:tcPr>
          <w:p>
            <w:pPr>
              <w:pStyle w:val="Compact"/>
              <w:jc w:val="left"/>
              <w:spacing w:before="20" w:after="20" w:line="220" w:lineRule="auto"/>
            </w:pPr>
            <w:r>
              <w:rPr>
                <w:sz w:val="15"/>
                <w:szCs w:val="15"/>
              </w:rPr>
              <w:t xml:space="preserve">composite</w:t>
            </w:r>
          </w:p>
        </w:tc>
        <w:tc>
          <w:tcPr>
            <w:tcW w:w="2704" w:type="dxa"/>
          </w:tcPr>
          <w:p>
            <w:pPr>
              <w:pStyle w:val="Compact"/>
              <w:jc w:val="left"/>
              <w:spacing w:before="20" w:after="20" w:line="220" w:lineRule="auto"/>
            </w:pPr>
            <w:r>
              <w:rPr>
                <w:sz w:val="15"/>
                <w:szCs w:val="15"/>
              </w:rPr>
              <w:t xml:space="preserve">open</w:t>
            </w:r>
          </w:p>
        </w:tc>
        <w:tc>
          <w:tcPr>
            <w:tcW w:w="2151" w:type="dxa"/>
          </w:tcPr>
          <w:p>
            <w:pPr>
              <w:pStyle w:val="Compact"/>
              <w:jc w:val="left"/>
              <w:spacing w:before="20" w:after="20" w:line="220" w:lineRule="auto"/>
            </w:pPr>
            <w:r>
              <w:rPr>
                <w:sz w:val="15"/>
                <w:szCs w:val="15"/>
              </w:rPr>
              <w:t xml:space="preserve">IFRS 17</w:t>
            </w:r>
          </w:p>
        </w:tc>
        <w:tc>
          <w:tcPr>
            <w:tcW w:w="1229" w:type="dxa"/>
          </w:tcPr>
          <w:p>
            <w:pPr>
              <w:pStyle w:val="Compact"/>
              <w:jc w:val="left"/>
              <w:spacing w:before="20" w:after="20" w:line="220" w:lineRule="auto"/>
            </w:pPr>
            <w:r>
              <w:rPr>
                <w:sz w:val="15"/>
                <w:szCs w:val="15"/>
              </w:rPr>
              <w:t xml:space="preserve">FY2025 (Dec)</w:t>
            </w:r>
          </w:p>
        </w:tc>
        <w:tc>
          <w:tcPr>
            <w:tcW w:w="614" w:type="dxa"/>
          </w:tcPr>
          <w:p>
            <w:pPr>
              <w:pStyle w:val="Compact"/>
              <w:jc w:val="left"/>
              <w:spacing w:before="20" w:after="20" w:line="220" w:lineRule="auto"/>
            </w:pPr>
            <w:r>
              <w:rPr>
                <w:sz w:val="15"/>
                <w:szCs w:val="15"/>
              </w:rPr>
              <w:t xml:space="preserve">38.1%</w:t>
            </w:r>
          </w:p>
        </w:tc>
        <w:tc>
          <w:tcPr>
            <w:tcW w:w="1024" w:type="dxa"/>
          </w:tcPr>
          <w:p>
            <w:pPr>
              <w:pStyle w:val="Compact"/>
              <w:jc w:val="left"/>
              <w:spacing w:before="20" w:after="20" w:line="220" w:lineRule="auto"/>
            </w:pPr>
            <w:r>
              <w:rPr>
                <w:sz w:val="15"/>
                <w:szCs w:val="15"/>
              </w:rPr>
              <w:t xml:space="preserve">38.1%</w:t>
            </w:r>
          </w:p>
        </w:tc>
        <w:tc>
          <w:tcPr>
            <w:tcW w:w="1024" w:type="dxa"/>
          </w:tcPr>
          <w:p>
            <w:pPr>
              <w:pStyle w:val="Compact"/>
              <w:jc w:val="left"/>
              <w:spacing w:before="20" w:after="20" w:line="220" w:lineRule="auto"/>
            </w:pPr>
            <w:r>
              <w:rPr>
                <w:sz w:val="15"/>
                <w:szCs w:val="15"/>
              </w:rPr>
              <w:t xml:space="preserve">yes</w:t>
            </w:r>
          </w:p>
        </w:tc>
      </w:tr>
    </w:tbl>
    <w:bookmarkEnd w:id="24"/>
    <w:bookmarkStart w:id="25" w:name="Xd95319b1f2d795f3cc1038587ca057b330b0391"/>
    <w:p>
      <w:pPr>
        <w:pStyle w:val="Heading4"/>
      </w:pPr>
      <w:r>
        <w:t xml:space="preserve">M3: Acquisition cost (amortised acquisition cash flows or commission) / insurance revenue</w:t>
      </w:r>
    </w:p>
    <w:tbl>
      <w:tblPr>
        <w:tblStyle w:val="Table"/>
        <w:tblLook w:firstRow="1" w:lastRow="0" w:firstColumn="0" w:lastColumn="0" w:noHBand="0" w:noVBand="0" w:val="0020"/>
        <w:jc w:val="start"/>
        <w:tblW w:w="14569" w:type="dxa"/>
        <w:tblLayout w:type="fixed"/>
      </w:tblPr>
      <w:tblGrid>
        <w:gridCol w:w="4216"/>
        <w:gridCol w:w="723"/>
        <w:gridCol w:w="930"/>
        <w:gridCol w:w="1426"/>
        <w:gridCol w:w="3348"/>
        <w:gridCol w:w="1240"/>
        <w:gridCol w:w="620"/>
        <w:gridCol w:w="1033"/>
        <w:gridCol w:w="1033"/>
      </w:tblGrid>
      <w:tr>
        <w:trPr>
          <w:tblHeader w:val="true"/>
        </w:trPr>
        <w:tc>
          <w:tcPr>
            <w:tcW w:w="4216" w:type="dxa"/>
          </w:tcPr>
          <w:p>
            <w:pPr>
              <w:pStyle w:val="Compact"/>
              <w:jc w:val="left"/>
              <w:spacing w:before="20" w:after="20" w:line="220" w:lineRule="auto"/>
            </w:pPr>
            <w:r>
              <w:rPr>
                <w:sz w:val="15"/>
                <w:szCs w:val="15"/>
              </w:rPr>
              <w:t xml:space="preserve">Entity</w:t>
            </w:r>
          </w:p>
        </w:tc>
        <w:tc>
          <w:tcPr>
            <w:tcW w:w="723" w:type="dxa"/>
          </w:tcPr>
          <w:p>
            <w:pPr>
              <w:pStyle w:val="Compact"/>
              <w:jc w:val="left"/>
              <w:spacing w:before="20" w:after="20" w:line="220" w:lineRule="auto"/>
            </w:pPr>
            <w:r>
              <w:rPr>
                <w:sz w:val="15"/>
                <w:szCs w:val="15"/>
              </w:rPr>
              <w:t xml:space="preserve">Cluster</w:t>
            </w:r>
          </w:p>
        </w:tc>
        <w:tc>
          <w:tcPr>
            <w:tcW w:w="930" w:type="dxa"/>
          </w:tcPr>
          <w:p>
            <w:pPr>
              <w:pStyle w:val="Compact"/>
              <w:jc w:val="left"/>
              <w:spacing w:before="20" w:after="20" w:line="220" w:lineRule="auto"/>
            </w:pPr>
            <w:r>
              <w:rPr>
                <w:sz w:val="15"/>
                <w:szCs w:val="15"/>
              </w:rPr>
              <w:t xml:space="preserve">Mix</w:t>
            </w:r>
          </w:p>
        </w:tc>
        <w:tc>
          <w:tcPr>
            <w:tcW w:w="1426" w:type="dxa"/>
          </w:tcPr>
          <w:p>
            <w:pPr>
              <w:pStyle w:val="Compact"/>
              <w:jc w:val="left"/>
              <w:spacing w:before="20" w:after="20" w:line="220" w:lineRule="auto"/>
            </w:pPr>
            <w:r>
              <w:rPr>
                <w:sz w:val="15"/>
                <w:szCs w:val="15"/>
              </w:rPr>
              <w:t xml:space="preserve">Distribution</w:t>
            </w:r>
          </w:p>
        </w:tc>
        <w:tc>
          <w:tcPr>
            <w:tcW w:w="3348" w:type="dxa"/>
          </w:tcPr>
          <w:p>
            <w:pPr>
              <w:pStyle w:val="Compact"/>
              <w:jc w:val="left"/>
              <w:spacing w:before="20" w:after="20" w:line="220" w:lineRule="auto"/>
            </w:pPr>
            <w:r>
              <w:rPr>
                <w:sz w:val="15"/>
                <w:szCs w:val="15"/>
              </w:rPr>
              <w:t xml:space="preserve">Basis</w:t>
            </w:r>
          </w:p>
        </w:tc>
        <w:tc>
          <w:tcPr>
            <w:tcW w:w="1240" w:type="dxa"/>
          </w:tcPr>
          <w:p>
            <w:pPr>
              <w:pStyle w:val="Compact"/>
              <w:jc w:val="left"/>
              <w:spacing w:before="20" w:after="20" w:line="220" w:lineRule="auto"/>
            </w:pPr>
            <w:r>
              <w:rPr>
                <w:sz w:val="15"/>
                <w:szCs w:val="15"/>
              </w:rPr>
              <w:t xml:space="preserve">Period</w:t>
            </w:r>
          </w:p>
        </w:tc>
        <w:tc>
          <w:tcPr>
            <w:tcW w:w="620" w:type="dxa"/>
          </w:tcPr>
          <w:p>
            <w:pPr>
              <w:pStyle w:val="Compact"/>
              <w:jc w:val="left"/>
              <w:spacing w:before="20" w:after="20" w:line="220" w:lineRule="auto"/>
            </w:pPr>
            <w:r>
              <w:rPr>
                <w:sz w:val="15"/>
                <w:szCs w:val="15"/>
              </w:rPr>
              <w:t xml:space="preserve">Raw</w:t>
            </w:r>
          </w:p>
        </w:tc>
        <w:tc>
          <w:tcPr>
            <w:tcW w:w="1033" w:type="dxa"/>
          </w:tcPr>
          <w:p>
            <w:pPr>
              <w:pStyle w:val="Compact"/>
              <w:jc w:val="left"/>
              <w:spacing w:before="20" w:after="20" w:line="220" w:lineRule="auto"/>
            </w:pPr>
            <w:r>
              <w:rPr>
                <w:sz w:val="15"/>
                <w:szCs w:val="15"/>
              </w:rPr>
              <w:t xml:space="preserve">Normalised</w:t>
            </w:r>
          </w:p>
        </w:tc>
        <w:tc>
          <w:tcPr>
            <w:tcW w:w="1033" w:type="dxa"/>
          </w:tcPr>
          <w:p>
            <w:pPr>
              <w:pStyle w:val="Compact"/>
              <w:jc w:val="left"/>
              <w:spacing w:before="20" w:after="20" w:line="220" w:lineRule="auto"/>
            </w:pPr>
            <w:r>
              <w:rPr>
                <w:sz w:val="15"/>
                <w:szCs w:val="15"/>
              </w:rPr>
              <w:t xml:space="preserve">In medians</w:t>
            </w:r>
          </w:p>
        </w:tc>
      </w:tr>
      <w:tr>
        <w:tc>
          <w:tcPr>
            <w:tcW w:w="4216" w:type="dxa"/>
          </w:tcPr>
          <w:p>
            <w:pPr>
              <w:pStyle w:val="Compact"/>
              <w:jc w:val="left"/>
              <w:spacing w:before="20" w:after="20" w:line="220" w:lineRule="auto"/>
            </w:pPr>
            <w:r>
              <w:rPr>
                <w:sz w:val="15"/>
                <w:szCs w:val="15"/>
              </w:rPr>
              <w:t xml:space="preserve">AFS Life Insurance SA (allocated)</w:t>
            </w:r>
          </w:p>
        </w:tc>
        <w:tc>
          <w:tcPr>
            <w:tcW w:w="723" w:type="dxa"/>
          </w:tcPr>
          <w:p>
            <w:pPr>
              <w:pStyle w:val="Compact"/>
              <w:jc w:val="left"/>
              <w:spacing w:before="20" w:after="20" w:line="220" w:lineRule="auto"/>
            </w:pPr>
            <w:r>
              <w:rPr>
                <w:sz w:val="15"/>
                <w:szCs w:val="15"/>
              </w:rPr>
              <w:t xml:space="preserve">AFS</w:t>
            </w:r>
          </w:p>
        </w:tc>
        <w:tc>
          <w:tcPr>
            <w:tcW w:w="930" w:type="dxa"/>
          </w:tcPr>
          <w:p>
            <w:pPr>
              <w:pStyle w:val="Compact"/>
              <w:jc w:val="left"/>
              <w:spacing w:before="20" w:after="20" w:line="220" w:lineRule="auto"/>
            </w:pPr>
            <w:r>
              <w:rPr>
                <w:sz w:val="15"/>
                <w:szCs w:val="15"/>
              </w:rPr>
              <w:t xml:space="preserve">life</w:t>
            </w:r>
          </w:p>
        </w:tc>
        <w:tc>
          <w:tcPr>
            <w:tcW w:w="1426" w:type="dxa"/>
          </w:tcPr>
          <w:p>
            <w:pPr>
              <w:pStyle w:val="Compact"/>
              <w:jc w:val="left"/>
              <w:spacing w:before="20" w:after="20" w:line="220" w:lineRule="auto"/>
            </w:pPr>
            <w:r>
              <w:rPr>
                <w:sz w:val="15"/>
                <w:szCs w:val="15"/>
              </w:rPr>
              <w:t xml:space="preserve">bank captive</w:t>
            </w:r>
          </w:p>
        </w:tc>
        <w:tc>
          <w:tcPr>
            <w:tcW w:w="3348" w:type="dxa"/>
          </w:tcPr>
          <w:p>
            <w:pPr>
              <w:pStyle w:val="Compact"/>
              <w:jc w:val="left"/>
              <w:spacing w:before="20" w:after="20" w:line="220" w:lineRule="auto"/>
            </w:pPr>
            <w:r>
              <w:rPr>
                <w:sz w:val="15"/>
                <w:szCs w:val="15"/>
              </w:rPr>
              <w:t xml:space="preserve">IFRS 17</w:t>
            </w:r>
          </w:p>
        </w:tc>
        <w:tc>
          <w:tcPr>
            <w:tcW w:w="1240" w:type="dxa"/>
          </w:tcPr>
          <w:p>
            <w:pPr>
              <w:pStyle w:val="Compact"/>
              <w:jc w:val="left"/>
              <w:spacing w:before="20" w:after="20" w:line="220" w:lineRule="auto"/>
            </w:pPr>
            <w:r>
              <w:rPr>
                <w:sz w:val="15"/>
                <w:szCs w:val="15"/>
              </w:rPr>
              <w:t xml:space="preserve">FY2025 (Dec)</w:t>
            </w:r>
          </w:p>
        </w:tc>
        <w:tc>
          <w:tcPr>
            <w:tcW w:w="620" w:type="dxa"/>
          </w:tcPr>
          <w:p>
            <w:pPr>
              <w:pStyle w:val="Compact"/>
              <w:jc w:val="left"/>
              <w:spacing w:before="20" w:after="20" w:line="220" w:lineRule="auto"/>
            </w:pPr>
            <w:r>
              <w:rPr>
                <w:sz w:val="15"/>
                <w:szCs w:val="15"/>
              </w:rPr>
              <w:t xml:space="preserve">8.4%</w:t>
            </w:r>
          </w:p>
        </w:tc>
        <w:tc>
          <w:tcPr>
            <w:tcW w:w="1033" w:type="dxa"/>
          </w:tcPr>
          <w:p>
            <w:pPr>
              <w:pStyle w:val="Compact"/>
              <w:jc w:val="left"/>
              <w:spacing w:before="20" w:after="20" w:line="220" w:lineRule="auto"/>
            </w:pPr>
            <w:r>
              <w:rPr>
                <w:sz w:val="15"/>
                <w:szCs w:val="15"/>
              </w:rPr>
              <w:t xml:space="preserve">8.4%</w:t>
            </w:r>
          </w:p>
        </w:tc>
        <w:tc>
          <w:tcPr>
            <w:tcW w:w="1033" w:type="dxa"/>
          </w:tcPr>
          <w:p>
            <w:pPr>
              <w:pStyle w:val="Compact"/>
              <w:jc w:val="left"/>
              <w:spacing w:before="20" w:after="20" w:line="220" w:lineRule="auto"/>
            </w:pPr>
            <w:r>
              <w:rPr>
                <w:sz w:val="15"/>
                <w:szCs w:val="15"/>
              </w:rPr>
              <w:t xml:space="preserve">no</w:t>
            </w:r>
          </w:p>
        </w:tc>
      </w:tr>
      <w:tr>
        <w:tc>
          <w:tcPr>
            <w:tcW w:w="4216" w:type="dxa"/>
          </w:tcPr>
          <w:p>
            <w:pPr>
              <w:pStyle w:val="Compact"/>
              <w:jc w:val="left"/>
              <w:spacing w:before="20" w:after="20" w:line="220" w:lineRule="auto"/>
            </w:pPr>
            <w:r>
              <w:rPr>
                <w:sz w:val="15"/>
                <w:szCs w:val="15"/>
              </w:rPr>
              <w:t xml:space="preserve">AFS Non-Life Insurance SA (allocated)</w:t>
            </w:r>
          </w:p>
        </w:tc>
        <w:tc>
          <w:tcPr>
            <w:tcW w:w="723" w:type="dxa"/>
          </w:tcPr>
          <w:p>
            <w:pPr>
              <w:pStyle w:val="Compact"/>
              <w:jc w:val="left"/>
              <w:spacing w:before="20" w:after="20" w:line="220" w:lineRule="auto"/>
            </w:pPr>
            <w:r>
              <w:rPr>
                <w:sz w:val="15"/>
                <w:szCs w:val="15"/>
              </w:rPr>
              <w:t xml:space="preserve">AFS</w:t>
            </w:r>
          </w:p>
        </w:tc>
        <w:tc>
          <w:tcPr>
            <w:tcW w:w="930" w:type="dxa"/>
          </w:tcPr>
          <w:p>
            <w:pPr>
              <w:pStyle w:val="Compact"/>
              <w:jc w:val="left"/>
              <w:spacing w:before="20" w:after="20" w:line="220" w:lineRule="auto"/>
            </w:pPr>
            <w:r>
              <w:rPr>
                <w:sz w:val="15"/>
                <w:szCs w:val="15"/>
              </w:rPr>
              <w:t xml:space="preserve">nonlife</w:t>
            </w:r>
          </w:p>
        </w:tc>
        <w:tc>
          <w:tcPr>
            <w:tcW w:w="1426" w:type="dxa"/>
          </w:tcPr>
          <w:p>
            <w:pPr>
              <w:pStyle w:val="Compact"/>
              <w:jc w:val="left"/>
              <w:spacing w:before="20" w:after="20" w:line="220" w:lineRule="auto"/>
            </w:pPr>
            <w:r>
              <w:rPr>
                <w:sz w:val="15"/>
                <w:szCs w:val="15"/>
              </w:rPr>
              <w:t xml:space="preserve">bank captive</w:t>
            </w:r>
          </w:p>
        </w:tc>
        <w:tc>
          <w:tcPr>
            <w:tcW w:w="3348" w:type="dxa"/>
          </w:tcPr>
          <w:p>
            <w:pPr>
              <w:pStyle w:val="Compact"/>
              <w:jc w:val="left"/>
              <w:spacing w:before="20" w:after="20" w:line="220" w:lineRule="auto"/>
            </w:pPr>
            <w:r>
              <w:rPr>
                <w:sz w:val="15"/>
                <w:szCs w:val="15"/>
              </w:rPr>
              <w:t xml:space="preserve">IFRS 17</w:t>
            </w:r>
          </w:p>
        </w:tc>
        <w:tc>
          <w:tcPr>
            <w:tcW w:w="1240" w:type="dxa"/>
          </w:tcPr>
          <w:p>
            <w:pPr>
              <w:pStyle w:val="Compact"/>
              <w:jc w:val="left"/>
              <w:spacing w:before="20" w:after="20" w:line="220" w:lineRule="auto"/>
            </w:pPr>
            <w:r>
              <w:rPr>
                <w:sz w:val="15"/>
                <w:szCs w:val="15"/>
              </w:rPr>
              <w:t xml:space="preserve">FY2025 (Dec)</w:t>
            </w:r>
          </w:p>
        </w:tc>
        <w:tc>
          <w:tcPr>
            <w:tcW w:w="620" w:type="dxa"/>
          </w:tcPr>
          <w:p>
            <w:pPr>
              <w:pStyle w:val="Compact"/>
              <w:jc w:val="left"/>
              <w:spacing w:before="20" w:after="20" w:line="220" w:lineRule="auto"/>
            </w:pPr>
            <w:r>
              <w:rPr>
                <w:sz w:val="15"/>
                <w:szCs w:val="15"/>
              </w:rPr>
              <w:t xml:space="preserve">13.0%</w:t>
            </w:r>
          </w:p>
        </w:tc>
        <w:tc>
          <w:tcPr>
            <w:tcW w:w="1033" w:type="dxa"/>
          </w:tcPr>
          <w:p>
            <w:pPr>
              <w:pStyle w:val="Compact"/>
              <w:jc w:val="left"/>
              <w:spacing w:before="20" w:after="20" w:line="220" w:lineRule="auto"/>
            </w:pPr>
            <w:r>
              <w:rPr>
                <w:sz w:val="15"/>
                <w:szCs w:val="15"/>
              </w:rPr>
              <w:t xml:space="preserve">13.0%</w:t>
            </w:r>
          </w:p>
        </w:tc>
        <w:tc>
          <w:tcPr>
            <w:tcW w:w="1033" w:type="dxa"/>
          </w:tcPr>
          <w:p>
            <w:pPr>
              <w:pStyle w:val="Compact"/>
              <w:jc w:val="left"/>
              <w:spacing w:before="20" w:after="20" w:line="220" w:lineRule="auto"/>
            </w:pPr>
            <w:r>
              <w:rPr>
                <w:sz w:val="15"/>
                <w:szCs w:val="15"/>
              </w:rPr>
              <w:t xml:space="preserve">no</w:t>
            </w:r>
          </w:p>
        </w:tc>
      </w:tr>
      <w:tr>
        <w:tc>
          <w:tcPr>
            <w:tcW w:w="4216" w:type="dxa"/>
          </w:tcPr>
          <w:p>
            <w:pPr>
              <w:pStyle w:val="Compact"/>
              <w:jc w:val="left"/>
              <w:spacing w:before="20" w:after="20" w:line="220" w:lineRule="auto"/>
            </w:pPr>
            <w:r>
              <w:rPr>
                <w:sz w:val="15"/>
                <w:szCs w:val="15"/>
              </w:rPr>
              <w:t xml:space="preserve">AFS Insurance SA (allocated amortisation of acquisition cash flows)</w:t>
            </w:r>
          </w:p>
        </w:tc>
        <w:tc>
          <w:tcPr>
            <w:tcW w:w="723" w:type="dxa"/>
          </w:tcPr>
          <w:p>
            <w:pPr>
              <w:pStyle w:val="Compact"/>
              <w:jc w:val="left"/>
              <w:spacing w:before="20" w:after="20" w:line="220" w:lineRule="auto"/>
            </w:pPr>
            <w:r>
              <w:rPr>
                <w:sz w:val="15"/>
                <w:szCs w:val="15"/>
              </w:rPr>
              <w:t xml:space="preserve">AFS</w:t>
            </w:r>
          </w:p>
        </w:tc>
        <w:tc>
          <w:tcPr>
            <w:tcW w:w="930" w:type="dxa"/>
          </w:tcPr>
          <w:p>
            <w:pPr>
              <w:pStyle w:val="Compact"/>
              <w:jc w:val="left"/>
              <w:spacing w:before="20" w:after="20" w:line="220" w:lineRule="auto"/>
            </w:pPr>
            <w:r>
              <w:rPr>
                <w:sz w:val="15"/>
                <w:szCs w:val="15"/>
              </w:rPr>
              <w:t xml:space="preserve">composite</w:t>
            </w:r>
          </w:p>
        </w:tc>
        <w:tc>
          <w:tcPr>
            <w:tcW w:w="1426" w:type="dxa"/>
          </w:tcPr>
          <w:p>
            <w:pPr>
              <w:pStyle w:val="Compact"/>
              <w:jc w:val="left"/>
              <w:spacing w:before="20" w:after="20" w:line="220" w:lineRule="auto"/>
            </w:pPr>
            <w:r>
              <w:rPr>
                <w:sz w:val="15"/>
                <w:szCs w:val="15"/>
              </w:rPr>
              <w:t xml:space="preserve">bank captive</w:t>
            </w:r>
          </w:p>
        </w:tc>
        <w:tc>
          <w:tcPr>
            <w:tcW w:w="3348" w:type="dxa"/>
          </w:tcPr>
          <w:p>
            <w:pPr>
              <w:pStyle w:val="Compact"/>
              <w:jc w:val="left"/>
              <w:spacing w:before="20" w:after="20" w:line="220" w:lineRule="auto"/>
            </w:pPr>
            <w:r>
              <w:rPr>
                <w:sz w:val="15"/>
                <w:szCs w:val="15"/>
              </w:rPr>
              <w:t xml:space="preserve">IFRS 17</w:t>
            </w:r>
          </w:p>
        </w:tc>
        <w:tc>
          <w:tcPr>
            <w:tcW w:w="1240" w:type="dxa"/>
          </w:tcPr>
          <w:p>
            <w:pPr>
              <w:pStyle w:val="Compact"/>
              <w:jc w:val="left"/>
              <w:spacing w:before="20" w:after="20" w:line="220" w:lineRule="auto"/>
            </w:pPr>
            <w:r>
              <w:rPr>
                <w:sz w:val="15"/>
                <w:szCs w:val="15"/>
              </w:rPr>
              <w:t xml:space="preserve">FY2025 (Dec)</w:t>
            </w:r>
          </w:p>
        </w:tc>
        <w:tc>
          <w:tcPr>
            <w:tcW w:w="620" w:type="dxa"/>
          </w:tcPr>
          <w:p>
            <w:pPr>
              <w:pStyle w:val="Compact"/>
              <w:jc w:val="left"/>
              <w:spacing w:before="20" w:after="20" w:line="220" w:lineRule="auto"/>
            </w:pPr>
            <w:r>
              <w:rPr>
                <w:sz w:val="15"/>
                <w:szCs w:val="15"/>
              </w:rPr>
              <w:t xml:space="preserve">10.8%</w:t>
            </w:r>
          </w:p>
        </w:tc>
        <w:tc>
          <w:tcPr>
            <w:tcW w:w="1033" w:type="dxa"/>
          </w:tcPr>
          <w:p>
            <w:pPr>
              <w:pStyle w:val="Compact"/>
              <w:jc w:val="left"/>
              <w:spacing w:before="20" w:after="20" w:line="220" w:lineRule="auto"/>
            </w:pPr>
            <w:r>
              <w:rPr>
                <w:sz w:val="15"/>
                <w:szCs w:val="15"/>
              </w:rPr>
              <w:t xml:space="preserve">10.8%</w:t>
            </w:r>
          </w:p>
        </w:tc>
        <w:tc>
          <w:tcPr>
            <w:tcW w:w="1033" w:type="dxa"/>
          </w:tcPr>
          <w:p>
            <w:pPr>
              <w:pStyle w:val="Compact"/>
              <w:jc w:val="left"/>
              <w:spacing w:before="20" w:after="20" w:line="220" w:lineRule="auto"/>
            </w:pPr>
            <w:r>
              <w:rPr>
                <w:sz w:val="15"/>
                <w:szCs w:val="15"/>
              </w:rPr>
              <w:t xml:space="preserve">no</w:t>
            </w:r>
          </w:p>
        </w:tc>
      </w:tr>
      <w:tr>
        <w:tc>
          <w:tcPr>
            <w:tcW w:w="4216" w:type="dxa"/>
          </w:tcPr>
          <w:p>
            <w:pPr>
              <w:pStyle w:val="Compact"/>
              <w:jc w:val="left"/>
              <w:spacing w:before="20" w:after="20" w:line="220" w:lineRule="auto"/>
            </w:pPr>
            <w:r>
              <w:rPr>
                <w:sz w:val="15"/>
                <w:szCs w:val="15"/>
              </w:rPr>
              <w:t xml:space="preserve">AFS Insurance SA excluding fee to Absa Bank (cash view)</w:t>
            </w:r>
          </w:p>
        </w:tc>
        <w:tc>
          <w:tcPr>
            <w:tcW w:w="723" w:type="dxa"/>
          </w:tcPr>
          <w:p>
            <w:pPr>
              <w:pStyle w:val="Compact"/>
              <w:jc w:val="left"/>
              <w:spacing w:before="20" w:after="20" w:line="220" w:lineRule="auto"/>
            </w:pPr>
            <w:r>
              <w:rPr>
                <w:sz w:val="15"/>
                <w:szCs w:val="15"/>
              </w:rPr>
              <w:t xml:space="preserve">AFS</w:t>
            </w:r>
          </w:p>
        </w:tc>
        <w:tc>
          <w:tcPr>
            <w:tcW w:w="930" w:type="dxa"/>
          </w:tcPr>
          <w:p>
            <w:pPr>
              <w:pStyle w:val="Compact"/>
              <w:jc w:val="left"/>
              <w:spacing w:before="20" w:after="20" w:line="220" w:lineRule="auto"/>
            </w:pPr>
            <w:r>
              <w:rPr>
                <w:sz w:val="15"/>
                <w:szCs w:val="15"/>
              </w:rPr>
              <w:t xml:space="preserve">composite</w:t>
            </w:r>
          </w:p>
        </w:tc>
        <w:tc>
          <w:tcPr>
            <w:tcW w:w="1426" w:type="dxa"/>
          </w:tcPr>
          <w:p>
            <w:pPr>
              <w:pStyle w:val="Compact"/>
              <w:jc w:val="left"/>
              <w:spacing w:before="20" w:after="20" w:line="220" w:lineRule="auto"/>
            </w:pPr>
            <w:r>
              <w:rPr>
                <w:sz w:val="15"/>
                <w:szCs w:val="15"/>
              </w:rPr>
              <w:t xml:space="preserve">bank captive</w:t>
            </w:r>
          </w:p>
        </w:tc>
        <w:tc>
          <w:tcPr>
            <w:tcW w:w="3348" w:type="dxa"/>
          </w:tcPr>
          <w:p>
            <w:pPr>
              <w:pStyle w:val="Compact"/>
              <w:jc w:val="left"/>
              <w:spacing w:before="20" w:after="20" w:line="220" w:lineRule="auto"/>
            </w:pPr>
            <w:r>
              <w:rPr>
                <w:sz w:val="15"/>
                <w:szCs w:val="15"/>
              </w:rPr>
              <w:t xml:space="preserve">IFRS 17</w:t>
            </w:r>
          </w:p>
        </w:tc>
        <w:tc>
          <w:tcPr>
            <w:tcW w:w="1240" w:type="dxa"/>
          </w:tcPr>
          <w:p>
            <w:pPr>
              <w:pStyle w:val="Compact"/>
              <w:jc w:val="left"/>
              <w:spacing w:before="20" w:after="20" w:line="220" w:lineRule="auto"/>
            </w:pPr>
            <w:r>
              <w:rPr>
                <w:sz w:val="15"/>
                <w:szCs w:val="15"/>
              </w:rPr>
              <w:t xml:space="preserve">FY2025 (Dec)</w:t>
            </w:r>
          </w:p>
        </w:tc>
        <w:tc>
          <w:tcPr>
            <w:tcW w:w="620" w:type="dxa"/>
          </w:tcPr>
          <w:p>
            <w:pPr>
              <w:pStyle w:val="Compact"/>
              <w:jc w:val="left"/>
              <w:spacing w:before="20" w:after="20" w:line="220" w:lineRule="auto"/>
            </w:pPr>
            <w:r>
              <w:rPr>
                <w:sz w:val="15"/>
                <w:szCs w:val="15"/>
              </w:rPr>
              <w:t xml:space="preserve">6.7%</w:t>
            </w:r>
          </w:p>
        </w:tc>
        <w:tc>
          <w:tcPr>
            <w:tcW w:w="1033" w:type="dxa"/>
          </w:tcPr>
          <w:p>
            <w:pPr>
              <w:pStyle w:val="Compact"/>
              <w:jc w:val="left"/>
              <w:spacing w:before="20" w:after="20" w:line="220" w:lineRule="auto"/>
            </w:pPr>
            <w:r>
              <w:rPr>
                <w:sz w:val="15"/>
                <w:szCs w:val="15"/>
              </w:rPr>
              <w:t xml:space="preserve">6.7%</w:t>
            </w:r>
          </w:p>
        </w:tc>
        <w:tc>
          <w:tcPr>
            <w:tcW w:w="1033" w:type="dxa"/>
          </w:tcPr>
          <w:p>
            <w:pPr>
              <w:pStyle w:val="Compact"/>
              <w:jc w:val="left"/>
              <w:spacing w:before="20" w:after="20" w:line="220" w:lineRule="auto"/>
            </w:pPr>
            <w:r>
              <w:rPr>
                <w:sz w:val="15"/>
                <w:szCs w:val="15"/>
              </w:rPr>
              <w:t xml:space="preserve">no</w:t>
            </w:r>
          </w:p>
        </w:tc>
      </w:tr>
      <w:tr>
        <w:tc>
          <w:tcPr>
            <w:tcW w:w="4216" w:type="dxa"/>
          </w:tcPr>
          <w:p>
            <w:pPr>
              <w:pStyle w:val="Compact"/>
              <w:jc w:val="left"/>
              <w:spacing w:before="20" w:after="20" w:line="220" w:lineRule="auto"/>
            </w:pPr>
            <w:r>
              <w:rPr>
                <w:sz w:val="15"/>
                <w:szCs w:val="15"/>
              </w:rPr>
              <w:t xml:space="preserve">AFS Insurance SA, cash acquisition flows (allocated)</w:t>
            </w:r>
          </w:p>
        </w:tc>
        <w:tc>
          <w:tcPr>
            <w:tcW w:w="723" w:type="dxa"/>
          </w:tcPr>
          <w:p>
            <w:pPr>
              <w:pStyle w:val="Compact"/>
              <w:jc w:val="left"/>
              <w:spacing w:before="20" w:after="20" w:line="220" w:lineRule="auto"/>
            </w:pPr>
            <w:r>
              <w:rPr>
                <w:sz w:val="15"/>
                <w:szCs w:val="15"/>
              </w:rPr>
              <w:t xml:space="preserve">AFS</w:t>
            </w:r>
          </w:p>
        </w:tc>
        <w:tc>
          <w:tcPr>
            <w:tcW w:w="930" w:type="dxa"/>
          </w:tcPr>
          <w:p>
            <w:pPr>
              <w:pStyle w:val="Compact"/>
              <w:jc w:val="left"/>
              <w:spacing w:before="20" w:after="20" w:line="220" w:lineRule="auto"/>
            </w:pPr>
            <w:r>
              <w:rPr>
                <w:sz w:val="15"/>
                <w:szCs w:val="15"/>
              </w:rPr>
              <w:t xml:space="preserve">composite</w:t>
            </w:r>
          </w:p>
        </w:tc>
        <w:tc>
          <w:tcPr>
            <w:tcW w:w="1426" w:type="dxa"/>
          </w:tcPr>
          <w:p>
            <w:pPr>
              <w:pStyle w:val="Compact"/>
              <w:jc w:val="left"/>
              <w:spacing w:before="20" w:after="20" w:line="220" w:lineRule="auto"/>
            </w:pPr>
            <w:r>
              <w:rPr>
                <w:sz w:val="15"/>
                <w:szCs w:val="15"/>
              </w:rPr>
              <w:t xml:space="preserve">bank captive</w:t>
            </w:r>
          </w:p>
        </w:tc>
        <w:tc>
          <w:tcPr>
            <w:tcW w:w="3348" w:type="dxa"/>
          </w:tcPr>
          <w:p>
            <w:pPr>
              <w:pStyle w:val="Compact"/>
              <w:jc w:val="left"/>
              <w:spacing w:before="20" w:after="20" w:line="220" w:lineRule="auto"/>
            </w:pPr>
            <w:r>
              <w:rPr>
                <w:sz w:val="15"/>
                <w:szCs w:val="15"/>
              </w:rPr>
              <w:t xml:space="preserve">IFRS 17 cash view</w:t>
            </w:r>
          </w:p>
        </w:tc>
        <w:tc>
          <w:tcPr>
            <w:tcW w:w="1240" w:type="dxa"/>
          </w:tcPr>
          <w:p>
            <w:pPr>
              <w:pStyle w:val="Compact"/>
              <w:jc w:val="left"/>
              <w:spacing w:before="20" w:after="20" w:line="220" w:lineRule="auto"/>
            </w:pPr>
            <w:r>
              <w:rPr>
                <w:sz w:val="15"/>
                <w:szCs w:val="15"/>
              </w:rPr>
              <w:t xml:space="preserve">FY2025 (Dec)</w:t>
            </w:r>
          </w:p>
        </w:tc>
        <w:tc>
          <w:tcPr>
            <w:tcW w:w="620" w:type="dxa"/>
          </w:tcPr>
          <w:p>
            <w:pPr>
              <w:pStyle w:val="Compact"/>
              <w:jc w:val="left"/>
              <w:spacing w:before="20" w:after="20" w:line="220" w:lineRule="auto"/>
            </w:pPr>
            <w:r>
              <w:rPr>
                <w:sz w:val="15"/>
                <w:szCs w:val="15"/>
              </w:rPr>
              <w:t xml:space="preserve">15.3%</w:t>
            </w:r>
          </w:p>
        </w:tc>
        <w:tc>
          <w:tcPr>
            <w:tcW w:w="1033" w:type="dxa"/>
          </w:tcPr>
          <w:p>
            <w:pPr>
              <w:pStyle w:val="Compact"/>
              <w:jc w:val="left"/>
              <w:spacing w:before="20" w:after="20" w:line="220" w:lineRule="auto"/>
            </w:pPr>
            <w:r>
              <w:rPr>
                <w:sz w:val="15"/>
                <w:szCs w:val="15"/>
              </w:rPr>
              <w:t xml:space="preserve">15.3%</w:t>
            </w:r>
          </w:p>
        </w:tc>
        <w:tc>
          <w:tcPr>
            <w:tcW w:w="1033" w:type="dxa"/>
          </w:tcPr>
          <w:p>
            <w:pPr>
              <w:pStyle w:val="Compact"/>
              <w:jc w:val="left"/>
              <w:spacing w:before="20" w:after="20" w:line="220" w:lineRule="auto"/>
            </w:pPr>
            <w:r>
              <w:rPr>
                <w:sz w:val="15"/>
                <w:szCs w:val="15"/>
              </w:rPr>
              <w:t xml:space="preserve">no</w:t>
            </w:r>
          </w:p>
        </w:tc>
      </w:tr>
      <w:tr>
        <w:tc>
          <w:tcPr>
            <w:tcW w:w="4216" w:type="dxa"/>
          </w:tcPr>
          <w:p>
            <w:pPr>
              <w:pStyle w:val="Compact"/>
              <w:jc w:val="left"/>
              <w:spacing w:before="20" w:after="20" w:line="220" w:lineRule="auto"/>
            </w:pPr>
            <w:r>
              <w:rPr>
                <w:sz w:val="15"/>
                <w:szCs w:val="15"/>
              </w:rPr>
              <w:t xml:space="preserve">Capitec Life (Capitec)</w:t>
            </w:r>
          </w:p>
        </w:tc>
        <w:tc>
          <w:tcPr>
            <w:tcW w:w="723" w:type="dxa"/>
          </w:tcPr>
          <w:p>
            <w:pPr>
              <w:pStyle w:val="Compact"/>
              <w:jc w:val="left"/>
              <w:spacing w:before="20" w:after="20" w:line="220" w:lineRule="auto"/>
            </w:pPr>
            <w:r>
              <w:rPr>
                <w:sz w:val="15"/>
                <w:szCs w:val="15"/>
              </w:rPr>
              <w:t xml:space="preserve">LB</w:t>
            </w:r>
          </w:p>
        </w:tc>
        <w:tc>
          <w:tcPr>
            <w:tcW w:w="930" w:type="dxa"/>
          </w:tcPr>
          <w:p>
            <w:pPr>
              <w:pStyle w:val="Compact"/>
              <w:jc w:val="left"/>
              <w:spacing w:before="20" w:after="20" w:line="220" w:lineRule="auto"/>
            </w:pPr>
            <w:r>
              <w:rPr>
                <w:sz w:val="15"/>
                <w:szCs w:val="15"/>
              </w:rPr>
              <w:t xml:space="preserve">life</w:t>
            </w:r>
          </w:p>
        </w:tc>
        <w:tc>
          <w:tcPr>
            <w:tcW w:w="1426" w:type="dxa"/>
          </w:tcPr>
          <w:p>
            <w:pPr>
              <w:pStyle w:val="Compact"/>
              <w:jc w:val="left"/>
              <w:spacing w:before="20" w:after="20" w:line="220" w:lineRule="auto"/>
            </w:pPr>
            <w:r>
              <w:rPr>
                <w:sz w:val="15"/>
                <w:szCs w:val="15"/>
              </w:rPr>
              <w:t xml:space="preserve">bank captive</w:t>
            </w:r>
          </w:p>
        </w:tc>
        <w:tc>
          <w:tcPr>
            <w:tcW w:w="3348" w:type="dxa"/>
          </w:tcPr>
          <w:p>
            <w:pPr>
              <w:pStyle w:val="Compact"/>
              <w:jc w:val="left"/>
              <w:spacing w:before="20" w:after="20" w:line="220" w:lineRule="auto"/>
            </w:pPr>
            <w:r>
              <w:rPr>
                <w:sz w:val="15"/>
                <w:szCs w:val="15"/>
              </w:rPr>
              <w:t xml:space="preserve">IFRS 17</w:t>
            </w:r>
          </w:p>
        </w:tc>
        <w:tc>
          <w:tcPr>
            <w:tcW w:w="1240" w:type="dxa"/>
          </w:tcPr>
          <w:p>
            <w:pPr>
              <w:pStyle w:val="Compact"/>
              <w:jc w:val="left"/>
              <w:spacing w:before="20" w:after="20" w:line="220" w:lineRule="auto"/>
            </w:pPr>
            <w:r>
              <w:rPr>
                <w:sz w:val="15"/>
                <w:szCs w:val="15"/>
              </w:rPr>
              <w:t xml:space="preserve">FY2026 (Feb)</w:t>
            </w:r>
          </w:p>
        </w:tc>
        <w:tc>
          <w:tcPr>
            <w:tcW w:w="620" w:type="dxa"/>
          </w:tcPr>
          <w:p>
            <w:pPr>
              <w:pStyle w:val="Compact"/>
              <w:jc w:val="left"/>
              <w:spacing w:before="20" w:after="20" w:line="220" w:lineRule="auto"/>
            </w:pPr>
            <w:r>
              <w:rPr>
                <w:sz w:val="15"/>
                <w:szCs w:val="15"/>
              </w:rPr>
              <w:t xml:space="preserve">0.1%</w:t>
            </w:r>
          </w:p>
        </w:tc>
        <w:tc>
          <w:tcPr>
            <w:tcW w:w="1033" w:type="dxa"/>
          </w:tcPr>
          <w:p>
            <w:pPr>
              <w:pStyle w:val="Compact"/>
              <w:jc w:val="left"/>
              <w:spacing w:before="20" w:after="20" w:line="220" w:lineRule="auto"/>
            </w:pPr>
            <w:r>
              <w:rPr>
                <w:sz w:val="15"/>
                <w:szCs w:val="15"/>
              </w:rPr>
              <w:t xml:space="preserve">0.1%</w:t>
            </w:r>
          </w:p>
        </w:tc>
        <w:tc>
          <w:tcPr>
            <w:tcW w:w="1033" w:type="dxa"/>
          </w:tcPr>
          <w:p>
            <w:pPr>
              <w:pStyle w:val="Compact"/>
              <w:jc w:val="left"/>
              <w:spacing w:before="20" w:after="20" w:line="220" w:lineRule="auto"/>
            </w:pPr>
            <w:r>
              <w:rPr>
                <w:sz w:val="15"/>
                <w:szCs w:val="15"/>
              </w:rPr>
              <w:t xml:space="preserve">yes</w:t>
            </w:r>
          </w:p>
        </w:tc>
      </w:tr>
      <w:tr>
        <w:tc>
          <w:tcPr>
            <w:tcW w:w="4216" w:type="dxa"/>
          </w:tcPr>
          <w:p>
            <w:pPr>
              <w:pStyle w:val="Compact"/>
              <w:jc w:val="left"/>
              <w:spacing w:before="20" w:after="20" w:line="220" w:lineRule="auto"/>
            </w:pPr>
            <w:r>
              <w:rPr>
                <w:sz w:val="15"/>
                <w:szCs w:val="15"/>
              </w:rPr>
              <w:t xml:space="preserve">Discovery Life</w:t>
            </w:r>
          </w:p>
        </w:tc>
        <w:tc>
          <w:tcPr>
            <w:tcW w:w="723" w:type="dxa"/>
          </w:tcPr>
          <w:p>
            <w:pPr>
              <w:pStyle w:val="Compact"/>
              <w:jc w:val="left"/>
              <w:spacing w:before="20" w:after="20" w:line="220" w:lineRule="auto"/>
            </w:pPr>
            <w:r>
              <w:rPr>
                <w:sz w:val="15"/>
                <w:szCs w:val="15"/>
              </w:rPr>
              <w:t xml:space="preserve">LN</w:t>
            </w:r>
          </w:p>
        </w:tc>
        <w:tc>
          <w:tcPr>
            <w:tcW w:w="930" w:type="dxa"/>
          </w:tcPr>
          <w:p>
            <w:pPr>
              <w:pStyle w:val="Compact"/>
              <w:jc w:val="left"/>
              <w:spacing w:before="20" w:after="20" w:line="220" w:lineRule="auto"/>
            </w:pPr>
            <w:r>
              <w:rPr>
                <w:sz w:val="15"/>
                <w:szCs w:val="15"/>
              </w:rPr>
              <w:t xml:space="preserve">life</w:t>
            </w:r>
          </w:p>
        </w:tc>
        <w:tc>
          <w:tcPr>
            <w:tcW w:w="1426" w:type="dxa"/>
          </w:tcPr>
          <w:p>
            <w:pPr>
              <w:pStyle w:val="Compact"/>
              <w:jc w:val="left"/>
              <w:spacing w:before="20" w:after="20" w:line="220" w:lineRule="auto"/>
            </w:pPr>
            <w:r>
              <w:rPr>
                <w:sz w:val="15"/>
                <w:szCs w:val="15"/>
              </w:rPr>
              <w:t xml:space="preserve">open</w:t>
            </w:r>
          </w:p>
        </w:tc>
        <w:tc>
          <w:tcPr>
            <w:tcW w:w="3348" w:type="dxa"/>
          </w:tcPr>
          <w:p>
            <w:pPr>
              <w:pStyle w:val="Compact"/>
              <w:jc w:val="left"/>
              <w:spacing w:before="20" w:after="20" w:line="220" w:lineRule="auto"/>
            </w:pPr>
            <w:r>
              <w:rPr>
                <w:sz w:val="15"/>
                <w:szCs w:val="15"/>
              </w:rPr>
              <w:t xml:space="preserve">IFRS 17</w:t>
            </w:r>
          </w:p>
        </w:tc>
        <w:tc>
          <w:tcPr>
            <w:tcW w:w="1240" w:type="dxa"/>
          </w:tcPr>
          <w:p>
            <w:pPr>
              <w:pStyle w:val="Compact"/>
              <w:jc w:val="left"/>
              <w:spacing w:before="20" w:after="20" w:line="220" w:lineRule="auto"/>
            </w:pPr>
            <w:r>
              <w:rPr>
                <w:sz w:val="15"/>
                <w:szCs w:val="15"/>
              </w:rPr>
              <w:t xml:space="preserve">FY2026 (Jun)</w:t>
            </w:r>
          </w:p>
        </w:tc>
        <w:tc>
          <w:tcPr>
            <w:tcW w:w="620" w:type="dxa"/>
          </w:tcPr>
          <w:p>
            <w:pPr>
              <w:pStyle w:val="Compact"/>
              <w:jc w:val="left"/>
              <w:spacing w:before="20" w:after="20" w:line="220" w:lineRule="auto"/>
            </w:pPr>
            <w:r>
              <w:rPr>
                <w:sz w:val="15"/>
                <w:szCs w:val="15"/>
              </w:rPr>
              <w:t xml:space="preserve">12.7%</w:t>
            </w:r>
          </w:p>
        </w:tc>
        <w:tc>
          <w:tcPr>
            <w:tcW w:w="1033" w:type="dxa"/>
          </w:tcPr>
          <w:p>
            <w:pPr>
              <w:pStyle w:val="Compact"/>
              <w:jc w:val="left"/>
              <w:spacing w:before="20" w:after="20" w:line="220" w:lineRule="auto"/>
            </w:pPr>
            <w:r>
              <w:rPr>
                <w:sz w:val="15"/>
                <w:szCs w:val="15"/>
              </w:rPr>
              <w:t xml:space="preserve">12.7%</w:t>
            </w:r>
          </w:p>
        </w:tc>
        <w:tc>
          <w:tcPr>
            <w:tcW w:w="1033" w:type="dxa"/>
          </w:tcPr>
          <w:p>
            <w:pPr>
              <w:pStyle w:val="Compact"/>
              <w:jc w:val="left"/>
              <w:spacing w:before="20" w:after="20" w:line="220" w:lineRule="auto"/>
            </w:pPr>
            <w:r>
              <w:rPr>
                <w:sz w:val="15"/>
                <w:szCs w:val="15"/>
              </w:rPr>
              <w:t xml:space="preserve">yes</w:t>
            </w:r>
          </w:p>
        </w:tc>
      </w:tr>
      <w:tr>
        <w:tc>
          <w:tcPr>
            <w:tcW w:w="4216" w:type="dxa"/>
          </w:tcPr>
          <w:p>
            <w:pPr>
              <w:pStyle w:val="Compact"/>
              <w:jc w:val="left"/>
              <w:spacing w:before="20" w:after="20" w:line="220" w:lineRule="auto"/>
            </w:pPr>
            <w:r>
              <w:rPr>
                <w:sz w:val="15"/>
                <w:szCs w:val="15"/>
              </w:rPr>
              <w:t xml:space="preserve">Liberty Group (Standard Bank)</w:t>
            </w:r>
          </w:p>
        </w:tc>
        <w:tc>
          <w:tcPr>
            <w:tcW w:w="723" w:type="dxa"/>
          </w:tcPr>
          <w:p>
            <w:pPr>
              <w:pStyle w:val="Compact"/>
              <w:jc w:val="left"/>
              <w:spacing w:before="20" w:after="20" w:line="220" w:lineRule="auto"/>
            </w:pPr>
            <w:r>
              <w:rPr>
                <w:sz w:val="15"/>
                <w:szCs w:val="15"/>
              </w:rPr>
              <w:t xml:space="preserve">LB</w:t>
            </w:r>
          </w:p>
        </w:tc>
        <w:tc>
          <w:tcPr>
            <w:tcW w:w="930" w:type="dxa"/>
          </w:tcPr>
          <w:p>
            <w:pPr>
              <w:pStyle w:val="Compact"/>
              <w:jc w:val="left"/>
              <w:spacing w:before="20" w:after="20" w:line="220" w:lineRule="auto"/>
            </w:pPr>
            <w:r>
              <w:rPr>
                <w:sz w:val="15"/>
                <w:szCs w:val="15"/>
              </w:rPr>
              <w:t xml:space="preserve">life</w:t>
            </w:r>
          </w:p>
        </w:tc>
        <w:tc>
          <w:tcPr>
            <w:tcW w:w="1426" w:type="dxa"/>
          </w:tcPr>
          <w:p>
            <w:pPr>
              <w:pStyle w:val="Compact"/>
              <w:jc w:val="left"/>
              <w:spacing w:before="20" w:after="20" w:line="220" w:lineRule="auto"/>
            </w:pPr>
            <w:r>
              <w:rPr>
                <w:sz w:val="15"/>
                <w:szCs w:val="15"/>
              </w:rPr>
              <w:t xml:space="preserve">mixed</w:t>
            </w:r>
          </w:p>
        </w:tc>
        <w:tc>
          <w:tcPr>
            <w:tcW w:w="3348" w:type="dxa"/>
          </w:tcPr>
          <w:p>
            <w:pPr>
              <w:pStyle w:val="Compact"/>
              <w:jc w:val="left"/>
              <w:spacing w:before="20" w:after="20" w:line="220" w:lineRule="auto"/>
            </w:pPr>
            <w:r>
              <w:rPr>
                <w:sz w:val="15"/>
                <w:szCs w:val="15"/>
              </w:rPr>
              <w:t xml:space="preserve">IFRS 17</w:t>
            </w:r>
          </w:p>
        </w:tc>
        <w:tc>
          <w:tcPr>
            <w:tcW w:w="1240" w:type="dxa"/>
          </w:tcPr>
          <w:p>
            <w:pPr>
              <w:pStyle w:val="Compact"/>
              <w:jc w:val="left"/>
              <w:spacing w:before="20" w:after="20" w:line="220" w:lineRule="auto"/>
            </w:pPr>
            <w:r>
              <w:rPr>
                <w:sz w:val="15"/>
                <w:szCs w:val="15"/>
              </w:rPr>
              <w:t xml:space="preserve">FY2025 (Dec)</w:t>
            </w:r>
          </w:p>
        </w:tc>
        <w:tc>
          <w:tcPr>
            <w:tcW w:w="620" w:type="dxa"/>
          </w:tcPr>
          <w:p>
            <w:pPr>
              <w:pStyle w:val="Compact"/>
              <w:jc w:val="left"/>
              <w:spacing w:before="20" w:after="20" w:line="220" w:lineRule="auto"/>
            </w:pPr>
            <w:r>
              <w:rPr>
                <w:sz w:val="15"/>
                <w:szCs w:val="15"/>
              </w:rPr>
              <w:t xml:space="preserve">8.7%</w:t>
            </w:r>
          </w:p>
        </w:tc>
        <w:tc>
          <w:tcPr>
            <w:tcW w:w="1033" w:type="dxa"/>
          </w:tcPr>
          <w:p>
            <w:pPr>
              <w:pStyle w:val="Compact"/>
              <w:jc w:val="left"/>
              <w:spacing w:before="20" w:after="20" w:line="220" w:lineRule="auto"/>
            </w:pPr>
            <w:r>
              <w:rPr>
                <w:sz w:val="15"/>
                <w:szCs w:val="15"/>
              </w:rPr>
              <w:t xml:space="preserve">8.7%</w:t>
            </w:r>
          </w:p>
        </w:tc>
        <w:tc>
          <w:tcPr>
            <w:tcW w:w="1033" w:type="dxa"/>
          </w:tcPr>
          <w:p>
            <w:pPr>
              <w:pStyle w:val="Compact"/>
              <w:jc w:val="left"/>
              <w:spacing w:before="20" w:after="20" w:line="220" w:lineRule="auto"/>
            </w:pPr>
            <w:r>
              <w:rPr>
                <w:sz w:val="15"/>
                <w:szCs w:val="15"/>
              </w:rPr>
              <w:t xml:space="preserve">yes</w:t>
            </w:r>
          </w:p>
        </w:tc>
      </w:tr>
      <w:tr>
        <w:tc>
          <w:tcPr>
            <w:tcW w:w="4216" w:type="dxa"/>
          </w:tcPr>
          <w:p>
            <w:pPr>
              <w:pStyle w:val="Compact"/>
              <w:jc w:val="left"/>
              <w:spacing w:before="20" w:after="20" w:line="220" w:lineRule="auto"/>
            </w:pPr>
            <w:r>
              <w:rPr>
                <w:sz w:val="15"/>
                <w:szCs w:val="15"/>
              </w:rPr>
              <w:t xml:space="preserve">Scottish Widows Limited (Lloyds)</w:t>
            </w:r>
          </w:p>
        </w:tc>
        <w:tc>
          <w:tcPr>
            <w:tcW w:w="723" w:type="dxa"/>
          </w:tcPr>
          <w:p>
            <w:pPr>
              <w:pStyle w:val="Compact"/>
              <w:jc w:val="left"/>
              <w:spacing w:before="20" w:after="20" w:line="220" w:lineRule="auto"/>
            </w:pPr>
            <w:r>
              <w:rPr>
                <w:sz w:val="15"/>
                <w:szCs w:val="15"/>
              </w:rPr>
              <w:t xml:space="preserve">EU</w:t>
            </w:r>
          </w:p>
        </w:tc>
        <w:tc>
          <w:tcPr>
            <w:tcW w:w="930" w:type="dxa"/>
          </w:tcPr>
          <w:p>
            <w:pPr>
              <w:pStyle w:val="Compact"/>
              <w:jc w:val="left"/>
              <w:spacing w:before="20" w:after="20" w:line="220" w:lineRule="auto"/>
            </w:pPr>
            <w:r>
              <w:rPr>
                <w:sz w:val="15"/>
                <w:szCs w:val="15"/>
              </w:rPr>
              <w:t xml:space="preserve">life</w:t>
            </w:r>
          </w:p>
        </w:tc>
        <w:tc>
          <w:tcPr>
            <w:tcW w:w="1426" w:type="dxa"/>
          </w:tcPr>
          <w:p>
            <w:pPr>
              <w:pStyle w:val="Compact"/>
              <w:jc w:val="left"/>
              <w:spacing w:before="20" w:after="20" w:line="220" w:lineRule="auto"/>
            </w:pPr>
            <w:r>
              <w:rPr>
                <w:sz w:val="15"/>
                <w:szCs w:val="15"/>
              </w:rPr>
              <w:t xml:space="preserve">bank captive</w:t>
            </w:r>
          </w:p>
        </w:tc>
        <w:tc>
          <w:tcPr>
            <w:tcW w:w="3348" w:type="dxa"/>
          </w:tcPr>
          <w:p>
            <w:pPr>
              <w:pStyle w:val="Compact"/>
              <w:jc w:val="left"/>
              <w:spacing w:before="20" w:after="20" w:line="220" w:lineRule="auto"/>
            </w:pPr>
            <w:r>
              <w:rPr>
                <w:sz w:val="15"/>
                <w:szCs w:val="15"/>
              </w:rPr>
              <w:t xml:space="preserve">IFRS 17</w:t>
            </w:r>
          </w:p>
        </w:tc>
        <w:tc>
          <w:tcPr>
            <w:tcW w:w="1240" w:type="dxa"/>
          </w:tcPr>
          <w:p>
            <w:pPr>
              <w:pStyle w:val="Compact"/>
              <w:jc w:val="left"/>
              <w:spacing w:before="20" w:after="20" w:line="220" w:lineRule="auto"/>
            </w:pPr>
            <w:r>
              <w:rPr>
                <w:sz w:val="15"/>
                <w:szCs w:val="15"/>
              </w:rPr>
              <w:t xml:space="preserve">FY2024 (Dec)</w:t>
            </w:r>
          </w:p>
        </w:tc>
        <w:tc>
          <w:tcPr>
            <w:tcW w:w="620" w:type="dxa"/>
          </w:tcPr>
          <w:p>
            <w:pPr>
              <w:pStyle w:val="Compact"/>
              <w:jc w:val="left"/>
              <w:spacing w:before="20" w:after="20" w:line="220" w:lineRule="auto"/>
            </w:pPr>
            <w:r>
              <w:rPr>
                <w:sz w:val="15"/>
                <w:szCs w:val="15"/>
              </w:rPr>
              <w:t xml:space="preserve">1.9%</w:t>
            </w:r>
          </w:p>
        </w:tc>
        <w:tc>
          <w:tcPr>
            <w:tcW w:w="1033" w:type="dxa"/>
          </w:tcPr>
          <w:p>
            <w:pPr>
              <w:pStyle w:val="Compact"/>
              <w:jc w:val="left"/>
              <w:spacing w:before="20" w:after="20" w:line="220" w:lineRule="auto"/>
            </w:pPr>
            <w:r>
              <w:rPr>
                <w:sz w:val="15"/>
                <w:szCs w:val="15"/>
              </w:rPr>
              <w:t xml:space="preserve">1.9%</w:t>
            </w:r>
          </w:p>
        </w:tc>
        <w:tc>
          <w:tcPr>
            <w:tcW w:w="1033" w:type="dxa"/>
          </w:tcPr>
          <w:p>
            <w:pPr>
              <w:pStyle w:val="Compact"/>
              <w:jc w:val="left"/>
              <w:spacing w:before="20" w:after="20" w:line="220" w:lineRule="auto"/>
            </w:pPr>
            <w:r>
              <w:rPr>
                <w:sz w:val="15"/>
                <w:szCs w:val="15"/>
              </w:rPr>
              <w:t xml:space="preserve">no</w:t>
            </w:r>
          </w:p>
        </w:tc>
      </w:tr>
      <w:tr>
        <w:tc>
          <w:tcPr>
            <w:tcW w:w="4216" w:type="dxa"/>
          </w:tcPr>
          <w:p>
            <w:pPr>
              <w:pStyle w:val="Compact"/>
              <w:jc w:val="left"/>
              <w:spacing w:before="20" w:after="20" w:line="220" w:lineRule="auto"/>
            </w:pPr>
            <w:r>
              <w:rPr>
                <w:sz w:val="15"/>
                <w:szCs w:val="15"/>
              </w:rPr>
              <w:t xml:space="preserve">VidaCaixa (CaixaBank)</w:t>
            </w:r>
          </w:p>
        </w:tc>
        <w:tc>
          <w:tcPr>
            <w:tcW w:w="723" w:type="dxa"/>
          </w:tcPr>
          <w:p>
            <w:pPr>
              <w:pStyle w:val="Compact"/>
              <w:jc w:val="left"/>
              <w:spacing w:before="20" w:after="20" w:line="220" w:lineRule="auto"/>
            </w:pPr>
            <w:r>
              <w:rPr>
                <w:sz w:val="15"/>
                <w:szCs w:val="15"/>
              </w:rPr>
              <w:t xml:space="preserve">EU</w:t>
            </w:r>
          </w:p>
        </w:tc>
        <w:tc>
          <w:tcPr>
            <w:tcW w:w="930" w:type="dxa"/>
          </w:tcPr>
          <w:p>
            <w:pPr>
              <w:pStyle w:val="Compact"/>
              <w:jc w:val="left"/>
              <w:spacing w:before="20" w:after="20" w:line="220" w:lineRule="auto"/>
            </w:pPr>
            <w:r>
              <w:rPr>
                <w:sz w:val="15"/>
                <w:szCs w:val="15"/>
              </w:rPr>
              <w:t xml:space="preserve">life</w:t>
            </w:r>
          </w:p>
        </w:tc>
        <w:tc>
          <w:tcPr>
            <w:tcW w:w="1426" w:type="dxa"/>
          </w:tcPr>
          <w:p>
            <w:pPr>
              <w:pStyle w:val="Compact"/>
              <w:jc w:val="left"/>
              <w:spacing w:before="20" w:after="20" w:line="220" w:lineRule="auto"/>
            </w:pPr>
            <w:r>
              <w:rPr>
                <w:sz w:val="15"/>
                <w:szCs w:val="15"/>
              </w:rPr>
              <w:t xml:space="preserve">bank captive</w:t>
            </w:r>
          </w:p>
        </w:tc>
        <w:tc>
          <w:tcPr>
            <w:tcW w:w="3348" w:type="dxa"/>
          </w:tcPr>
          <w:p>
            <w:pPr>
              <w:pStyle w:val="Compact"/>
              <w:jc w:val="left"/>
              <w:spacing w:before="20" w:after="20" w:line="220" w:lineRule="auto"/>
            </w:pPr>
            <w:r>
              <w:rPr>
                <w:sz w:val="15"/>
                <w:szCs w:val="15"/>
              </w:rPr>
              <w:t xml:space="preserve">IFRS 17</w:t>
            </w:r>
          </w:p>
        </w:tc>
        <w:tc>
          <w:tcPr>
            <w:tcW w:w="1240" w:type="dxa"/>
          </w:tcPr>
          <w:p>
            <w:pPr>
              <w:pStyle w:val="Compact"/>
              <w:jc w:val="left"/>
              <w:spacing w:before="20" w:after="20" w:line="220" w:lineRule="auto"/>
            </w:pPr>
            <w:r>
              <w:rPr>
                <w:sz w:val="15"/>
                <w:szCs w:val="15"/>
              </w:rPr>
              <w:t xml:space="preserve">FY2025 (Dec)</w:t>
            </w:r>
          </w:p>
        </w:tc>
        <w:tc>
          <w:tcPr>
            <w:tcW w:w="620" w:type="dxa"/>
          </w:tcPr>
          <w:p>
            <w:pPr>
              <w:pStyle w:val="Compact"/>
              <w:jc w:val="left"/>
              <w:spacing w:before="20" w:after="20" w:line="220" w:lineRule="auto"/>
            </w:pPr>
            <w:r>
              <w:rPr>
                <w:sz w:val="15"/>
                <w:szCs w:val="15"/>
              </w:rPr>
              <w:t xml:space="preserve">19.8%</w:t>
            </w:r>
          </w:p>
        </w:tc>
        <w:tc>
          <w:tcPr>
            <w:tcW w:w="1033" w:type="dxa"/>
          </w:tcPr>
          <w:p>
            <w:pPr>
              <w:pStyle w:val="Compact"/>
              <w:jc w:val="left"/>
              <w:spacing w:before="20" w:after="20" w:line="220" w:lineRule="auto"/>
            </w:pPr>
            <w:r>
              <w:rPr>
                <w:sz w:val="15"/>
                <w:szCs w:val="15"/>
              </w:rPr>
              <w:t xml:space="preserve">19.8%</w:t>
            </w:r>
          </w:p>
        </w:tc>
        <w:tc>
          <w:tcPr>
            <w:tcW w:w="1033" w:type="dxa"/>
          </w:tcPr>
          <w:p>
            <w:pPr>
              <w:pStyle w:val="Compact"/>
              <w:jc w:val="left"/>
              <w:spacing w:before="20" w:after="20" w:line="220" w:lineRule="auto"/>
            </w:pPr>
            <w:r>
              <w:rPr>
                <w:sz w:val="15"/>
                <w:szCs w:val="15"/>
              </w:rPr>
              <w:t xml:space="preserve">no</w:t>
            </w:r>
          </w:p>
        </w:tc>
      </w:tr>
      <w:tr>
        <w:tc>
          <w:tcPr>
            <w:tcW w:w="4216" w:type="dxa"/>
          </w:tcPr>
          <w:p>
            <w:pPr>
              <w:pStyle w:val="Compact"/>
              <w:jc w:val="left"/>
              <w:spacing w:before="20" w:after="20" w:line="220" w:lineRule="auto"/>
            </w:pPr>
            <w:r>
              <w:rPr>
                <w:sz w:val="15"/>
                <w:szCs w:val="15"/>
              </w:rPr>
              <w:t xml:space="preserve">Discovery Insure</w:t>
            </w:r>
          </w:p>
        </w:tc>
        <w:tc>
          <w:tcPr>
            <w:tcW w:w="723" w:type="dxa"/>
          </w:tcPr>
          <w:p>
            <w:pPr>
              <w:pStyle w:val="Compact"/>
              <w:jc w:val="left"/>
              <w:spacing w:before="20" w:after="20" w:line="220" w:lineRule="auto"/>
            </w:pPr>
            <w:r>
              <w:rPr>
                <w:sz w:val="15"/>
                <w:szCs w:val="15"/>
              </w:rPr>
              <w:t xml:space="preserve">LN</w:t>
            </w:r>
          </w:p>
        </w:tc>
        <w:tc>
          <w:tcPr>
            <w:tcW w:w="930" w:type="dxa"/>
          </w:tcPr>
          <w:p>
            <w:pPr>
              <w:pStyle w:val="Compact"/>
              <w:jc w:val="left"/>
              <w:spacing w:before="20" w:after="20" w:line="220" w:lineRule="auto"/>
            </w:pPr>
            <w:r>
              <w:rPr>
                <w:sz w:val="15"/>
                <w:szCs w:val="15"/>
              </w:rPr>
              <w:t xml:space="preserve">nonlife</w:t>
            </w:r>
          </w:p>
        </w:tc>
        <w:tc>
          <w:tcPr>
            <w:tcW w:w="1426" w:type="dxa"/>
          </w:tcPr>
          <w:p>
            <w:pPr>
              <w:pStyle w:val="Compact"/>
              <w:jc w:val="left"/>
              <w:spacing w:before="20" w:after="20" w:line="220" w:lineRule="auto"/>
            </w:pPr>
            <w:r>
              <w:rPr>
                <w:sz w:val="15"/>
                <w:szCs w:val="15"/>
              </w:rPr>
              <w:t xml:space="preserve">open and direct</w:t>
            </w:r>
          </w:p>
        </w:tc>
        <w:tc>
          <w:tcPr>
            <w:tcW w:w="3348" w:type="dxa"/>
          </w:tcPr>
          <w:p>
            <w:pPr>
              <w:pStyle w:val="Compact"/>
              <w:jc w:val="left"/>
              <w:spacing w:before="20" w:after="20" w:line="220" w:lineRule="auto"/>
            </w:pPr>
            <w:r>
              <w:rPr>
                <w:sz w:val="15"/>
                <w:szCs w:val="15"/>
              </w:rPr>
              <w:t xml:space="preserve">IFRS 17</w:t>
            </w:r>
          </w:p>
        </w:tc>
        <w:tc>
          <w:tcPr>
            <w:tcW w:w="1240" w:type="dxa"/>
          </w:tcPr>
          <w:p>
            <w:pPr>
              <w:pStyle w:val="Compact"/>
              <w:jc w:val="left"/>
              <w:spacing w:before="20" w:after="20" w:line="220" w:lineRule="auto"/>
            </w:pPr>
            <w:r>
              <w:rPr>
                <w:sz w:val="15"/>
                <w:szCs w:val="15"/>
              </w:rPr>
              <w:t xml:space="preserve">FY2026 (Jun)</w:t>
            </w:r>
          </w:p>
        </w:tc>
        <w:tc>
          <w:tcPr>
            <w:tcW w:w="620" w:type="dxa"/>
          </w:tcPr>
          <w:p>
            <w:pPr>
              <w:pStyle w:val="Compact"/>
              <w:jc w:val="left"/>
              <w:spacing w:before="20" w:after="20" w:line="220" w:lineRule="auto"/>
            </w:pPr>
            <w:r>
              <w:rPr>
                <w:sz w:val="15"/>
                <w:szCs w:val="15"/>
              </w:rPr>
              <w:t xml:space="preserve">15.4%</w:t>
            </w:r>
          </w:p>
        </w:tc>
        <w:tc>
          <w:tcPr>
            <w:tcW w:w="1033" w:type="dxa"/>
          </w:tcPr>
          <w:p>
            <w:pPr>
              <w:pStyle w:val="Compact"/>
              <w:jc w:val="left"/>
              <w:spacing w:before="20" w:after="20" w:line="220" w:lineRule="auto"/>
            </w:pPr>
            <w:r>
              <w:rPr>
                <w:sz w:val="15"/>
                <w:szCs w:val="15"/>
              </w:rPr>
              <w:t xml:space="preserve">15.4%</w:t>
            </w:r>
          </w:p>
        </w:tc>
        <w:tc>
          <w:tcPr>
            <w:tcW w:w="1033" w:type="dxa"/>
          </w:tcPr>
          <w:p>
            <w:pPr>
              <w:pStyle w:val="Compact"/>
              <w:jc w:val="left"/>
              <w:spacing w:before="20" w:after="20" w:line="220" w:lineRule="auto"/>
            </w:pPr>
            <w:r>
              <w:rPr>
                <w:sz w:val="15"/>
                <w:szCs w:val="15"/>
              </w:rPr>
              <w:t xml:space="preserve">yes</w:t>
            </w:r>
          </w:p>
        </w:tc>
      </w:tr>
      <w:tr>
        <w:tc>
          <w:tcPr>
            <w:tcW w:w="4216" w:type="dxa"/>
          </w:tcPr>
          <w:p>
            <w:pPr>
              <w:pStyle w:val="Compact"/>
              <w:jc w:val="left"/>
              <w:spacing w:before="20" w:after="20" w:line="220" w:lineRule="auto"/>
            </w:pPr>
            <w:r>
              <w:rPr>
                <w:sz w:val="15"/>
                <w:szCs w:val="15"/>
              </w:rPr>
              <w:t xml:space="preserve">Etiqa General Insurance</w:t>
            </w:r>
          </w:p>
        </w:tc>
        <w:tc>
          <w:tcPr>
            <w:tcW w:w="723" w:type="dxa"/>
          </w:tcPr>
          <w:p>
            <w:pPr>
              <w:pStyle w:val="Compact"/>
              <w:jc w:val="left"/>
              <w:spacing w:before="20" w:after="20" w:line="220" w:lineRule="auto"/>
            </w:pPr>
            <w:r>
              <w:rPr>
                <w:sz w:val="15"/>
                <w:szCs w:val="15"/>
              </w:rPr>
              <w:t xml:space="preserve">EM</w:t>
            </w:r>
          </w:p>
        </w:tc>
        <w:tc>
          <w:tcPr>
            <w:tcW w:w="930" w:type="dxa"/>
          </w:tcPr>
          <w:p>
            <w:pPr>
              <w:pStyle w:val="Compact"/>
              <w:jc w:val="left"/>
              <w:spacing w:before="20" w:after="20" w:line="220" w:lineRule="auto"/>
            </w:pPr>
            <w:r>
              <w:rPr>
                <w:sz w:val="15"/>
                <w:szCs w:val="15"/>
              </w:rPr>
              <w:t xml:space="preserve">nonlife</w:t>
            </w:r>
          </w:p>
        </w:tc>
        <w:tc>
          <w:tcPr>
            <w:tcW w:w="1426" w:type="dxa"/>
          </w:tcPr>
          <w:p>
            <w:pPr>
              <w:pStyle w:val="Compact"/>
              <w:jc w:val="left"/>
              <w:spacing w:before="20" w:after="20" w:line="220" w:lineRule="auto"/>
            </w:pPr>
            <w:r>
              <w:rPr>
                <w:sz w:val="15"/>
                <w:szCs w:val="15"/>
              </w:rPr>
              <w:t xml:space="preserve">partly captive</w:t>
            </w:r>
          </w:p>
        </w:tc>
        <w:tc>
          <w:tcPr>
            <w:tcW w:w="3348" w:type="dxa"/>
          </w:tcPr>
          <w:p>
            <w:pPr>
              <w:pStyle w:val="Compact"/>
              <w:jc w:val="left"/>
              <w:spacing w:before="20" w:after="20" w:line="220" w:lineRule="auto"/>
            </w:pPr>
            <w:r>
              <w:rPr>
                <w:sz w:val="15"/>
                <w:szCs w:val="15"/>
              </w:rPr>
              <w:t xml:space="preserve">MFRS 17</w:t>
            </w:r>
          </w:p>
        </w:tc>
        <w:tc>
          <w:tcPr>
            <w:tcW w:w="1240" w:type="dxa"/>
          </w:tcPr>
          <w:p>
            <w:pPr>
              <w:pStyle w:val="Compact"/>
              <w:jc w:val="left"/>
              <w:spacing w:before="20" w:after="20" w:line="220" w:lineRule="auto"/>
            </w:pPr>
            <w:r>
              <w:rPr>
                <w:sz w:val="15"/>
                <w:szCs w:val="15"/>
              </w:rPr>
              <w:t xml:space="preserve">FY2025 (Dec)</w:t>
            </w:r>
          </w:p>
        </w:tc>
        <w:tc>
          <w:tcPr>
            <w:tcW w:w="620" w:type="dxa"/>
          </w:tcPr>
          <w:p>
            <w:pPr>
              <w:pStyle w:val="Compact"/>
              <w:jc w:val="left"/>
              <w:spacing w:before="20" w:after="20" w:line="220" w:lineRule="auto"/>
            </w:pPr>
            <w:r>
              <w:rPr>
                <w:sz w:val="15"/>
                <w:szCs w:val="15"/>
              </w:rPr>
              <w:t xml:space="preserve">5.6%</w:t>
            </w:r>
          </w:p>
        </w:tc>
        <w:tc>
          <w:tcPr>
            <w:tcW w:w="1033" w:type="dxa"/>
          </w:tcPr>
          <w:p>
            <w:pPr>
              <w:pStyle w:val="Compact"/>
              <w:jc w:val="left"/>
              <w:spacing w:before="20" w:after="20" w:line="220" w:lineRule="auto"/>
            </w:pPr>
            <w:r>
              <w:rPr>
                <w:sz w:val="15"/>
                <w:szCs w:val="15"/>
              </w:rPr>
              <w:t xml:space="preserve">5.6%</w:t>
            </w:r>
          </w:p>
        </w:tc>
        <w:tc>
          <w:tcPr>
            <w:tcW w:w="1033" w:type="dxa"/>
          </w:tcPr>
          <w:p>
            <w:pPr>
              <w:pStyle w:val="Compact"/>
              <w:jc w:val="left"/>
              <w:spacing w:before="20" w:after="20" w:line="220" w:lineRule="auto"/>
            </w:pPr>
            <w:r>
              <w:rPr>
                <w:sz w:val="15"/>
                <w:szCs w:val="15"/>
              </w:rPr>
              <w:t xml:space="preserve">yes</w:t>
            </w:r>
          </w:p>
        </w:tc>
      </w:tr>
      <w:tr>
        <w:tc>
          <w:tcPr>
            <w:tcW w:w="4216" w:type="dxa"/>
          </w:tcPr>
          <w:p>
            <w:pPr>
              <w:pStyle w:val="Compact"/>
              <w:jc w:val="left"/>
              <w:spacing w:before="20" w:after="20" w:line="220" w:lineRule="auto"/>
            </w:pPr>
            <w:r>
              <w:rPr>
                <w:sz w:val="15"/>
                <w:szCs w:val="15"/>
              </w:rPr>
              <w:t xml:space="preserve">Santam Group</w:t>
            </w:r>
          </w:p>
        </w:tc>
        <w:tc>
          <w:tcPr>
            <w:tcW w:w="723" w:type="dxa"/>
          </w:tcPr>
          <w:p>
            <w:pPr>
              <w:pStyle w:val="Compact"/>
              <w:jc w:val="left"/>
              <w:spacing w:before="20" w:after="20" w:line="220" w:lineRule="auto"/>
            </w:pPr>
            <w:r>
              <w:rPr>
                <w:sz w:val="15"/>
                <w:szCs w:val="15"/>
              </w:rPr>
              <w:t xml:space="preserve">LN</w:t>
            </w:r>
          </w:p>
        </w:tc>
        <w:tc>
          <w:tcPr>
            <w:tcW w:w="930" w:type="dxa"/>
          </w:tcPr>
          <w:p>
            <w:pPr>
              <w:pStyle w:val="Compact"/>
              <w:jc w:val="left"/>
              <w:spacing w:before="20" w:after="20" w:line="220" w:lineRule="auto"/>
            </w:pPr>
            <w:r>
              <w:rPr>
                <w:sz w:val="15"/>
                <w:szCs w:val="15"/>
              </w:rPr>
              <w:t xml:space="preserve">nonlife</w:t>
            </w:r>
          </w:p>
        </w:tc>
        <w:tc>
          <w:tcPr>
            <w:tcW w:w="1426" w:type="dxa"/>
          </w:tcPr>
          <w:p>
            <w:pPr>
              <w:pStyle w:val="Compact"/>
              <w:jc w:val="left"/>
              <w:spacing w:before="20" w:after="20" w:line="220" w:lineRule="auto"/>
            </w:pPr>
            <w:r>
              <w:rPr>
                <w:sz w:val="15"/>
                <w:szCs w:val="15"/>
              </w:rPr>
              <w:t xml:space="preserve">open</w:t>
            </w:r>
          </w:p>
        </w:tc>
        <w:tc>
          <w:tcPr>
            <w:tcW w:w="3348" w:type="dxa"/>
          </w:tcPr>
          <w:p>
            <w:pPr>
              <w:pStyle w:val="Compact"/>
              <w:jc w:val="left"/>
              <w:spacing w:before="20" w:after="20" w:line="220" w:lineRule="auto"/>
            </w:pPr>
            <w:r>
              <w:rPr>
                <w:sz w:val="15"/>
                <w:szCs w:val="15"/>
              </w:rPr>
              <w:t xml:space="preserve">IFRS 17</w:t>
            </w:r>
          </w:p>
        </w:tc>
        <w:tc>
          <w:tcPr>
            <w:tcW w:w="1240" w:type="dxa"/>
          </w:tcPr>
          <w:p>
            <w:pPr>
              <w:pStyle w:val="Compact"/>
              <w:jc w:val="left"/>
              <w:spacing w:before="20" w:after="20" w:line="220" w:lineRule="auto"/>
            </w:pPr>
            <w:r>
              <w:rPr>
                <w:sz w:val="15"/>
                <w:szCs w:val="15"/>
              </w:rPr>
              <w:t xml:space="preserve">FY2025 (Dec)</w:t>
            </w:r>
          </w:p>
        </w:tc>
        <w:tc>
          <w:tcPr>
            <w:tcW w:w="620" w:type="dxa"/>
          </w:tcPr>
          <w:p>
            <w:pPr>
              <w:pStyle w:val="Compact"/>
              <w:jc w:val="left"/>
              <w:spacing w:before="20" w:after="20" w:line="220" w:lineRule="auto"/>
            </w:pPr>
            <w:r>
              <w:rPr>
                <w:sz w:val="15"/>
                <w:szCs w:val="15"/>
              </w:rPr>
              <w:t xml:space="preserve">12.4%</w:t>
            </w:r>
          </w:p>
        </w:tc>
        <w:tc>
          <w:tcPr>
            <w:tcW w:w="1033" w:type="dxa"/>
          </w:tcPr>
          <w:p>
            <w:pPr>
              <w:pStyle w:val="Compact"/>
              <w:jc w:val="left"/>
              <w:spacing w:before="20" w:after="20" w:line="220" w:lineRule="auto"/>
            </w:pPr>
            <w:r>
              <w:rPr>
                <w:sz w:val="15"/>
                <w:szCs w:val="15"/>
              </w:rPr>
              <w:t xml:space="preserve">12.4%</w:t>
            </w:r>
          </w:p>
        </w:tc>
        <w:tc>
          <w:tcPr>
            <w:tcW w:w="1033" w:type="dxa"/>
          </w:tcPr>
          <w:p>
            <w:pPr>
              <w:pStyle w:val="Compact"/>
              <w:jc w:val="left"/>
              <w:spacing w:before="20" w:after="20" w:line="220" w:lineRule="auto"/>
            </w:pPr>
            <w:r>
              <w:rPr>
                <w:sz w:val="15"/>
                <w:szCs w:val="15"/>
              </w:rPr>
              <w:t xml:space="preserve">yes</w:t>
            </w:r>
          </w:p>
        </w:tc>
      </w:tr>
      <w:tr>
        <w:tc>
          <w:tcPr>
            <w:tcW w:w="4216" w:type="dxa"/>
          </w:tcPr>
          <w:p>
            <w:pPr>
              <w:pStyle w:val="Compact"/>
              <w:jc w:val="left"/>
              <w:spacing w:before="20" w:after="20" w:line="220" w:lineRule="auto"/>
            </w:pPr>
            <w:r>
              <w:rPr>
                <w:sz w:val="15"/>
                <w:szCs w:val="15"/>
              </w:rPr>
              <w:t xml:space="preserve">Standard Insurance Limited (Standard Bank)</w:t>
            </w:r>
          </w:p>
        </w:tc>
        <w:tc>
          <w:tcPr>
            <w:tcW w:w="723" w:type="dxa"/>
          </w:tcPr>
          <w:p>
            <w:pPr>
              <w:pStyle w:val="Compact"/>
              <w:jc w:val="left"/>
              <w:spacing w:before="20" w:after="20" w:line="220" w:lineRule="auto"/>
            </w:pPr>
            <w:r>
              <w:rPr>
                <w:sz w:val="15"/>
                <w:szCs w:val="15"/>
              </w:rPr>
              <w:t xml:space="preserve">LB</w:t>
            </w:r>
          </w:p>
        </w:tc>
        <w:tc>
          <w:tcPr>
            <w:tcW w:w="930" w:type="dxa"/>
          </w:tcPr>
          <w:p>
            <w:pPr>
              <w:pStyle w:val="Compact"/>
              <w:jc w:val="left"/>
              <w:spacing w:before="20" w:after="20" w:line="220" w:lineRule="auto"/>
            </w:pPr>
            <w:r>
              <w:rPr>
                <w:sz w:val="15"/>
                <w:szCs w:val="15"/>
              </w:rPr>
              <w:t xml:space="preserve">nonlife</w:t>
            </w:r>
          </w:p>
        </w:tc>
        <w:tc>
          <w:tcPr>
            <w:tcW w:w="1426" w:type="dxa"/>
          </w:tcPr>
          <w:p>
            <w:pPr>
              <w:pStyle w:val="Compact"/>
              <w:jc w:val="left"/>
              <w:spacing w:before="20" w:after="20" w:line="220" w:lineRule="auto"/>
            </w:pPr>
            <w:r>
              <w:rPr>
                <w:sz w:val="15"/>
                <w:szCs w:val="15"/>
              </w:rPr>
              <w:t xml:space="preserve">bank captive</w:t>
            </w:r>
          </w:p>
        </w:tc>
        <w:tc>
          <w:tcPr>
            <w:tcW w:w="3348" w:type="dxa"/>
          </w:tcPr>
          <w:p>
            <w:pPr>
              <w:pStyle w:val="Compact"/>
              <w:jc w:val="left"/>
              <w:spacing w:before="20" w:after="20" w:line="220" w:lineRule="auto"/>
            </w:pPr>
            <w:r>
              <w:rPr>
                <w:sz w:val="15"/>
                <w:szCs w:val="15"/>
              </w:rPr>
              <w:t xml:space="preserve">IFRS 17</w:t>
            </w:r>
          </w:p>
        </w:tc>
        <w:tc>
          <w:tcPr>
            <w:tcW w:w="1240" w:type="dxa"/>
          </w:tcPr>
          <w:p>
            <w:pPr>
              <w:pStyle w:val="Compact"/>
              <w:jc w:val="left"/>
              <w:spacing w:before="20" w:after="20" w:line="220" w:lineRule="auto"/>
            </w:pPr>
            <w:r>
              <w:rPr>
                <w:sz w:val="15"/>
                <w:szCs w:val="15"/>
              </w:rPr>
              <w:t xml:space="preserve">FY2025 (Dec)</w:t>
            </w:r>
          </w:p>
        </w:tc>
        <w:tc>
          <w:tcPr>
            <w:tcW w:w="620" w:type="dxa"/>
          </w:tcPr>
          <w:p>
            <w:pPr>
              <w:pStyle w:val="Compact"/>
              <w:jc w:val="left"/>
              <w:spacing w:before="20" w:after="20" w:line="220" w:lineRule="auto"/>
            </w:pPr>
            <w:r>
              <w:rPr>
                <w:sz w:val="15"/>
                <w:szCs w:val="15"/>
              </w:rPr>
              <w:t xml:space="preserve">16.8%</w:t>
            </w:r>
          </w:p>
        </w:tc>
        <w:tc>
          <w:tcPr>
            <w:tcW w:w="1033" w:type="dxa"/>
          </w:tcPr>
          <w:p>
            <w:pPr>
              <w:pStyle w:val="Compact"/>
              <w:jc w:val="left"/>
              <w:spacing w:before="20" w:after="20" w:line="220" w:lineRule="auto"/>
            </w:pPr>
            <w:r>
              <w:rPr>
                <w:sz w:val="15"/>
                <w:szCs w:val="15"/>
              </w:rPr>
              <w:t xml:space="preserve">16.8%</w:t>
            </w:r>
          </w:p>
        </w:tc>
        <w:tc>
          <w:tcPr>
            <w:tcW w:w="1033" w:type="dxa"/>
          </w:tcPr>
          <w:p>
            <w:pPr>
              <w:pStyle w:val="Compact"/>
              <w:jc w:val="left"/>
              <w:spacing w:before="20" w:after="20" w:line="220" w:lineRule="auto"/>
            </w:pPr>
            <w:r>
              <w:rPr>
                <w:sz w:val="15"/>
                <w:szCs w:val="15"/>
              </w:rPr>
              <w:t xml:space="preserve">yes</w:t>
            </w:r>
          </w:p>
        </w:tc>
      </w:tr>
      <w:tr>
        <w:tc>
          <w:tcPr>
            <w:tcW w:w="4216" w:type="dxa"/>
          </w:tcPr>
          <w:p>
            <w:pPr>
              <w:pStyle w:val="Compact"/>
              <w:jc w:val="left"/>
              <w:spacing w:before="20" w:after="20" w:line="220" w:lineRule="auto"/>
            </w:pPr>
            <w:r>
              <w:rPr>
                <w:sz w:val="15"/>
                <w:szCs w:val="15"/>
              </w:rPr>
              <w:t xml:space="preserve">BNP Paribas Cardif</w:t>
            </w:r>
          </w:p>
        </w:tc>
        <w:tc>
          <w:tcPr>
            <w:tcW w:w="723" w:type="dxa"/>
          </w:tcPr>
          <w:p>
            <w:pPr>
              <w:pStyle w:val="Compact"/>
              <w:jc w:val="left"/>
              <w:spacing w:before="20" w:after="20" w:line="220" w:lineRule="auto"/>
            </w:pPr>
            <w:r>
              <w:rPr>
                <w:sz w:val="15"/>
                <w:szCs w:val="15"/>
              </w:rPr>
              <w:t xml:space="preserve">EU</w:t>
            </w:r>
          </w:p>
        </w:tc>
        <w:tc>
          <w:tcPr>
            <w:tcW w:w="930" w:type="dxa"/>
          </w:tcPr>
          <w:p>
            <w:pPr>
              <w:pStyle w:val="Compact"/>
              <w:jc w:val="left"/>
              <w:spacing w:before="20" w:after="20" w:line="220" w:lineRule="auto"/>
            </w:pPr>
            <w:r>
              <w:rPr>
                <w:sz w:val="15"/>
                <w:szCs w:val="15"/>
              </w:rPr>
              <w:t xml:space="preserve">composite</w:t>
            </w:r>
          </w:p>
        </w:tc>
        <w:tc>
          <w:tcPr>
            <w:tcW w:w="1426" w:type="dxa"/>
          </w:tcPr>
          <w:p>
            <w:pPr>
              <w:pStyle w:val="Compact"/>
              <w:jc w:val="left"/>
              <w:spacing w:before="20" w:after="20" w:line="220" w:lineRule="auto"/>
            </w:pPr>
            <w:r>
              <w:rPr>
                <w:sz w:val="15"/>
                <w:szCs w:val="15"/>
              </w:rPr>
              <w:t xml:space="preserve">partly captive</w:t>
            </w:r>
          </w:p>
        </w:tc>
        <w:tc>
          <w:tcPr>
            <w:tcW w:w="3348" w:type="dxa"/>
          </w:tcPr>
          <w:p>
            <w:pPr>
              <w:pStyle w:val="Compact"/>
              <w:jc w:val="left"/>
              <w:spacing w:before="20" w:after="20" w:line="220" w:lineRule="auto"/>
            </w:pPr>
            <w:r>
              <w:rPr>
                <w:sz w:val="15"/>
                <w:szCs w:val="15"/>
              </w:rPr>
              <w:t xml:space="preserve">IFRS 17</w:t>
            </w:r>
          </w:p>
        </w:tc>
        <w:tc>
          <w:tcPr>
            <w:tcW w:w="1240" w:type="dxa"/>
          </w:tcPr>
          <w:p>
            <w:pPr>
              <w:pStyle w:val="Compact"/>
              <w:jc w:val="left"/>
              <w:spacing w:before="20" w:after="20" w:line="220" w:lineRule="auto"/>
            </w:pPr>
            <w:r>
              <w:rPr>
                <w:sz w:val="15"/>
                <w:szCs w:val="15"/>
              </w:rPr>
              <w:t xml:space="preserve">FY2025 (Dec)</w:t>
            </w:r>
          </w:p>
        </w:tc>
        <w:tc>
          <w:tcPr>
            <w:tcW w:w="620" w:type="dxa"/>
          </w:tcPr>
          <w:p>
            <w:pPr>
              <w:pStyle w:val="Compact"/>
              <w:jc w:val="left"/>
              <w:spacing w:before="20" w:after="20" w:line="220" w:lineRule="auto"/>
            </w:pPr>
            <w:r>
              <w:rPr>
                <w:sz w:val="15"/>
                <w:szCs w:val="15"/>
              </w:rPr>
              <w:t xml:space="preserve">51.4%</w:t>
            </w:r>
          </w:p>
        </w:tc>
        <w:tc>
          <w:tcPr>
            <w:tcW w:w="1033" w:type="dxa"/>
          </w:tcPr>
          <w:p>
            <w:pPr>
              <w:pStyle w:val="Compact"/>
              <w:jc w:val="left"/>
              <w:spacing w:before="20" w:after="20" w:line="220" w:lineRule="auto"/>
            </w:pPr>
            <w:r>
              <w:rPr>
                <w:sz w:val="15"/>
                <w:szCs w:val="15"/>
              </w:rPr>
              <w:t xml:space="preserve">51.4%</w:t>
            </w:r>
          </w:p>
        </w:tc>
        <w:tc>
          <w:tcPr>
            <w:tcW w:w="1033" w:type="dxa"/>
          </w:tcPr>
          <w:p>
            <w:pPr>
              <w:pStyle w:val="Compact"/>
              <w:jc w:val="left"/>
              <w:spacing w:before="20" w:after="20" w:line="220" w:lineRule="auto"/>
            </w:pPr>
            <w:r>
              <w:rPr>
                <w:sz w:val="15"/>
                <w:szCs w:val="15"/>
              </w:rPr>
              <w:t xml:space="preserve">no</w:t>
            </w:r>
          </w:p>
        </w:tc>
      </w:tr>
      <w:tr>
        <w:tc>
          <w:tcPr>
            <w:tcW w:w="4216" w:type="dxa"/>
          </w:tcPr>
          <w:p>
            <w:pPr>
              <w:pStyle w:val="Compact"/>
              <w:jc w:val="left"/>
              <w:spacing w:before="20" w:after="20" w:line="220" w:lineRule="auto"/>
            </w:pPr>
            <w:r>
              <w:rPr>
                <w:sz w:val="15"/>
                <w:szCs w:val="15"/>
              </w:rPr>
              <w:t xml:space="preserve">Bradesco Seguros (selling expenses / premiums earned)</w:t>
            </w:r>
          </w:p>
        </w:tc>
        <w:tc>
          <w:tcPr>
            <w:tcW w:w="723" w:type="dxa"/>
          </w:tcPr>
          <w:p>
            <w:pPr>
              <w:pStyle w:val="Compact"/>
              <w:jc w:val="left"/>
              <w:spacing w:before="20" w:after="20" w:line="220" w:lineRule="auto"/>
            </w:pPr>
            <w:r>
              <w:rPr>
                <w:sz w:val="15"/>
                <w:szCs w:val="15"/>
              </w:rPr>
              <w:t xml:space="preserve">EM</w:t>
            </w:r>
          </w:p>
        </w:tc>
        <w:tc>
          <w:tcPr>
            <w:tcW w:w="930" w:type="dxa"/>
          </w:tcPr>
          <w:p>
            <w:pPr>
              <w:pStyle w:val="Compact"/>
              <w:jc w:val="left"/>
              <w:spacing w:before="20" w:after="20" w:line="220" w:lineRule="auto"/>
            </w:pPr>
            <w:r>
              <w:rPr>
                <w:sz w:val="15"/>
                <w:szCs w:val="15"/>
              </w:rPr>
              <w:t xml:space="preserve">composite</w:t>
            </w:r>
          </w:p>
        </w:tc>
        <w:tc>
          <w:tcPr>
            <w:tcW w:w="1426" w:type="dxa"/>
          </w:tcPr>
          <w:p>
            <w:pPr>
              <w:pStyle w:val="Compact"/>
              <w:jc w:val="left"/>
              <w:spacing w:before="20" w:after="20" w:line="220" w:lineRule="auto"/>
            </w:pPr>
            <w:r>
              <w:rPr>
                <w:sz w:val="15"/>
                <w:szCs w:val="15"/>
              </w:rPr>
              <w:t xml:space="preserve">bank captive</w:t>
            </w:r>
          </w:p>
        </w:tc>
        <w:tc>
          <w:tcPr>
            <w:tcW w:w="3348" w:type="dxa"/>
          </w:tcPr>
          <w:p>
            <w:pPr>
              <w:pStyle w:val="Compact"/>
              <w:jc w:val="left"/>
              <w:spacing w:before="20" w:after="20" w:line="220" w:lineRule="auto"/>
            </w:pPr>
            <w:r>
              <w:rPr>
                <w:sz w:val="15"/>
                <w:szCs w:val="15"/>
              </w:rPr>
              <w:t xml:space="preserve">Brazilian GAAP managerial</w:t>
            </w:r>
          </w:p>
        </w:tc>
        <w:tc>
          <w:tcPr>
            <w:tcW w:w="1240" w:type="dxa"/>
          </w:tcPr>
          <w:p>
            <w:pPr>
              <w:pStyle w:val="Compact"/>
              <w:jc w:val="left"/>
              <w:spacing w:before="20" w:after="20" w:line="220" w:lineRule="auto"/>
            </w:pPr>
            <w:r>
              <w:rPr>
                <w:sz w:val="15"/>
                <w:szCs w:val="15"/>
              </w:rPr>
              <w:t xml:space="preserve">FY2025 (Dec)</w:t>
            </w:r>
          </w:p>
        </w:tc>
        <w:tc>
          <w:tcPr>
            <w:tcW w:w="620" w:type="dxa"/>
          </w:tcPr>
          <w:p>
            <w:pPr>
              <w:pStyle w:val="Compact"/>
              <w:jc w:val="left"/>
              <w:spacing w:before="20" w:after="20" w:line="220" w:lineRule="auto"/>
            </w:pPr>
            <w:r>
              <w:rPr>
                <w:sz w:val="15"/>
                <w:szCs w:val="15"/>
              </w:rPr>
              <w:t xml:space="preserve">6.7%</w:t>
            </w:r>
          </w:p>
        </w:tc>
        <w:tc>
          <w:tcPr>
            <w:tcW w:w="1033" w:type="dxa"/>
          </w:tcPr>
          <w:p>
            <w:pPr>
              <w:pStyle w:val="Compact"/>
              <w:jc w:val="left"/>
              <w:spacing w:before="20" w:after="20" w:line="220" w:lineRule="auto"/>
            </w:pPr>
            <w:r>
              <w:rPr>
                <w:sz w:val="15"/>
                <w:szCs w:val="15"/>
              </w:rPr>
              <w:t xml:space="preserve">6.7%</w:t>
            </w:r>
          </w:p>
        </w:tc>
        <w:tc>
          <w:tcPr>
            <w:tcW w:w="1033" w:type="dxa"/>
          </w:tcPr>
          <w:p>
            <w:pPr>
              <w:pStyle w:val="Compact"/>
              <w:jc w:val="left"/>
              <w:spacing w:before="20" w:after="20" w:line="220" w:lineRule="auto"/>
            </w:pPr>
            <w:r>
              <w:rPr>
                <w:sz w:val="15"/>
                <w:szCs w:val="15"/>
              </w:rPr>
              <w:t xml:space="preserve">no</w:t>
            </w:r>
          </w:p>
        </w:tc>
      </w:tr>
      <w:tr>
        <w:tc>
          <w:tcPr>
            <w:tcW w:w="4216" w:type="dxa"/>
          </w:tcPr>
          <w:p>
            <w:pPr>
              <w:pStyle w:val="Compact"/>
              <w:jc w:val="left"/>
              <w:spacing w:before="20" w:after="20" w:line="220" w:lineRule="auto"/>
            </w:pPr>
            <w:r>
              <w:rPr>
                <w:sz w:val="15"/>
                <w:szCs w:val="15"/>
              </w:rPr>
              <w:t xml:space="preserve">Brasilseg (BB Seguridade)</w:t>
            </w:r>
          </w:p>
        </w:tc>
        <w:tc>
          <w:tcPr>
            <w:tcW w:w="723" w:type="dxa"/>
          </w:tcPr>
          <w:p>
            <w:pPr>
              <w:pStyle w:val="Compact"/>
              <w:jc w:val="left"/>
              <w:spacing w:before="20" w:after="20" w:line="220" w:lineRule="auto"/>
            </w:pPr>
            <w:r>
              <w:rPr>
                <w:sz w:val="15"/>
                <w:szCs w:val="15"/>
              </w:rPr>
              <w:t xml:space="preserve">EM</w:t>
            </w:r>
          </w:p>
        </w:tc>
        <w:tc>
          <w:tcPr>
            <w:tcW w:w="930" w:type="dxa"/>
          </w:tcPr>
          <w:p>
            <w:pPr>
              <w:pStyle w:val="Compact"/>
              <w:jc w:val="left"/>
              <w:spacing w:before="20" w:after="20" w:line="220" w:lineRule="auto"/>
            </w:pPr>
            <w:r>
              <w:rPr>
                <w:sz w:val="15"/>
                <w:szCs w:val="15"/>
              </w:rPr>
              <w:t xml:space="preserve">composite</w:t>
            </w:r>
          </w:p>
        </w:tc>
        <w:tc>
          <w:tcPr>
            <w:tcW w:w="1426" w:type="dxa"/>
          </w:tcPr>
          <w:p>
            <w:pPr>
              <w:pStyle w:val="Compact"/>
              <w:jc w:val="left"/>
              <w:spacing w:before="20" w:after="20" w:line="220" w:lineRule="auto"/>
            </w:pPr>
            <w:r>
              <w:rPr>
                <w:sz w:val="15"/>
                <w:szCs w:val="15"/>
              </w:rPr>
              <w:t xml:space="preserve">bank captive</w:t>
            </w:r>
          </w:p>
        </w:tc>
        <w:tc>
          <w:tcPr>
            <w:tcW w:w="3348" w:type="dxa"/>
          </w:tcPr>
          <w:p>
            <w:pPr>
              <w:pStyle w:val="Compact"/>
              <w:jc w:val="left"/>
              <w:spacing w:before="20" w:after="20" w:line="220" w:lineRule="auto"/>
            </w:pPr>
            <w:r>
              <w:rPr>
                <w:sz w:val="15"/>
                <w:szCs w:val="15"/>
              </w:rPr>
              <w:t xml:space="preserve">IFRS 17 numerator from SUSEP acquisition costs</w:t>
            </w:r>
          </w:p>
        </w:tc>
        <w:tc>
          <w:tcPr>
            <w:tcW w:w="1240" w:type="dxa"/>
          </w:tcPr>
          <w:p>
            <w:pPr>
              <w:pStyle w:val="Compact"/>
              <w:jc w:val="left"/>
              <w:spacing w:before="20" w:after="20" w:line="220" w:lineRule="auto"/>
            </w:pPr>
            <w:r>
              <w:rPr>
                <w:sz w:val="15"/>
                <w:szCs w:val="15"/>
              </w:rPr>
              <w:t xml:space="preserve">FY2025 (Dec)</w:t>
            </w:r>
          </w:p>
        </w:tc>
        <w:tc>
          <w:tcPr>
            <w:tcW w:w="620" w:type="dxa"/>
          </w:tcPr>
          <w:p>
            <w:pPr>
              <w:pStyle w:val="Compact"/>
              <w:jc w:val="left"/>
              <w:spacing w:before="20" w:after="20" w:line="220" w:lineRule="auto"/>
            </w:pPr>
            <w:r>
              <w:rPr>
                <w:sz w:val="15"/>
                <w:szCs w:val="15"/>
              </w:rPr>
              <w:t xml:space="preserve">28.5%</w:t>
            </w:r>
          </w:p>
        </w:tc>
        <w:tc>
          <w:tcPr>
            <w:tcW w:w="1033" w:type="dxa"/>
          </w:tcPr>
          <w:p>
            <w:pPr>
              <w:pStyle w:val="Compact"/>
              <w:jc w:val="left"/>
              <w:spacing w:before="20" w:after="20" w:line="220" w:lineRule="auto"/>
            </w:pPr>
            <w:r>
              <w:rPr>
                <w:sz w:val="15"/>
                <w:szCs w:val="15"/>
              </w:rPr>
              <w:t xml:space="preserve">28.5%</w:t>
            </w:r>
          </w:p>
        </w:tc>
        <w:tc>
          <w:tcPr>
            <w:tcW w:w="1033" w:type="dxa"/>
          </w:tcPr>
          <w:p>
            <w:pPr>
              <w:pStyle w:val="Compact"/>
              <w:jc w:val="left"/>
              <w:spacing w:before="20" w:after="20" w:line="220" w:lineRule="auto"/>
            </w:pPr>
            <w:r>
              <w:rPr>
                <w:sz w:val="15"/>
                <w:szCs w:val="15"/>
              </w:rPr>
              <w:t xml:space="preserve">no</w:t>
            </w:r>
          </w:p>
        </w:tc>
      </w:tr>
      <w:tr>
        <w:tc>
          <w:tcPr>
            <w:tcW w:w="4216" w:type="dxa"/>
          </w:tcPr>
          <w:p>
            <w:pPr>
              <w:pStyle w:val="Compact"/>
              <w:jc w:val="left"/>
              <w:spacing w:before="20" w:after="20" w:line="220" w:lineRule="auto"/>
            </w:pPr>
            <w:r>
              <w:rPr>
                <w:sz w:val="15"/>
                <w:szCs w:val="15"/>
              </w:rPr>
              <w:t xml:space="preserve">Credit Agricole Assurances</w:t>
            </w:r>
          </w:p>
        </w:tc>
        <w:tc>
          <w:tcPr>
            <w:tcW w:w="723" w:type="dxa"/>
          </w:tcPr>
          <w:p>
            <w:pPr>
              <w:pStyle w:val="Compact"/>
              <w:jc w:val="left"/>
              <w:spacing w:before="20" w:after="20" w:line="220" w:lineRule="auto"/>
            </w:pPr>
            <w:r>
              <w:rPr>
                <w:sz w:val="15"/>
                <w:szCs w:val="15"/>
              </w:rPr>
              <w:t xml:space="preserve">EU</w:t>
            </w:r>
          </w:p>
        </w:tc>
        <w:tc>
          <w:tcPr>
            <w:tcW w:w="930" w:type="dxa"/>
          </w:tcPr>
          <w:p>
            <w:pPr>
              <w:pStyle w:val="Compact"/>
              <w:jc w:val="left"/>
              <w:spacing w:before="20" w:after="20" w:line="220" w:lineRule="auto"/>
            </w:pPr>
            <w:r>
              <w:rPr>
                <w:sz w:val="15"/>
                <w:szCs w:val="15"/>
              </w:rPr>
              <w:t xml:space="preserve">composite</w:t>
            </w:r>
          </w:p>
        </w:tc>
        <w:tc>
          <w:tcPr>
            <w:tcW w:w="1426" w:type="dxa"/>
          </w:tcPr>
          <w:p>
            <w:pPr>
              <w:pStyle w:val="Compact"/>
              <w:jc w:val="left"/>
              <w:spacing w:before="20" w:after="20" w:line="220" w:lineRule="auto"/>
            </w:pPr>
            <w:r>
              <w:rPr>
                <w:sz w:val="15"/>
                <w:szCs w:val="15"/>
              </w:rPr>
              <w:t xml:space="preserve">bank captive</w:t>
            </w:r>
          </w:p>
        </w:tc>
        <w:tc>
          <w:tcPr>
            <w:tcW w:w="3348" w:type="dxa"/>
          </w:tcPr>
          <w:p>
            <w:pPr>
              <w:pStyle w:val="Compact"/>
              <w:jc w:val="left"/>
              <w:spacing w:before="20" w:after="20" w:line="220" w:lineRule="auto"/>
            </w:pPr>
            <w:r>
              <w:rPr>
                <w:sz w:val="15"/>
                <w:szCs w:val="15"/>
              </w:rPr>
              <w:t xml:space="preserve">IFRS 17</w:t>
            </w:r>
          </w:p>
        </w:tc>
        <w:tc>
          <w:tcPr>
            <w:tcW w:w="1240" w:type="dxa"/>
          </w:tcPr>
          <w:p>
            <w:pPr>
              <w:pStyle w:val="Compact"/>
              <w:jc w:val="left"/>
              <w:spacing w:before="20" w:after="20" w:line="220" w:lineRule="auto"/>
            </w:pPr>
            <w:r>
              <w:rPr>
                <w:sz w:val="15"/>
                <w:szCs w:val="15"/>
              </w:rPr>
              <w:t xml:space="preserve">FY2025 (Dec)</w:t>
            </w:r>
          </w:p>
        </w:tc>
        <w:tc>
          <w:tcPr>
            <w:tcW w:w="620" w:type="dxa"/>
          </w:tcPr>
          <w:p>
            <w:pPr>
              <w:pStyle w:val="Compact"/>
              <w:jc w:val="left"/>
              <w:spacing w:before="20" w:after="20" w:line="220" w:lineRule="auto"/>
            </w:pPr>
            <w:r>
              <w:rPr>
                <w:sz w:val="15"/>
                <w:szCs w:val="15"/>
              </w:rPr>
              <w:t xml:space="preserve">27.0%</w:t>
            </w:r>
          </w:p>
        </w:tc>
        <w:tc>
          <w:tcPr>
            <w:tcW w:w="1033" w:type="dxa"/>
          </w:tcPr>
          <w:p>
            <w:pPr>
              <w:pStyle w:val="Compact"/>
              <w:jc w:val="left"/>
              <w:spacing w:before="20" w:after="20" w:line="220" w:lineRule="auto"/>
            </w:pPr>
            <w:r>
              <w:rPr>
                <w:sz w:val="15"/>
                <w:szCs w:val="15"/>
              </w:rPr>
              <w:t xml:space="preserve">27.0%</w:t>
            </w:r>
          </w:p>
        </w:tc>
        <w:tc>
          <w:tcPr>
            <w:tcW w:w="1033" w:type="dxa"/>
          </w:tcPr>
          <w:p>
            <w:pPr>
              <w:pStyle w:val="Compact"/>
              <w:jc w:val="left"/>
              <w:spacing w:before="20" w:after="20" w:line="220" w:lineRule="auto"/>
            </w:pPr>
            <w:r>
              <w:rPr>
                <w:sz w:val="15"/>
                <w:szCs w:val="15"/>
              </w:rPr>
              <w:t xml:space="preserve">no</w:t>
            </w:r>
          </w:p>
        </w:tc>
      </w:tr>
      <w:tr>
        <w:tc>
          <w:tcPr>
            <w:tcW w:w="4216" w:type="dxa"/>
          </w:tcPr>
          <w:p>
            <w:pPr>
              <w:pStyle w:val="Compact"/>
              <w:jc w:val="left"/>
              <w:spacing w:before="20" w:after="20" w:line="220" w:lineRule="auto"/>
            </w:pPr>
            <w:r>
              <w:rPr>
                <w:sz w:val="15"/>
                <w:szCs w:val="15"/>
              </w:rPr>
              <w:t xml:space="preserve">Etiqa (Maybank insurance and takaful segment)</w:t>
            </w:r>
          </w:p>
        </w:tc>
        <w:tc>
          <w:tcPr>
            <w:tcW w:w="723" w:type="dxa"/>
          </w:tcPr>
          <w:p>
            <w:pPr>
              <w:pStyle w:val="Compact"/>
              <w:jc w:val="left"/>
              <w:spacing w:before="20" w:after="20" w:line="220" w:lineRule="auto"/>
            </w:pPr>
            <w:r>
              <w:rPr>
                <w:sz w:val="15"/>
                <w:szCs w:val="15"/>
              </w:rPr>
              <w:t xml:space="preserve">EM</w:t>
            </w:r>
          </w:p>
        </w:tc>
        <w:tc>
          <w:tcPr>
            <w:tcW w:w="930" w:type="dxa"/>
          </w:tcPr>
          <w:p>
            <w:pPr>
              <w:pStyle w:val="Compact"/>
              <w:jc w:val="left"/>
              <w:spacing w:before="20" w:after="20" w:line="220" w:lineRule="auto"/>
            </w:pPr>
            <w:r>
              <w:rPr>
                <w:sz w:val="15"/>
                <w:szCs w:val="15"/>
              </w:rPr>
              <w:t xml:space="preserve">composite</w:t>
            </w:r>
          </w:p>
        </w:tc>
        <w:tc>
          <w:tcPr>
            <w:tcW w:w="1426" w:type="dxa"/>
          </w:tcPr>
          <w:p>
            <w:pPr>
              <w:pStyle w:val="Compact"/>
              <w:jc w:val="left"/>
              <w:spacing w:before="20" w:after="20" w:line="220" w:lineRule="auto"/>
            </w:pPr>
            <w:r>
              <w:rPr>
                <w:sz w:val="15"/>
                <w:szCs w:val="15"/>
              </w:rPr>
              <w:t xml:space="preserve">partly captive</w:t>
            </w:r>
          </w:p>
        </w:tc>
        <w:tc>
          <w:tcPr>
            <w:tcW w:w="3348" w:type="dxa"/>
          </w:tcPr>
          <w:p>
            <w:pPr>
              <w:pStyle w:val="Compact"/>
              <w:jc w:val="left"/>
              <w:spacing w:before="20" w:after="20" w:line="220" w:lineRule="auto"/>
            </w:pPr>
            <w:r>
              <w:rPr>
                <w:sz w:val="15"/>
                <w:szCs w:val="15"/>
              </w:rPr>
              <w:t xml:space="preserve">MFRS 17</w:t>
            </w:r>
          </w:p>
        </w:tc>
        <w:tc>
          <w:tcPr>
            <w:tcW w:w="1240" w:type="dxa"/>
          </w:tcPr>
          <w:p>
            <w:pPr>
              <w:pStyle w:val="Compact"/>
              <w:jc w:val="left"/>
              <w:spacing w:before="20" w:after="20" w:line="220" w:lineRule="auto"/>
            </w:pPr>
            <w:r>
              <w:rPr>
                <w:sz w:val="15"/>
                <w:szCs w:val="15"/>
              </w:rPr>
              <w:t xml:space="preserve">FY2025 (Dec)</w:t>
            </w:r>
          </w:p>
        </w:tc>
        <w:tc>
          <w:tcPr>
            <w:tcW w:w="620" w:type="dxa"/>
          </w:tcPr>
          <w:p>
            <w:pPr>
              <w:pStyle w:val="Compact"/>
              <w:jc w:val="left"/>
              <w:spacing w:before="20" w:after="20" w:line="220" w:lineRule="auto"/>
            </w:pPr>
            <w:r>
              <w:rPr>
                <w:sz w:val="15"/>
                <w:szCs w:val="15"/>
              </w:rPr>
              <w:t xml:space="preserve">11.1%</w:t>
            </w:r>
          </w:p>
        </w:tc>
        <w:tc>
          <w:tcPr>
            <w:tcW w:w="1033" w:type="dxa"/>
          </w:tcPr>
          <w:p>
            <w:pPr>
              <w:pStyle w:val="Compact"/>
              <w:jc w:val="left"/>
              <w:spacing w:before="20" w:after="20" w:line="220" w:lineRule="auto"/>
            </w:pPr>
            <w:r>
              <w:rPr>
                <w:sz w:val="15"/>
                <w:szCs w:val="15"/>
              </w:rPr>
              <w:t xml:space="preserve">11.1%</w:t>
            </w:r>
          </w:p>
        </w:tc>
        <w:tc>
          <w:tcPr>
            <w:tcW w:w="1033" w:type="dxa"/>
          </w:tcPr>
          <w:p>
            <w:pPr>
              <w:pStyle w:val="Compact"/>
              <w:jc w:val="left"/>
              <w:spacing w:before="20" w:after="20" w:line="220" w:lineRule="auto"/>
            </w:pPr>
            <w:r>
              <w:rPr>
                <w:sz w:val="15"/>
                <w:szCs w:val="15"/>
              </w:rPr>
              <w:t xml:space="preserve">yes</w:t>
            </w:r>
          </w:p>
        </w:tc>
      </w:tr>
      <w:tr>
        <w:tc>
          <w:tcPr>
            <w:tcW w:w="4216" w:type="dxa"/>
          </w:tcPr>
          <w:p>
            <w:pPr>
              <w:pStyle w:val="Compact"/>
              <w:jc w:val="left"/>
              <w:spacing w:before="20" w:after="20" w:line="220" w:lineRule="auto"/>
            </w:pPr>
            <w:r>
              <w:rPr>
                <w:sz w:val="15"/>
                <w:szCs w:val="15"/>
              </w:rPr>
              <w:t xml:space="preserve">FirstRand insurance activities (FNB Life, FNB STI)</w:t>
            </w:r>
          </w:p>
        </w:tc>
        <w:tc>
          <w:tcPr>
            <w:tcW w:w="723" w:type="dxa"/>
          </w:tcPr>
          <w:p>
            <w:pPr>
              <w:pStyle w:val="Compact"/>
              <w:jc w:val="left"/>
              <w:spacing w:before="20" w:after="20" w:line="220" w:lineRule="auto"/>
            </w:pPr>
            <w:r>
              <w:rPr>
                <w:sz w:val="15"/>
                <w:szCs w:val="15"/>
              </w:rPr>
              <w:t xml:space="preserve">LB</w:t>
            </w:r>
          </w:p>
        </w:tc>
        <w:tc>
          <w:tcPr>
            <w:tcW w:w="930" w:type="dxa"/>
          </w:tcPr>
          <w:p>
            <w:pPr>
              <w:pStyle w:val="Compact"/>
              <w:jc w:val="left"/>
              <w:spacing w:before="20" w:after="20" w:line="220" w:lineRule="auto"/>
            </w:pPr>
            <w:r>
              <w:rPr>
                <w:sz w:val="15"/>
                <w:szCs w:val="15"/>
              </w:rPr>
              <w:t xml:space="preserve">composite</w:t>
            </w:r>
          </w:p>
        </w:tc>
        <w:tc>
          <w:tcPr>
            <w:tcW w:w="1426" w:type="dxa"/>
          </w:tcPr>
          <w:p>
            <w:pPr>
              <w:pStyle w:val="Compact"/>
              <w:jc w:val="left"/>
              <w:spacing w:before="20" w:after="20" w:line="220" w:lineRule="auto"/>
            </w:pPr>
            <w:r>
              <w:rPr>
                <w:sz w:val="15"/>
                <w:szCs w:val="15"/>
              </w:rPr>
              <w:t xml:space="preserve">bank captive</w:t>
            </w:r>
          </w:p>
        </w:tc>
        <w:tc>
          <w:tcPr>
            <w:tcW w:w="3348" w:type="dxa"/>
          </w:tcPr>
          <w:p>
            <w:pPr>
              <w:pStyle w:val="Compact"/>
              <w:jc w:val="left"/>
              <w:spacing w:before="20" w:after="20" w:line="220" w:lineRule="auto"/>
            </w:pPr>
            <w:r>
              <w:rPr>
                <w:sz w:val="15"/>
                <w:szCs w:val="15"/>
              </w:rPr>
              <w:t xml:space="preserve">IFRS 17</w:t>
            </w:r>
          </w:p>
        </w:tc>
        <w:tc>
          <w:tcPr>
            <w:tcW w:w="1240" w:type="dxa"/>
          </w:tcPr>
          <w:p>
            <w:pPr>
              <w:pStyle w:val="Compact"/>
              <w:jc w:val="left"/>
              <w:spacing w:before="20" w:after="20" w:line="220" w:lineRule="auto"/>
            </w:pPr>
            <w:r>
              <w:rPr>
                <w:sz w:val="15"/>
                <w:szCs w:val="15"/>
              </w:rPr>
              <w:t xml:space="preserve">FY2025 (Jun)</w:t>
            </w:r>
          </w:p>
        </w:tc>
        <w:tc>
          <w:tcPr>
            <w:tcW w:w="620" w:type="dxa"/>
          </w:tcPr>
          <w:p>
            <w:pPr>
              <w:pStyle w:val="Compact"/>
              <w:jc w:val="left"/>
              <w:spacing w:before="20" w:after="20" w:line="220" w:lineRule="auto"/>
            </w:pPr>
            <w:r>
              <w:rPr>
                <w:sz w:val="15"/>
                <w:szCs w:val="15"/>
              </w:rPr>
              <w:t xml:space="preserve">5.3%</w:t>
            </w:r>
          </w:p>
        </w:tc>
        <w:tc>
          <w:tcPr>
            <w:tcW w:w="1033" w:type="dxa"/>
          </w:tcPr>
          <w:p>
            <w:pPr>
              <w:pStyle w:val="Compact"/>
              <w:jc w:val="left"/>
              <w:spacing w:before="20" w:after="20" w:line="220" w:lineRule="auto"/>
            </w:pPr>
            <w:r>
              <w:rPr>
                <w:sz w:val="15"/>
                <w:szCs w:val="15"/>
              </w:rPr>
              <w:t xml:space="preserve">5.3%</w:t>
            </w:r>
          </w:p>
        </w:tc>
        <w:tc>
          <w:tcPr>
            <w:tcW w:w="1033" w:type="dxa"/>
          </w:tcPr>
          <w:p>
            <w:pPr>
              <w:pStyle w:val="Compact"/>
              <w:jc w:val="left"/>
              <w:spacing w:before="20" w:after="20" w:line="220" w:lineRule="auto"/>
            </w:pPr>
            <w:r>
              <w:rPr>
                <w:sz w:val="15"/>
                <w:szCs w:val="15"/>
              </w:rPr>
              <w:t xml:space="preserve">yes</w:t>
            </w:r>
          </w:p>
        </w:tc>
      </w:tr>
      <w:tr>
        <w:tc>
          <w:tcPr>
            <w:tcW w:w="4216" w:type="dxa"/>
          </w:tcPr>
          <w:p>
            <w:pPr>
              <w:pStyle w:val="Compact"/>
              <w:jc w:val="left"/>
              <w:spacing w:before="20" w:after="20" w:line="220" w:lineRule="auto"/>
            </w:pPr>
            <w:r>
              <w:rPr>
                <w:sz w:val="15"/>
                <w:szCs w:val="15"/>
              </w:rPr>
              <w:t xml:space="preserve">Momentum Group</w:t>
            </w:r>
          </w:p>
        </w:tc>
        <w:tc>
          <w:tcPr>
            <w:tcW w:w="723" w:type="dxa"/>
          </w:tcPr>
          <w:p>
            <w:pPr>
              <w:pStyle w:val="Compact"/>
              <w:jc w:val="left"/>
              <w:spacing w:before="20" w:after="20" w:line="220" w:lineRule="auto"/>
            </w:pPr>
            <w:r>
              <w:rPr>
                <w:sz w:val="15"/>
                <w:szCs w:val="15"/>
              </w:rPr>
              <w:t xml:space="preserve">LN</w:t>
            </w:r>
          </w:p>
        </w:tc>
        <w:tc>
          <w:tcPr>
            <w:tcW w:w="930" w:type="dxa"/>
          </w:tcPr>
          <w:p>
            <w:pPr>
              <w:pStyle w:val="Compact"/>
              <w:jc w:val="left"/>
              <w:spacing w:before="20" w:after="20" w:line="220" w:lineRule="auto"/>
            </w:pPr>
            <w:r>
              <w:rPr>
                <w:sz w:val="15"/>
                <w:szCs w:val="15"/>
              </w:rPr>
              <w:t xml:space="preserve">composite</w:t>
            </w:r>
          </w:p>
        </w:tc>
        <w:tc>
          <w:tcPr>
            <w:tcW w:w="1426" w:type="dxa"/>
          </w:tcPr>
          <w:p>
            <w:pPr>
              <w:pStyle w:val="Compact"/>
              <w:jc w:val="left"/>
              <w:spacing w:before="20" w:after="20" w:line="220" w:lineRule="auto"/>
            </w:pPr>
            <w:r>
              <w:rPr>
                <w:sz w:val="15"/>
                <w:szCs w:val="15"/>
              </w:rPr>
              <w:t xml:space="preserve">open</w:t>
            </w:r>
          </w:p>
        </w:tc>
        <w:tc>
          <w:tcPr>
            <w:tcW w:w="3348" w:type="dxa"/>
          </w:tcPr>
          <w:p>
            <w:pPr>
              <w:pStyle w:val="Compact"/>
              <w:jc w:val="left"/>
              <w:spacing w:before="20" w:after="20" w:line="220" w:lineRule="auto"/>
            </w:pPr>
            <w:r>
              <w:rPr>
                <w:sz w:val="15"/>
                <w:szCs w:val="15"/>
              </w:rPr>
              <w:t xml:space="preserve">IFRS 17</w:t>
            </w:r>
          </w:p>
        </w:tc>
        <w:tc>
          <w:tcPr>
            <w:tcW w:w="1240" w:type="dxa"/>
          </w:tcPr>
          <w:p>
            <w:pPr>
              <w:pStyle w:val="Compact"/>
              <w:jc w:val="left"/>
              <w:spacing w:before="20" w:after="20" w:line="220" w:lineRule="auto"/>
            </w:pPr>
            <w:r>
              <w:rPr>
                <w:sz w:val="15"/>
                <w:szCs w:val="15"/>
              </w:rPr>
              <w:t xml:space="preserve">FY2026 (Jun)</w:t>
            </w:r>
          </w:p>
        </w:tc>
        <w:tc>
          <w:tcPr>
            <w:tcW w:w="620" w:type="dxa"/>
          </w:tcPr>
          <w:p>
            <w:pPr>
              <w:pStyle w:val="Compact"/>
              <w:jc w:val="left"/>
              <w:spacing w:before="20" w:after="20" w:line="220" w:lineRule="auto"/>
            </w:pPr>
            <w:r>
              <w:rPr>
                <w:sz w:val="15"/>
                <w:szCs w:val="15"/>
              </w:rPr>
              <w:t xml:space="preserve">10.1%</w:t>
            </w:r>
          </w:p>
        </w:tc>
        <w:tc>
          <w:tcPr>
            <w:tcW w:w="1033" w:type="dxa"/>
          </w:tcPr>
          <w:p>
            <w:pPr>
              <w:pStyle w:val="Compact"/>
              <w:jc w:val="left"/>
              <w:spacing w:before="20" w:after="20" w:line="220" w:lineRule="auto"/>
            </w:pPr>
            <w:r>
              <w:rPr>
                <w:sz w:val="15"/>
                <w:szCs w:val="15"/>
              </w:rPr>
              <w:t xml:space="preserve">10.1%</w:t>
            </w:r>
          </w:p>
        </w:tc>
        <w:tc>
          <w:tcPr>
            <w:tcW w:w="1033" w:type="dxa"/>
          </w:tcPr>
          <w:p>
            <w:pPr>
              <w:pStyle w:val="Compact"/>
              <w:jc w:val="left"/>
              <w:spacing w:before="20" w:after="20" w:line="220" w:lineRule="auto"/>
            </w:pPr>
            <w:r>
              <w:rPr>
                <w:sz w:val="15"/>
                <w:szCs w:val="15"/>
              </w:rPr>
              <w:t xml:space="preserve">yes</w:t>
            </w:r>
          </w:p>
        </w:tc>
      </w:tr>
      <w:tr>
        <w:tc>
          <w:tcPr>
            <w:tcW w:w="4216" w:type="dxa"/>
          </w:tcPr>
          <w:p>
            <w:pPr>
              <w:pStyle w:val="Compact"/>
              <w:jc w:val="left"/>
              <w:spacing w:before="20" w:after="20" w:line="220" w:lineRule="auto"/>
            </w:pPr>
            <w:r>
              <w:rPr>
                <w:sz w:val="15"/>
                <w:szCs w:val="15"/>
              </w:rPr>
              <w:t xml:space="preserve">Nedbank Insurance</w:t>
            </w:r>
          </w:p>
        </w:tc>
        <w:tc>
          <w:tcPr>
            <w:tcW w:w="723" w:type="dxa"/>
          </w:tcPr>
          <w:p>
            <w:pPr>
              <w:pStyle w:val="Compact"/>
              <w:jc w:val="left"/>
              <w:spacing w:before="20" w:after="20" w:line="220" w:lineRule="auto"/>
            </w:pPr>
            <w:r>
              <w:rPr>
                <w:sz w:val="15"/>
                <w:szCs w:val="15"/>
              </w:rPr>
              <w:t xml:space="preserve">LB</w:t>
            </w:r>
          </w:p>
        </w:tc>
        <w:tc>
          <w:tcPr>
            <w:tcW w:w="930" w:type="dxa"/>
          </w:tcPr>
          <w:p>
            <w:pPr>
              <w:pStyle w:val="Compact"/>
              <w:jc w:val="left"/>
              <w:spacing w:before="20" w:after="20" w:line="220" w:lineRule="auto"/>
            </w:pPr>
            <w:r>
              <w:rPr>
                <w:sz w:val="15"/>
                <w:szCs w:val="15"/>
              </w:rPr>
              <w:t xml:space="preserve">composite</w:t>
            </w:r>
          </w:p>
        </w:tc>
        <w:tc>
          <w:tcPr>
            <w:tcW w:w="1426" w:type="dxa"/>
          </w:tcPr>
          <w:p>
            <w:pPr>
              <w:pStyle w:val="Compact"/>
              <w:jc w:val="left"/>
              <w:spacing w:before="20" w:after="20" w:line="220" w:lineRule="auto"/>
            </w:pPr>
            <w:r>
              <w:rPr>
                <w:sz w:val="15"/>
                <w:szCs w:val="15"/>
              </w:rPr>
              <w:t xml:space="preserve">bank captive</w:t>
            </w:r>
          </w:p>
        </w:tc>
        <w:tc>
          <w:tcPr>
            <w:tcW w:w="3348" w:type="dxa"/>
          </w:tcPr>
          <w:p>
            <w:pPr>
              <w:pStyle w:val="Compact"/>
              <w:jc w:val="left"/>
              <w:spacing w:before="20" w:after="20" w:line="220" w:lineRule="auto"/>
            </w:pPr>
            <w:r>
              <w:rPr>
                <w:sz w:val="15"/>
                <w:szCs w:val="15"/>
              </w:rPr>
              <w:t xml:space="preserve">IFRS 17</w:t>
            </w:r>
          </w:p>
        </w:tc>
        <w:tc>
          <w:tcPr>
            <w:tcW w:w="1240" w:type="dxa"/>
          </w:tcPr>
          <w:p>
            <w:pPr>
              <w:pStyle w:val="Compact"/>
              <w:jc w:val="left"/>
              <w:spacing w:before="20" w:after="20" w:line="220" w:lineRule="auto"/>
            </w:pPr>
            <w:r>
              <w:rPr>
                <w:sz w:val="15"/>
                <w:szCs w:val="15"/>
              </w:rPr>
              <w:t xml:space="preserve">FY2025 (Dec)</w:t>
            </w:r>
          </w:p>
        </w:tc>
        <w:tc>
          <w:tcPr>
            <w:tcW w:w="620" w:type="dxa"/>
          </w:tcPr>
          <w:p>
            <w:pPr>
              <w:pStyle w:val="Compact"/>
              <w:jc w:val="left"/>
              <w:spacing w:before="20" w:after="20" w:line="220" w:lineRule="auto"/>
            </w:pPr>
            <w:r>
              <w:rPr>
                <w:sz w:val="15"/>
                <w:szCs w:val="15"/>
              </w:rPr>
              <w:t xml:space="preserve">15.7%</w:t>
            </w:r>
          </w:p>
        </w:tc>
        <w:tc>
          <w:tcPr>
            <w:tcW w:w="1033" w:type="dxa"/>
          </w:tcPr>
          <w:p>
            <w:pPr>
              <w:pStyle w:val="Compact"/>
              <w:jc w:val="left"/>
              <w:spacing w:before="20" w:after="20" w:line="220" w:lineRule="auto"/>
            </w:pPr>
            <w:r>
              <w:rPr>
                <w:sz w:val="15"/>
                <w:szCs w:val="15"/>
              </w:rPr>
              <w:t xml:space="preserve">15.7%</w:t>
            </w:r>
          </w:p>
        </w:tc>
        <w:tc>
          <w:tcPr>
            <w:tcW w:w="1033" w:type="dxa"/>
          </w:tcPr>
          <w:p>
            <w:pPr>
              <w:pStyle w:val="Compact"/>
              <w:jc w:val="left"/>
              <w:spacing w:before="20" w:after="20" w:line="220" w:lineRule="auto"/>
            </w:pPr>
            <w:r>
              <w:rPr>
                <w:sz w:val="15"/>
                <w:szCs w:val="15"/>
              </w:rPr>
              <w:t xml:space="preserve">yes</w:t>
            </w:r>
          </w:p>
        </w:tc>
      </w:tr>
      <w:tr>
        <w:tc>
          <w:tcPr>
            <w:tcW w:w="4216" w:type="dxa"/>
          </w:tcPr>
          <w:p>
            <w:pPr>
              <w:pStyle w:val="Compact"/>
              <w:jc w:val="left"/>
              <w:spacing w:before="20" w:after="20" w:line="220" w:lineRule="auto"/>
            </w:pPr>
            <w:r>
              <w:rPr>
                <w:sz w:val="15"/>
                <w:szCs w:val="15"/>
              </w:rPr>
              <w:t xml:space="preserve">Old Mutual Group</w:t>
            </w:r>
          </w:p>
        </w:tc>
        <w:tc>
          <w:tcPr>
            <w:tcW w:w="723" w:type="dxa"/>
          </w:tcPr>
          <w:p>
            <w:pPr>
              <w:pStyle w:val="Compact"/>
              <w:jc w:val="left"/>
              <w:spacing w:before="20" w:after="20" w:line="220" w:lineRule="auto"/>
            </w:pPr>
            <w:r>
              <w:rPr>
                <w:sz w:val="15"/>
                <w:szCs w:val="15"/>
              </w:rPr>
              <w:t xml:space="preserve">LN</w:t>
            </w:r>
          </w:p>
        </w:tc>
        <w:tc>
          <w:tcPr>
            <w:tcW w:w="930" w:type="dxa"/>
          </w:tcPr>
          <w:p>
            <w:pPr>
              <w:pStyle w:val="Compact"/>
              <w:jc w:val="left"/>
              <w:spacing w:before="20" w:after="20" w:line="220" w:lineRule="auto"/>
            </w:pPr>
            <w:r>
              <w:rPr>
                <w:sz w:val="15"/>
                <w:szCs w:val="15"/>
              </w:rPr>
              <w:t xml:space="preserve">composite</w:t>
            </w:r>
          </w:p>
        </w:tc>
        <w:tc>
          <w:tcPr>
            <w:tcW w:w="1426" w:type="dxa"/>
          </w:tcPr>
          <w:p>
            <w:pPr>
              <w:pStyle w:val="Compact"/>
              <w:jc w:val="left"/>
              <w:spacing w:before="20" w:after="20" w:line="220" w:lineRule="auto"/>
            </w:pPr>
            <w:r>
              <w:rPr>
                <w:sz w:val="15"/>
                <w:szCs w:val="15"/>
              </w:rPr>
              <w:t xml:space="preserve">open</w:t>
            </w:r>
          </w:p>
        </w:tc>
        <w:tc>
          <w:tcPr>
            <w:tcW w:w="3348" w:type="dxa"/>
          </w:tcPr>
          <w:p>
            <w:pPr>
              <w:pStyle w:val="Compact"/>
              <w:jc w:val="left"/>
              <w:spacing w:before="20" w:after="20" w:line="220" w:lineRule="auto"/>
            </w:pPr>
            <w:r>
              <w:rPr>
                <w:sz w:val="15"/>
                <w:szCs w:val="15"/>
              </w:rPr>
              <w:t xml:space="preserve">IFRS 17</w:t>
            </w:r>
          </w:p>
        </w:tc>
        <w:tc>
          <w:tcPr>
            <w:tcW w:w="1240" w:type="dxa"/>
          </w:tcPr>
          <w:p>
            <w:pPr>
              <w:pStyle w:val="Compact"/>
              <w:jc w:val="left"/>
              <w:spacing w:before="20" w:after="20" w:line="220" w:lineRule="auto"/>
            </w:pPr>
            <w:r>
              <w:rPr>
                <w:sz w:val="15"/>
                <w:szCs w:val="15"/>
              </w:rPr>
              <w:t xml:space="preserve">FY2025 (Dec)</w:t>
            </w:r>
          </w:p>
        </w:tc>
        <w:tc>
          <w:tcPr>
            <w:tcW w:w="620" w:type="dxa"/>
          </w:tcPr>
          <w:p>
            <w:pPr>
              <w:pStyle w:val="Compact"/>
              <w:jc w:val="left"/>
              <w:spacing w:before="20" w:after="20" w:line="220" w:lineRule="auto"/>
            </w:pPr>
            <w:r>
              <w:rPr>
                <w:sz w:val="15"/>
                <w:szCs w:val="15"/>
              </w:rPr>
              <w:t xml:space="preserve">14.9%</w:t>
            </w:r>
          </w:p>
        </w:tc>
        <w:tc>
          <w:tcPr>
            <w:tcW w:w="1033" w:type="dxa"/>
          </w:tcPr>
          <w:p>
            <w:pPr>
              <w:pStyle w:val="Compact"/>
              <w:jc w:val="left"/>
              <w:spacing w:before="20" w:after="20" w:line="220" w:lineRule="auto"/>
            </w:pPr>
            <w:r>
              <w:rPr>
                <w:sz w:val="15"/>
                <w:szCs w:val="15"/>
              </w:rPr>
              <w:t xml:space="preserve">14.9%</w:t>
            </w:r>
          </w:p>
        </w:tc>
        <w:tc>
          <w:tcPr>
            <w:tcW w:w="1033" w:type="dxa"/>
          </w:tcPr>
          <w:p>
            <w:pPr>
              <w:pStyle w:val="Compact"/>
              <w:jc w:val="left"/>
              <w:spacing w:before="20" w:after="20" w:line="220" w:lineRule="auto"/>
            </w:pPr>
            <w:r>
              <w:rPr>
                <w:sz w:val="15"/>
                <w:szCs w:val="15"/>
              </w:rPr>
              <w:t xml:space="preserve">yes</w:t>
            </w:r>
          </w:p>
        </w:tc>
      </w:tr>
      <w:tr>
        <w:tc>
          <w:tcPr>
            <w:tcW w:w="4216" w:type="dxa"/>
          </w:tcPr>
          <w:p>
            <w:pPr>
              <w:pStyle w:val="Compact"/>
              <w:jc w:val="left"/>
              <w:spacing w:before="20" w:after="20" w:line="220" w:lineRule="auto"/>
            </w:pPr>
            <w:r>
              <w:rPr>
                <w:sz w:val="15"/>
                <w:szCs w:val="15"/>
              </w:rPr>
              <w:t xml:space="preserve">Sanlam Group</w:t>
            </w:r>
          </w:p>
        </w:tc>
        <w:tc>
          <w:tcPr>
            <w:tcW w:w="723" w:type="dxa"/>
          </w:tcPr>
          <w:p>
            <w:pPr>
              <w:pStyle w:val="Compact"/>
              <w:jc w:val="left"/>
              <w:spacing w:before="20" w:after="20" w:line="220" w:lineRule="auto"/>
            </w:pPr>
            <w:r>
              <w:rPr>
                <w:sz w:val="15"/>
                <w:szCs w:val="15"/>
              </w:rPr>
              <w:t xml:space="preserve">LN</w:t>
            </w:r>
          </w:p>
        </w:tc>
        <w:tc>
          <w:tcPr>
            <w:tcW w:w="930" w:type="dxa"/>
          </w:tcPr>
          <w:p>
            <w:pPr>
              <w:pStyle w:val="Compact"/>
              <w:jc w:val="left"/>
              <w:spacing w:before="20" w:after="20" w:line="220" w:lineRule="auto"/>
            </w:pPr>
            <w:r>
              <w:rPr>
                <w:sz w:val="15"/>
                <w:szCs w:val="15"/>
              </w:rPr>
              <w:t xml:space="preserve">composite</w:t>
            </w:r>
          </w:p>
        </w:tc>
        <w:tc>
          <w:tcPr>
            <w:tcW w:w="1426" w:type="dxa"/>
          </w:tcPr>
          <w:p>
            <w:pPr>
              <w:pStyle w:val="Compact"/>
              <w:jc w:val="left"/>
              <w:spacing w:before="20" w:after="20" w:line="220" w:lineRule="auto"/>
            </w:pPr>
            <w:r>
              <w:rPr>
                <w:sz w:val="15"/>
                <w:szCs w:val="15"/>
              </w:rPr>
              <w:t xml:space="preserve">open</w:t>
            </w:r>
          </w:p>
        </w:tc>
        <w:tc>
          <w:tcPr>
            <w:tcW w:w="3348" w:type="dxa"/>
          </w:tcPr>
          <w:p>
            <w:pPr>
              <w:pStyle w:val="Compact"/>
              <w:jc w:val="left"/>
              <w:spacing w:before="20" w:after="20" w:line="220" w:lineRule="auto"/>
            </w:pPr>
            <w:r>
              <w:rPr>
                <w:sz w:val="15"/>
                <w:szCs w:val="15"/>
              </w:rPr>
              <w:t xml:space="preserve">IFRS 17</w:t>
            </w:r>
          </w:p>
        </w:tc>
        <w:tc>
          <w:tcPr>
            <w:tcW w:w="1240" w:type="dxa"/>
          </w:tcPr>
          <w:p>
            <w:pPr>
              <w:pStyle w:val="Compact"/>
              <w:jc w:val="left"/>
              <w:spacing w:before="20" w:after="20" w:line="220" w:lineRule="auto"/>
            </w:pPr>
            <w:r>
              <w:rPr>
                <w:sz w:val="15"/>
                <w:szCs w:val="15"/>
              </w:rPr>
              <w:t xml:space="preserve">FY2025 (Dec)</w:t>
            </w:r>
          </w:p>
        </w:tc>
        <w:tc>
          <w:tcPr>
            <w:tcW w:w="620" w:type="dxa"/>
          </w:tcPr>
          <w:p>
            <w:pPr>
              <w:pStyle w:val="Compact"/>
              <w:jc w:val="left"/>
              <w:spacing w:before="20" w:after="20" w:line="220" w:lineRule="auto"/>
            </w:pPr>
            <w:r>
              <w:rPr>
                <w:sz w:val="15"/>
                <w:szCs w:val="15"/>
              </w:rPr>
              <w:t xml:space="preserve">4.3%</w:t>
            </w:r>
          </w:p>
        </w:tc>
        <w:tc>
          <w:tcPr>
            <w:tcW w:w="1033" w:type="dxa"/>
          </w:tcPr>
          <w:p>
            <w:pPr>
              <w:pStyle w:val="Compact"/>
              <w:jc w:val="left"/>
              <w:spacing w:before="20" w:after="20" w:line="220" w:lineRule="auto"/>
            </w:pPr>
            <w:r>
              <w:rPr>
                <w:sz w:val="15"/>
                <w:szCs w:val="15"/>
              </w:rPr>
              <w:t xml:space="preserve">4.3%</w:t>
            </w:r>
          </w:p>
        </w:tc>
        <w:tc>
          <w:tcPr>
            <w:tcW w:w="1033" w:type="dxa"/>
          </w:tcPr>
          <w:p>
            <w:pPr>
              <w:pStyle w:val="Compact"/>
              <w:jc w:val="left"/>
              <w:spacing w:before="20" w:after="20" w:line="220" w:lineRule="auto"/>
            </w:pPr>
            <w:r>
              <w:rPr>
                <w:sz w:val="15"/>
                <w:szCs w:val="15"/>
              </w:rPr>
              <w:t xml:space="preserve">yes</w:t>
            </w:r>
          </w:p>
        </w:tc>
      </w:tr>
      <w:tr>
        <w:tc>
          <w:tcPr>
            <w:tcW w:w="4216" w:type="dxa"/>
          </w:tcPr>
          <w:p>
            <w:pPr>
              <w:pStyle w:val="Compact"/>
              <w:jc w:val="left"/>
              <w:spacing w:before="20" w:after="20" w:line="220" w:lineRule="auto"/>
            </w:pPr>
            <w:r>
              <w:rPr>
                <w:sz w:val="15"/>
                <w:szCs w:val="15"/>
              </w:rPr>
              <w:t xml:space="preserve">Standard Bank Group consolidated (includes Liberty)</w:t>
            </w:r>
          </w:p>
        </w:tc>
        <w:tc>
          <w:tcPr>
            <w:tcW w:w="723" w:type="dxa"/>
          </w:tcPr>
          <w:p>
            <w:pPr>
              <w:pStyle w:val="Compact"/>
              <w:jc w:val="left"/>
              <w:spacing w:before="20" w:after="20" w:line="220" w:lineRule="auto"/>
            </w:pPr>
            <w:r>
              <w:rPr>
                <w:sz w:val="15"/>
                <w:szCs w:val="15"/>
              </w:rPr>
              <w:t xml:space="preserve">LB</w:t>
            </w:r>
          </w:p>
        </w:tc>
        <w:tc>
          <w:tcPr>
            <w:tcW w:w="930" w:type="dxa"/>
          </w:tcPr>
          <w:p>
            <w:pPr>
              <w:pStyle w:val="Compact"/>
              <w:jc w:val="left"/>
              <w:spacing w:before="20" w:after="20" w:line="220" w:lineRule="auto"/>
            </w:pPr>
            <w:r>
              <w:rPr>
                <w:sz w:val="15"/>
                <w:szCs w:val="15"/>
              </w:rPr>
              <w:t xml:space="preserve">composite</w:t>
            </w:r>
          </w:p>
        </w:tc>
        <w:tc>
          <w:tcPr>
            <w:tcW w:w="1426" w:type="dxa"/>
          </w:tcPr>
          <w:p>
            <w:pPr>
              <w:pStyle w:val="Compact"/>
              <w:jc w:val="left"/>
              <w:spacing w:before="20" w:after="20" w:line="220" w:lineRule="auto"/>
            </w:pPr>
            <w:r>
              <w:rPr>
                <w:sz w:val="15"/>
                <w:szCs w:val="15"/>
              </w:rPr>
              <w:t xml:space="preserve">mixed</w:t>
            </w:r>
          </w:p>
        </w:tc>
        <w:tc>
          <w:tcPr>
            <w:tcW w:w="3348" w:type="dxa"/>
          </w:tcPr>
          <w:p>
            <w:pPr>
              <w:pStyle w:val="Compact"/>
              <w:jc w:val="left"/>
              <w:spacing w:before="20" w:after="20" w:line="220" w:lineRule="auto"/>
            </w:pPr>
            <w:r>
              <w:rPr>
                <w:sz w:val="15"/>
                <w:szCs w:val="15"/>
              </w:rPr>
              <w:t xml:space="preserve">IFRS 17</w:t>
            </w:r>
          </w:p>
        </w:tc>
        <w:tc>
          <w:tcPr>
            <w:tcW w:w="1240" w:type="dxa"/>
          </w:tcPr>
          <w:p>
            <w:pPr>
              <w:pStyle w:val="Compact"/>
              <w:jc w:val="left"/>
              <w:spacing w:before="20" w:after="20" w:line="220" w:lineRule="auto"/>
            </w:pPr>
            <w:r>
              <w:rPr>
                <w:sz w:val="15"/>
                <w:szCs w:val="15"/>
              </w:rPr>
              <w:t xml:space="preserve">FY2025 (Dec)</w:t>
            </w:r>
          </w:p>
        </w:tc>
        <w:tc>
          <w:tcPr>
            <w:tcW w:w="620" w:type="dxa"/>
          </w:tcPr>
          <w:p>
            <w:pPr>
              <w:pStyle w:val="Compact"/>
              <w:jc w:val="left"/>
              <w:spacing w:before="20" w:after="20" w:line="220" w:lineRule="auto"/>
            </w:pPr>
            <w:r>
              <w:rPr>
                <w:sz w:val="15"/>
                <w:szCs w:val="15"/>
              </w:rPr>
              <w:t xml:space="preserve">8.4%</w:t>
            </w:r>
          </w:p>
        </w:tc>
        <w:tc>
          <w:tcPr>
            <w:tcW w:w="1033" w:type="dxa"/>
          </w:tcPr>
          <w:p>
            <w:pPr>
              <w:pStyle w:val="Compact"/>
              <w:jc w:val="left"/>
              <w:spacing w:before="20" w:after="20" w:line="220" w:lineRule="auto"/>
            </w:pPr>
            <w:r>
              <w:rPr>
                <w:sz w:val="15"/>
                <w:szCs w:val="15"/>
              </w:rPr>
              <w:t xml:space="preserve">8.4%</w:t>
            </w:r>
          </w:p>
        </w:tc>
        <w:tc>
          <w:tcPr>
            <w:tcW w:w="1033" w:type="dxa"/>
          </w:tcPr>
          <w:p>
            <w:pPr>
              <w:pStyle w:val="Compact"/>
              <w:jc w:val="left"/>
              <w:spacing w:before="20" w:after="20" w:line="220" w:lineRule="auto"/>
            </w:pPr>
            <w:r>
              <w:rPr>
                <w:sz w:val="15"/>
                <w:szCs w:val="15"/>
              </w:rPr>
              <w:t xml:space="preserve">no</w:t>
            </w:r>
          </w:p>
        </w:tc>
      </w:tr>
    </w:tbl>
    <w:bookmarkEnd w:id="25"/>
    <w:bookmarkStart w:id="26" w:name="X9834b9c7e7672c2268cd18afd1b0fd64891304b"/>
    <w:p>
      <w:pPr>
        <w:pStyle w:val="Heading4"/>
      </w:pPr>
      <w:r>
        <w:t xml:space="preserve">M4: Acquisition cost / gross written premium</w:t>
      </w:r>
    </w:p>
    <w:tbl>
      <w:tblPr>
        <w:tblStyle w:val="Table"/>
        <w:tblLook w:firstRow="1" w:lastRow="0" w:firstColumn="0" w:lastColumn="0" w:noHBand="0" w:noVBand="0" w:val="0020"/>
        <w:jc w:val="start"/>
        <w:tblW w:w="14567" w:type="dxa"/>
        <w:tblLayout w:type="fixed"/>
      </w:tblPr>
      <w:tblGrid>
        <w:gridCol w:w="4145"/>
        <w:gridCol w:w="711"/>
        <w:gridCol w:w="914"/>
        <w:gridCol w:w="1341"/>
        <w:gridCol w:w="3596"/>
        <w:gridCol w:w="1219"/>
        <w:gridCol w:w="609"/>
        <w:gridCol w:w="1016"/>
        <w:gridCol w:w="1016"/>
      </w:tblGrid>
      <w:tr>
        <w:trPr>
          <w:tblHeader w:val="true"/>
        </w:trPr>
        <w:tc>
          <w:tcPr>
            <w:tcW w:w="4145" w:type="dxa"/>
          </w:tcPr>
          <w:p>
            <w:pPr>
              <w:pStyle w:val="Compact"/>
              <w:jc w:val="left"/>
              <w:spacing w:before="20" w:after="20" w:line="220" w:lineRule="auto"/>
            </w:pPr>
            <w:r>
              <w:rPr>
                <w:sz w:val="15"/>
                <w:szCs w:val="15"/>
              </w:rPr>
              <w:t xml:space="preserve">Entity</w:t>
            </w:r>
          </w:p>
        </w:tc>
        <w:tc>
          <w:tcPr>
            <w:tcW w:w="711" w:type="dxa"/>
          </w:tcPr>
          <w:p>
            <w:pPr>
              <w:pStyle w:val="Compact"/>
              <w:jc w:val="left"/>
              <w:spacing w:before="20" w:after="20" w:line="220" w:lineRule="auto"/>
            </w:pPr>
            <w:r>
              <w:rPr>
                <w:sz w:val="15"/>
                <w:szCs w:val="15"/>
              </w:rPr>
              <w:t xml:space="preserve">Cluster</w:t>
            </w:r>
          </w:p>
        </w:tc>
        <w:tc>
          <w:tcPr>
            <w:tcW w:w="914" w:type="dxa"/>
          </w:tcPr>
          <w:p>
            <w:pPr>
              <w:pStyle w:val="Compact"/>
              <w:jc w:val="left"/>
              <w:spacing w:before="20" w:after="20" w:line="220" w:lineRule="auto"/>
            </w:pPr>
            <w:r>
              <w:rPr>
                <w:sz w:val="15"/>
                <w:szCs w:val="15"/>
              </w:rPr>
              <w:t xml:space="preserve">Mix</w:t>
            </w:r>
          </w:p>
        </w:tc>
        <w:tc>
          <w:tcPr>
            <w:tcW w:w="1341" w:type="dxa"/>
          </w:tcPr>
          <w:p>
            <w:pPr>
              <w:pStyle w:val="Compact"/>
              <w:jc w:val="left"/>
              <w:spacing w:before="20" w:after="20" w:line="220" w:lineRule="auto"/>
            </w:pPr>
            <w:r>
              <w:rPr>
                <w:sz w:val="15"/>
                <w:szCs w:val="15"/>
              </w:rPr>
              <w:t xml:space="preserve">Distribution</w:t>
            </w:r>
          </w:p>
        </w:tc>
        <w:tc>
          <w:tcPr>
            <w:tcW w:w="3596" w:type="dxa"/>
          </w:tcPr>
          <w:p>
            <w:pPr>
              <w:pStyle w:val="Compact"/>
              <w:jc w:val="left"/>
              <w:spacing w:before="20" w:after="20" w:line="220" w:lineRule="auto"/>
            </w:pPr>
            <w:r>
              <w:rPr>
                <w:sz w:val="15"/>
                <w:szCs w:val="15"/>
              </w:rPr>
              <w:t xml:space="preserve">Basis</w:t>
            </w:r>
          </w:p>
        </w:tc>
        <w:tc>
          <w:tcPr>
            <w:tcW w:w="1219" w:type="dxa"/>
          </w:tcPr>
          <w:p>
            <w:pPr>
              <w:pStyle w:val="Compact"/>
              <w:jc w:val="left"/>
              <w:spacing w:before="20" w:after="20" w:line="220" w:lineRule="auto"/>
            </w:pPr>
            <w:r>
              <w:rPr>
                <w:sz w:val="15"/>
                <w:szCs w:val="15"/>
              </w:rPr>
              <w:t xml:space="preserve">Period</w:t>
            </w:r>
          </w:p>
        </w:tc>
        <w:tc>
          <w:tcPr>
            <w:tcW w:w="609" w:type="dxa"/>
          </w:tcPr>
          <w:p>
            <w:pPr>
              <w:pStyle w:val="Compact"/>
              <w:jc w:val="left"/>
              <w:spacing w:before="20" w:after="20" w:line="220" w:lineRule="auto"/>
            </w:pPr>
            <w:r>
              <w:rPr>
                <w:sz w:val="15"/>
                <w:szCs w:val="15"/>
              </w:rPr>
              <w:t xml:space="preserve">Raw</w:t>
            </w:r>
          </w:p>
        </w:tc>
        <w:tc>
          <w:tcPr>
            <w:tcW w:w="1016" w:type="dxa"/>
          </w:tcPr>
          <w:p>
            <w:pPr>
              <w:pStyle w:val="Compact"/>
              <w:jc w:val="left"/>
              <w:spacing w:before="20" w:after="20" w:line="220" w:lineRule="auto"/>
            </w:pPr>
            <w:r>
              <w:rPr>
                <w:sz w:val="15"/>
                <w:szCs w:val="15"/>
              </w:rPr>
              <w:t xml:space="preserve">Normalised</w:t>
            </w:r>
          </w:p>
        </w:tc>
        <w:tc>
          <w:tcPr>
            <w:tcW w:w="1016" w:type="dxa"/>
          </w:tcPr>
          <w:p>
            <w:pPr>
              <w:pStyle w:val="Compact"/>
              <w:jc w:val="left"/>
              <w:spacing w:before="20" w:after="20" w:line="220" w:lineRule="auto"/>
            </w:pPr>
            <w:r>
              <w:rPr>
                <w:sz w:val="15"/>
                <w:szCs w:val="15"/>
              </w:rPr>
              <w:t xml:space="preserve">In medians</w:t>
            </w:r>
          </w:p>
        </w:tc>
      </w:tr>
      <w:tr>
        <w:tc>
          <w:tcPr>
            <w:tcW w:w="4145" w:type="dxa"/>
          </w:tcPr>
          <w:p>
            <w:pPr>
              <w:pStyle w:val="Compact"/>
              <w:jc w:val="left"/>
              <w:spacing w:before="20" w:after="20" w:line="220" w:lineRule="auto"/>
            </w:pPr>
            <w:r>
              <w:rPr>
                <w:sz w:val="15"/>
                <w:szCs w:val="15"/>
              </w:rPr>
              <w:t xml:space="preserve">AFS Life Insurance SA (allocated amortisation / net premiums)</w:t>
            </w:r>
          </w:p>
        </w:tc>
        <w:tc>
          <w:tcPr>
            <w:tcW w:w="711" w:type="dxa"/>
          </w:tcPr>
          <w:p>
            <w:pPr>
              <w:pStyle w:val="Compact"/>
              <w:jc w:val="left"/>
              <w:spacing w:before="20" w:after="20" w:line="220" w:lineRule="auto"/>
            </w:pPr>
            <w:r>
              <w:rPr>
                <w:sz w:val="15"/>
                <w:szCs w:val="15"/>
              </w:rPr>
              <w:t xml:space="preserve">AFS</w:t>
            </w:r>
          </w:p>
        </w:tc>
        <w:tc>
          <w:tcPr>
            <w:tcW w:w="914" w:type="dxa"/>
          </w:tcPr>
          <w:p>
            <w:pPr>
              <w:pStyle w:val="Compact"/>
              <w:jc w:val="left"/>
              <w:spacing w:before="20" w:after="20" w:line="220" w:lineRule="auto"/>
            </w:pPr>
            <w:r>
              <w:rPr>
                <w:sz w:val="15"/>
                <w:szCs w:val="15"/>
              </w:rPr>
              <w:t xml:space="preserve">life</w:t>
            </w:r>
          </w:p>
        </w:tc>
        <w:tc>
          <w:tcPr>
            <w:tcW w:w="1341" w:type="dxa"/>
          </w:tcPr>
          <w:p>
            <w:pPr>
              <w:pStyle w:val="Compact"/>
              <w:jc w:val="left"/>
              <w:spacing w:before="20" w:after="20" w:line="220" w:lineRule="auto"/>
            </w:pPr>
            <w:r>
              <w:rPr>
                <w:sz w:val="15"/>
                <w:szCs w:val="15"/>
              </w:rPr>
              <w:t xml:space="preserve">bank captive</w:t>
            </w:r>
          </w:p>
        </w:tc>
        <w:tc>
          <w:tcPr>
            <w:tcW w:w="3596" w:type="dxa"/>
          </w:tcPr>
          <w:p>
            <w:pPr>
              <w:pStyle w:val="Compact"/>
              <w:jc w:val="left"/>
              <w:spacing w:before="20" w:after="20" w:line="220" w:lineRule="auto"/>
            </w:pPr>
            <w:r>
              <w:rPr>
                <w:sz w:val="15"/>
                <w:szCs w:val="15"/>
              </w:rPr>
              <w:t xml:space="preserve">IFRS 17 numerator, Absa net premium KPI denominator</w:t>
            </w:r>
          </w:p>
        </w:tc>
        <w:tc>
          <w:tcPr>
            <w:tcW w:w="1219" w:type="dxa"/>
          </w:tcPr>
          <w:p>
            <w:pPr>
              <w:pStyle w:val="Compact"/>
              <w:jc w:val="left"/>
              <w:spacing w:before="20" w:after="20" w:line="220" w:lineRule="auto"/>
            </w:pPr>
            <w:r>
              <w:rPr>
                <w:sz w:val="15"/>
                <w:szCs w:val="15"/>
              </w:rPr>
              <w:t xml:space="preserve">FY2025 (Dec)</w:t>
            </w:r>
          </w:p>
        </w:tc>
        <w:tc>
          <w:tcPr>
            <w:tcW w:w="609" w:type="dxa"/>
          </w:tcPr>
          <w:p>
            <w:pPr>
              <w:pStyle w:val="Compact"/>
              <w:jc w:val="left"/>
              <w:spacing w:before="20" w:after="20" w:line="220" w:lineRule="auto"/>
            </w:pPr>
            <w:r>
              <w:rPr>
                <w:sz w:val="15"/>
                <w:szCs w:val="15"/>
              </w:rPr>
              <w:t xml:space="preserve">8.9%</w:t>
            </w:r>
          </w:p>
        </w:tc>
        <w:tc>
          <w:tcPr>
            <w:tcW w:w="1016" w:type="dxa"/>
          </w:tcPr>
          <w:p>
            <w:pPr>
              <w:pStyle w:val="Compact"/>
              <w:jc w:val="left"/>
              <w:spacing w:before="20" w:after="20" w:line="220" w:lineRule="auto"/>
            </w:pPr>
            <w:r>
              <w:rPr>
                <w:sz w:val="15"/>
                <w:szCs w:val="15"/>
              </w:rPr>
              <w:t xml:space="preserve">8.9%</w:t>
            </w:r>
          </w:p>
        </w:tc>
        <w:tc>
          <w:tcPr>
            <w:tcW w:w="1016" w:type="dxa"/>
          </w:tcPr>
          <w:p>
            <w:pPr>
              <w:pStyle w:val="Compact"/>
              <w:jc w:val="left"/>
              <w:spacing w:before="20" w:after="20" w:line="220" w:lineRule="auto"/>
            </w:pPr>
            <w:r>
              <w:rPr>
                <w:sz w:val="15"/>
                <w:szCs w:val="15"/>
              </w:rPr>
              <w:t xml:space="preserve">no</w:t>
            </w:r>
          </w:p>
        </w:tc>
      </w:tr>
      <w:tr>
        <w:tc>
          <w:tcPr>
            <w:tcW w:w="4145" w:type="dxa"/>
          </w:tcPr>
          <w:p>
            <w:pPr>
              <w:pStyle w:val="Compact"/>
              <w:jc w:val="left"/>
              <w:spacing w:before="20" w:after="20" w:line="220" w:lineRule="auto"/>
            </w:pPr>
            <w:r>
              <w:rPr>
                <w:sz w:val="15"/>
                <w:szCs w:val="15"/>
              </w:rPr>
              <w:t xml:space="preserve">AFS Non-Life Insurance SA (allocated amortisation / GWP)</w:t>
            </w:r>
          </w:p>
        </w:tc>
        <w:tc>
          <w:tcPr>
            <w:tcW w:w="711" w:type="dxa"/>
          </w:tcPr>
          <w:p>
            <w:pPr>
              <w:pStyle w:val="Compact"/>
              <w:jc w:val="left"/>
              <w:spacing w:before="20" w:after="20" w:line="220" w:lineRule="auto"/>
            </w:pPr>
            <w:r>
              <w:rPr>
                <w:sz w:val="15"/>
                <w:szCs w:val="15"/>
              </w:rPr>
              <w:t xml:space="preserve">AFS</w:t>
            </w:r>
          </w:p>
        </w:tc>
        <w:tc>
          <w:tcPr>
            <w:tcW w:w="914" w:type="dxa"/>
          </w:tcPr>
          <w:p>
            <w:pPr>
              <w:pStyle w:val="Compact"/>
              <w:jc w:val="left"/>
              <w:spacing w:before="20" w:after="20" w:line="220" w:lineRule="auto"/>
            </w:pPr>
            <w:r>
              <w:rPr>
                <w:sz w:val="15"/>
                <w:szCs w:val="15"/>
              </w:rPr>
              <w:t xml:space="preserve">nonlife</w:t>
            </w:r>
          </w:p>
        </w:tc>
        <w:tc>
          <w:tcPr>
            <w:tcW w:w="1341" w:type="dxa"/>
          </w:tcPr>
          <w:p>
            <w:pPr>
              <w:pStyle w:val="Compact"/>
              <w:jc w:val="left"/>
              <w:spacing w:before="20" w:after="20" w:line="220" w:lineRule="auto"/>
            </w:pPr>
            <w:r>
              <w:rPr>
                <w:sz w:val="15"/>
                <w:szCs w:val="15"/>
              </w:rPr>
              <w:t xml:space="preserve">bank captive</w:t>
            </w:r>
          </w:p>
        </w:tc>
        <w:tc>
          <w:tcPr>
            <w:tcW w:w="3596" w:type="dxa"/>
          </w:tcPr>
          <w:p>
            <w:pPr>
              <w:pStyle w:val="Compact"/>
              <w:jc w:val="left"/>
              <w:spacing w:before="20" w:after="20" w:line="220" w:lineRule="auto"/>
            </w:pPr>
            <w:r>
              <w:rPr>
                <w:sz w:val="15"/>
                <w:szCs w:val="15"/>
              </w:rPr>
              <w:t xml:space="preserve">IFRS 17 numerator, Absa GWP KPI denominator</w:t>
            </w:r>
          </w:p>
        </w:tc>
        <w:tc>
          <w:tcPr>
            <w:tcW w:w="1219" w:type="dxa"/>
          </w:tcPr>
          <w:p>
            <w:pPr>
              <w:pStyle w:val="Compact"/>
              <w:jc w:val="left"/>
              <w:spacing w:before="20" w:after="20" w:line="220" w:lineRule="auto"/>
            </w:pPr>
            <w:r>
              <w:rPr>
                <w:sz w:val="15"/>
                <w:szCs w:val="15"/>
              </w:rPr>
              <w:t xml:space="preserve">FY2025 (Dec)</w:t>
            </w:r>
          </w:p>
        </w:tc>
        <w:tc>
          <w:tcPr>
            <w:tcW w:w="609" w:type="dxa"/>
          </w:tcPr>
          <w:p>
            <w:pPr>
              <w:pStyle w:val="Compact"/>
              <w:jc w:val="left"/>
              <w:spacing w:before="20" w:after="20" w:line="220" w:lineRule="auto"/>
            </w:pPr>
            <w:r>
              <w:rPr>
                <w:sz w:val="15"/>
                <w:szCs w:val="15"/>
              </w:rPr>
              <w:t xml:space="preserve">12.9%</w:t>
            </w:r>
          </w:p>
        </w:tc>
        <w:tc>
          <w:tcPr>
            <w:tcW w:w="1016" w:type="dxa"/>
          </w:tcPr>
          <w:p>
            <w:pPr>
              <w:pStyle w:val="Compact"/>
              <w:jc w:val="left"/>
              <w:spacing w:before="20" w:after="20" w:line="220" w:lineRule="auto"/>
            </w:pPr>
            <w:r>
              <w:rPr>
                <w:sz w:val="15"/>
                <w:szCs w:val="15"/>
              </w:rPr>
              <w:t xml:space="preserve">12.9%</w:t>
            </w:r>
          </w:p>
        </w:tc>
        <w:tc>
          <w:tcPr>
            <w:tcW w:w="1016" w:type="dxa"/>
          </w:tcPr>
          <w:p>
            <w:pPr>
              <w:pStyle w:val="Compact"/>
              <w:jc w:val="left"/>
              <w:spacing w:before="20" w:after="20" w:line="220" w:lineRule="auto"/>
            </w:pPr>
            <w:r>
              <w:rPr>
                <w:sz w:val="15"/>
                <w:szCs w:val="15"/>
              </w:rPr>
              <w:t xml:space="preserve">no</w:t>
            </w:r>
          </w:p>
        </w:tc>
      </w:tr>
      <w:tr>
        <w:tc>
          <w:tcPr>
            <w:tcW w:w="4145" w:type="dxa"/>
          </w:tcPr>
          <w:p>
            <w:pPr>
              <w:pStyle w:val="Compact"/>
              <w:jc w:val="left"/>
              <w:spacing w:before="20" w:after="20" w:line="220" w:lineRule="auto"/>
            </w:pPr>
            <w:r>
              <w:rPr>
                <w:sz w:val="15"/>
                <w:szCs w:val="15"/>
              </w:rPr>
              <w:t xml:space="preserve">SBI Life (commission / GWP)</w:t>
            </w:r>
          </w:p>
        </w:tc>
        <w:tc>
          <w:tcPr>
            <w:tcW w:w="711" w:type="dxa"/>
          </w:tcPr>
          <w:p>
            <w:pPr>
              <w:pStyle w:val="Compact"/>
              <w:jc w:val="left"/>
              <w:spacing w:before="20" w:after="20" w:line="220" w:lineRule="auto"/>
            </w:pPr>
            <w:r>
              <w:rPr>
                <w:sz w:val="15"/>
                <w:szCs w:val="15"/>
              </w:rPr>
              <w:t xml:space="preserve">EM</w:t>
            </w:r>
          </w:p>
        </w:tc>
        <w:tc>
          <w:tcPr>
            <w:tcW w:w="914" w:type="dxa"/>
          </w:tcPr>
          <w:p>
            <w:pPr>
              <w:pStyle w:val="Compact"/>
              <w:jc w:val="left"/>
              <w:spacing w:before="20" w:after="20" w:line="220" w:lineRule="auto"/>
            </w:pPr>
            <w:r>
              <w:rPr>
                <w:sz w:val="15"/>
                <w:szCs w:val="15"/>
              </w:rPr>
              <w:t xml:space="preserve">life</w:t>
            </w:r>
          </w:p>
        </w:tc>
        <w:tc>
          <w:tcPr>
            <w:tcW w:w="1341" w:type="dxa"/>
          </w:tcPr>
          <w:p>
            <w:pPr>
              <w:pStyle w:val="Compact"/>
              <w:jc w:val="left"/>
              <w:spacing w:before="20" w:after="20" w:line="220" w:lineRule="auto"/>
            </w:pPr>
            <w:r>
              <w:rPr>
                <w:sz w:val="15"/>
                <w:szCs w:val="15"/>
              </w:rPr>
              <w:t xml:space="preserve">bank-led</w:t>
            </w:r>
          </w:p>
        </w:tc>
        <w:tc>
          <w:tcPr>
            <w:tcW w:w="3596" w:type="dxa"/>
          </w:tcPr>
          <w:p>
            <w:pPr>
              <w:pStyle w:val="Compact"/>
              <w:jc w:val="left"/>
              <w:spacing w:before="20" w:after="20" w:line="220" w:lineRule="auto"/>
            </w:pPr>
            <w:r>
              <w:rPr>
                <w:sz w:val="15"/>
                <w:szCs w:val="15"/>
              </w:rPr>
              <w:t xml:space="preserve">IRDAI GAAP</w:t>
            </w:r>
          </w:p>
        </w:tc>
        <w:tc>
          <w:tcPr>
            <w:tcW w:w="1219" w:type="dxa"/>
          </w:tcPr>
          <w:p>
            <w:pPr>
              <w:pStyle w:val="Compact"/>
              <w:jc w:val="left"/>
              <w:spacing w:before="20" w:after="20" w:line="220" w:lineRule="auto"/>
            </w:pPr>
            <w:r>
              <w:rPr>
                <w:sz w:val="15"/>
                <w:szCs w:val="15"/>
              </w:rPr>
              <w:t xml:space="preserve">FY2026 (Mar)</w:t>
            </w:r>
          </w:p>
        </w:tc>
        <w:tc>
          <w:tcPr>
            <w:tcW w:w="609" w:type="dxa"/>
          </w:tcPr>
          <w:p>
            <w:pPr>
              <w:pStyle w:val="Compact"/>
              <w:jc w:val="left"/>
              <w:spacing w:before="20" w:after="20" w:line="220" w:lineRule="auto"/>
            </w:pPr>
            <w:r>
              <w:rPr>
                <w:sz w:val="15"/>
                <w:szCs w:val="15"/>
              </w:rPr>
              <w:t xml:space="preserve">4.4%</w:t>
            </w:r>
          </w:p>
        </w:tc>
        <w:tc>
          <w:tcPr>
            <w:tcW w:w="1016" w:type="dxa"/>
          </w:tcPr>
          <w:p>
            <w:pPr>
              <w:pStyle w:val="Compact"/>
              <w:jc w:val="left"/>
              <w:spacing w:before="20" w:after="20" w:line="220" w:lineRule="auto"/>
            </w:pPr>
            <w:r>
              <w:rPr>
                <w:sz w:val="15"/>
                <w:szCs w:val="15"/>
              </w:rPr>
              <w:t xml:space="preserve">4.4%</w:t>
            </w:r>
          </w:p>
        </w:tc>
        <w:tc>
          <w:tcPr>
            <w:tcW w:w="1016" w:type="dxa"/>
          </w:tcPr>
          <w:p>
            <w:pPr>
              <w:pStyle w:val="Compact"/>
              <w:jc w:val="left"/>
              <w:spacing w:before="20" w:after="20" w:line="220" w:lineRule="auto"/>
            </w:pPr>
            <w:r>
              <w:rPr>
                <w:sz w:val="15"/>
                <w:szCs w:val="15"/>
              </w:rPr>
              <w:t xml:space="preserve">yes</w:t>
            </w:r>
          </w:p>
        </w:tc>
      </w:tr>
      <w:tr>
        <w:tc>
          <w:tcPr>
            <w:tcW w:w="4145" w:type="dxa"/>
          </w:tcPr>
          <w:p>
            <w:pPr>
              <w:pStyle w:val="Compact"/>
              <w:jc w:val="left"/>
              <w:spacing w:before="20" w:after="20" w:line="220" w:lineRule="auto"/>
            </w:pPr>
            <w:r>
              <w:rPr>
                <w:sz w:val="15"/>
                <w:szCs w:val="15"/>
              </w:rPr>
              <w:t xml:space="preserve">VidaCaixa (CaixaBank)</w:t>
            </w:r>
          </w:p>
        </w:tc>
        <w:tc>
          <w:tcPr>
            <w:tcW w:w="711" w:type="dxa"/>
          </w:tcPr>
          <w:p>
            <w:pPr>
              <w:pStyle w:val="Compact"/>
              <w:jc w:val="left"/>
              <w:spacing w:before="20" w:after="20" w:line="220" w:lineRule="auto"/>
            </w:pPr>
            <w:r>
              <w:rPr>
                <w:sz w:val="15"/>
                <w:szCs w:val="15"/>
              </w:rPr>
              <w:t xml:space="preserve">EU</w:t>
            </w:r>
          </w:p>
        </w:tc>
        <w:tc>
          <w:tcPr>
            <w:tcW w:w="914" w:type="dxa"/>
          </w:tcPr>
          <w:p>
            <w:pPr>
              <w:pStyle w:val="Compact"/>
              <w:jc w:val="left"/>
              <w:spacing w:before="20" w:after="20" w:line="220" w:lineRule="auto"/>
            </w:pPr>
            <w:r>
              <w:rPr>
                <w:sz w:val="15"/>
                <w:szCs w:val="15"/>
              </w:rPr>
              <w:t xml:space="preserve">life</w:t>
            </w:r>
          </w:p>
        </w:tc>
        <w:tc>
          <w:tcPr>
            <w:tcW w:w="1341" w:type="dxa"/>
          </w:tcPr>
          <w:p>
            <w:pPr>
              <w:pStyle w:val="Compact"/>
              <w:jc w:val="left"/>
              <w:spacing w:before="20" w:after="20" w:line="220" w:lineRule="auto"/>
            </w:pPr>
            <w:r>
              <w:rPr>
                <w:sz w:val="15"/>
                <w:szCs w:val="15"/>
              </w:rPr>
              <w:t xml:space="preserve">bank captive</w:t>
            </w:r>
          </w:p>
        </w:tc>
        <w:tc>
          <w:tcPr>
            <w:tcW w:w="3596" w:type="dxa"/>
          </w:tcPr>
          <w:p>
            <w:pPr>
              <w:pStyle w:val="Compact"/>
              <w:jc w:val="left"/>
              <w:spacing w:before="20" w:after="20" w:line="220" w:lineRule="auto"/>
            </w:pPr>
            <w:r>
              <w:rPr>
                <w:sz w:val="15"/>
                <w:szCs w:val="15"/>
              </w:rPr>
              <w:t xml:space="preserve">IFRS 17 / Solvency II GWP</w:t>
            </w:r>
          </w:p>
        </w:tc>
        <w:tc>
          <w:tcPr>
            <w:tcW w:w="1219" w:type="dxa"/>
          </w:tcPr>
          <w:p>
            <w:pPr>
              <w:pStyle w:val="Compact"/>
              <w:jc w:val="left"/>
              <w:spacing w:before="20" w:after="20" w:line="220" w:lineRule="auto"/>
            </w:pPr>
            <w:r>
              <w:rPr>
                <w:sz w:val="15"/>
                <w:szCs w:val="15"/>
              </w:rPr>
              <w:t xml:space="preserve">FY2025 (Dec)</w:t>
            </w:r>
          </w:p>
        </w:tc>
        <w:tc>
          <w:tcPr>
            <w:tcW w:w="609" w:type="dxa"/>
          </w:tcPr>
          <w:p>
            <w:pPr>
              <w:pStyle w:val="Compact"/>
              <w:jc w:val="left"/>
              <w:spacing w:before="20" w:after="20" w:line="220" w:lineRule="auto"/>
            </w:pPr>
            <w:r>
              <w:rPr>
                <w:sz w:val="15"/>
                <w:szCs w:val="15"/>
              </w:rPr>
              <w:t xml:space="preserve">5.5%</w:t>
            </w:r>
          </w:p>
        </w:tc>
        <w:tc>
          <w:tcPr>
            <w:tcW w:w="1016" w:type="dxa"/>
          </w:tcPr>
          <w:p>
            <w:pPr>
              <w:pStyle w:val="Compact"/>
              <w:jc w:val="left"/>
              <w:spacing w:before="20" w:after="20" w:line="220" w:lineRule="auto"/>
            </w:pPr>
            <w:r>
              <w:rPr>
                <w:sz w:val="15"/>
                <w:szCs w:val="15"/>
              </w:rPr>
              <w:t xml:space="preserve">5.5%</w:t>
            </w:r>
          </w:p>
        </w:tc>
        <w:tc>
          <w:tcPr>
            <w:tcW w:w="1016" w:type="dxa"/>
          </w:tcPr>
          <w:p>
            <w:pPr>
              <w:pStyle w:val="Compact"/>
              <w:jc w:val="left"/>
              <w:spacing w:before="20" w:after="20" w:line="220" w:lineRule="auto"/>
            </w:pPr>
            <w:r>
              <w:rPr>
                <w:sz w:val="15"/>
                <w:szCs w:val="15"/>
              </w:rPr>
              <w:t xml:space="preserve">no</w:t>
            </w:r>
          </w:p>
        </w:tc>
      </w:tr>
      <w:tr>
        <w:tc>
          <w:tcPr>
            <w:tcW w:w="4145" w:type="dxa"/>
          </w:tcPr>
          <w:p>
            <w:pPr>
              <w:pStyle w:val="Compact"/>
              <w:jc w:val="left"/>
              <w:spacing w:before="20" w:after="20" w:line="220" w:lineRule="auto"/>
            </w:pPr>
            <w:r>
              <w:rPr>
                <w:sz w:val="15"/>
                <w:szCs w:val="15"/>
              </w:rPr>
              <w:t xml:space="preserve">Santam conventional (management basis)</w:t>
            </w:r>
          </w:p>
        </w:tc>
        <w:tc>
          <w:tcPr>
            <w:tcW w:w="711" w:type="dxa"/>
          </w:tcPr>
          <w:p>
            <w:pPr>
              <w:pStyle w:val="Compact"/>
              <w:jc w:val="left"/>
              <w:spacing w:before="20" w:after="20" w:line="220" w:lineRule="auto"/>
            </w:pPr>
            <w:r>
              <w:rPr>
                <w:sz w:val="15"/>
                <w:szCs w:val="15"/>
              </w:rPr>
              <w:t xml:space="preserve">LN</w:t>
            </w:r>
          </w:p>
        </w:tc>
        <w:tc>
          <w:tcPr>
            <w:tcW w:w="914" w:type="dxa"/>
          </w:tcPr>
          <w:p>
            <w:pPr>
              <w:pStyle w:val="Compact"/>
              <w:jc w:val="left"/>
              <w:spacing w:before="20" w:after="20" w:line="220" w:lineRule="auto"/>
            </w:pPr>
            <w:r>
              <w:rPr>
                <w:sz w:val="15"/>
                <w:szCs w:val="15"/>
              </w:rPr>
              <w:t xml:space="preserve">nonlife</w:t>
            </w:r>
          </w:p>
        </w:tc>
        <w:tc>
          <w:tcPr>
            <w:tcW w:w="1341" w:type="dxa"/>
          </w:tcPr>
          <w:p>
            <w:pPr>
              <w:pStyle w:val="Compact"/>
              <w:jc w:val="left"/>
              <w:spacing w:before="20" w:after="20" w:line="220" w:lineRule="auto"/>
            </w:pPr>
            <w:r>
              <w:rPr>
                <w:sz w:val="15"/>
                <w:szCs w:val="15"/>
              </w:rPr>
              <w:t xml:space="preserve">open</w:t>
            </w:r>
          </w:p>
        </w:tc>
        <w:tc>
          <w:tcPr>
            <w:tcW w:w="3596" w:type="dxa"/>
          </w:tcPr>
          <w:p>
            <w:pPr>
              <w:pStyle w:val="Compact"/>
              <w:jc w:val="left"/>
              <w:spacing w:before="20" w:after="20" w:line="220" w:lineRule="auto"/>
            </w:pPr>
            <w:r>
              <w:rPr>
                <w:sz w:val="15"/>
                <w:szCs w:val="15"/>
              </w:rPr>
              <w:t xml:space="preserve">Management basis</w:t>
            </w:r>
          </w:p>
        </w:tc>
        <w:tc>
          <w:tcPr>
            <w:tcW w:w="1219" w:type="dxa"/>
          </w:tcPr>
          <w:p>
            <w:pPr>
              <w:pStyle w:val="Compact"/>
              <w:jc w:val="left"/>
              <w:spacing w:before="20" w:after="20" w:line="220" w:lineRule="auto"/>
            </w:pPr>
            <w:r>
              <w:rPr>
                <w:sz w:val="15"/>
                <w:szCs w:val="15"/>
              </w:rPr>
              <w:t xml:space="preserve">FY2025 (Dec)</w:t>
            </w:r>
          </w:p>
        </w:tc>
        <w:tc>
          <w:tcPr>
            <w:tcW w:w="609" w:type="dxa"/>
          </w:tcPr>
          <w:p>
            <w:pPr>
              <w:pStyle w:val="Compact"/>
              <w:jc w:val="left"/>
              <w:spacing w:before="20" w:after="20" w:line="220" w:lineRule="auto"/>
            </w:pPr>
            <w:r>
              <w:rPr>
                <w:sz w:val="15"/>
                <w:szCs w:val="15"/>
              </w:rPr>
              <w:t xml:space="preserve">11.5%</w:t>
            </w:r>
          </w:p>
        </w:tc>
        <w:tc>
          <w:tcPr>
            <w:tcW w:w="1016" w:type="dxa"/>
          </w:tcPr>
          <w:p>
            <w:pPr>
              <w:pStyle w:val="Compact"/>
              <w:jc w:val="left"/>
              <w:spacing w:before="20" w:after="20" w:line="220" w:lineRule="auto"/>
            </w:pPr>
            <w:r>
              <w:rPr>
                <w:sz w:val="15"/>
                <w:szCs w:val="15"/>
              </w:rPr>
              <w:t xml:space="preserve">11.5%</w:t>
            </w:r>
          </w:p>
        </w:tc>
        <w:tc>
          <w:tcPr>
            <w:tcW w:w="1016" w:type="dxa"/>
          </w:tcPr>
          <w:p>
            <w:pPr>
              <w:pStyle w:val="Compact"/>
              <w:jc w:val="left"/>
              <w:spacing w:before="20" w:after="20" w:line="220" w:lineRule="auto"/>
            </w:pPr>
            <w:r>
              <w:rPr>
                <w:sz w:val="15"/>
                <w:szCs w:val="15"/>
              </w:rPr>
              <w:t xml:space="preserve">yes</w:t>
            </w:r>
          </w:p>
        </w:tc>
      </w:tr>
      <w:tr>
        <w:tc>
          <w:tcPr>
            <w:tcW w:w="4145" w:type="dxa"/>
          </w:tcPr>
          <w:p>
            <w:pPr>
              <w:pStyle w:val="Compact"/>
              <w:jc w:val="left"/>
              <w:spacing w:before="20" w:after="20" w:line="220" w:lineRule="auto"/>
            </w:pPr>
            <w:r>
              <w:rPr>
                <w:sz w:val="15"/>
                <w:szCs w:val="15"/>
              </w:rPr>
              <w:t xml:space="preserve">Standard Insurance Limited (Standard Bank)</w:t>
            </w:r>
          </w:p>
        </w:tc>
        <w:tc>
          <w:tcPr>
            <w:tcW w:w="711" w:type="dxa"/>
          </w:tcPr>
          <w:p>
            <w:pPr>
              <w:pStyle w:val="Compact"/>
              <w:jc w:val="left"/>
              <w:spacing w:before="20" w:after="20" w:line="220" w:lineRule="auto"/>
            </w:pPr>
            <w:r>
              <w:rPr>
                <w:sz w:val="15"/>
                <w:szCs w:val="15"/>
              </w:rPr>
              <w:t xml:space="preserve">LB</w:t>
            </w:r>
          </w:p>
        </w:tc>
        <w:tc>
          <w:tcPr>
            <w:tcW w:w="914" w:type="dxa"/>
          </w:tcPr>
          <w:p>
            <w:pPr>
              <w:pStyle w:val="Compact"/>
              <w:jc w:val="left"/>
              <w:spacing w:before="20" w:after="20" w:line="220" w:lineRule="auto"/>
            </w:pPr>
            <w:r>
              <w:rPr>
                <w:sz w:val="15"/>
                <w:szCs w:val="15"/>
              </w:rPr>
              <w:t xml:space="preserve">nonlife</w:t>
            </w:r>
          </w:p>
        </w:tc>
        <w:tc>
          <w:tcPr>
            <w:tcW w:w="1341" w:type="dxa"/>
          </w:tcPr>
          <w:p>
            <w:pPr>
              <w:pStyle w:val="Compact"/>
              <w:jc w:val="left"/>
              <w:spacing w:before="20" w:after="20" w:line="220" w:lineRule="auto"/>
            </w:pPr>
            <w:r>
              <w:rPr>
                <w:sz w:val="15"/>
                <w:szCs w:val="15"/>
              </w:rPr>
              <w:t xml:space="preserve">bank captive</w:t>
            </w:r>
          </w:p>
        </w:tc>
        <w:tc>
          <w:tcPr>
            <w:tcW w:w="3596" w:type="dxa"/>
          </w:tcPr>
          <w:p>
            <w:pPr>
              <w:pStyle w:val="Compact"/>
              <w:jc w:val="left"/>
              <w:spacing w:before="20" w:after="20" w:line="220" w:lineRule="auto"/>
            </w:pPr>
            <w:r>
              <w:rPr>
                <w:sz w:val="15"/>
                <w:szCs w:val="15"/>
              </w:rPr>
              <w:t xml:space="preserve">IFRS 17 / SBG GWP KPI</w:t>
            </w:r>
          </w:p>
        </w:tc>
        <w:tc>
          <w:tcPr>
            <w:tcW w:w="1219" w:type="dxa"/>
          </w:tcPr>
          <w:p>
            <w:pPr>
              <w:pStyle w:val="Compact"/>
              <w:jc w:val="left"/>
              <w:spacing w:before="20" w:after="20" w:line="220" w:lineRule="auto"/>
            </w:pPr>
            <w:r>
              <w:rPr>
                <w:sz w:val="15"/>
                <w:szCs w:val="15"/>
              </w:rPr>
              <w:t xml:space="preserve">FY2025 (Dec)</w:t>
            </w:r>
          </w:p>
        </w:tc>
        <w:tc>
          <w:tcPr>
            <w:tcW w:w="609" w:type="dxa"/>
          </w:tcPr>
          <w:p>
            <w:pPr>
              <w:pStyle w:val="Compact"/>
              <w:jc w:val="left"/>
              <w:spacing w:before="20" w:after="20" w:line="220" w:lineRule="auto"/>
            </w:pPr>
            <w:r>
              <w:rPr>
                <w:sz w:val="15"/>
                <w:szCs w:val="15"/>
              </w:rPr>
              <w:t xml:space="preserve">16.8%</w:t>
            </w:r>
          </w:p>
        </w:tc>
        <w:tc>
          <w:tcPr>
            <w:tcW w:w="1016" w:type="dxa"/>
          </w:tcPr>
          <w:p>
            <w:pPr>
              <w:pStyle w:val="Compact"/>
              <w:jc w:val="left"/>
              <w:spacing w:before="20" w:after="20" w:line="220" w:lineRule="auto"/>
            </w:pPr>
            <w:r>
              <w:rPr>
                <w:sz w:val="15"/>
                <w:szCs w:val="15"/>
              </w:rPr>
              <w:t xml:space="preserve">16.8%</w:t>
            </w:r>
          </w:p>
        </w:tc>
        <w:tc>
          <w:tcPr>
            <w:tcW w:w="1016" w:type="dxa"/>
          </w:tcPr>
          <w:p>
            <w:pPr>
              <w:pStyle w:val="Compact"/>
              <w:jc w:val="left"/>
              <w:spacing w:before="20" w:after="20" w:line="220" w:lineRule="auto"/>
            </w:pPr>
            <w:r>
              <w:rPr>
                <w:sz w:val="15"/>
                <w:szCs w:val="15"/>
              </w:rPr>
              <w:t xml:space="preserve">yes</w:t>
            </w:r>
          </w:p>
        </w:tc>
      </w:tr>
      <w:tr>
        <w:tc>
          <w:tcPr>
            <w:tcW w:w="4145" w:type="dxa"/>
          </w:tcPr>
          <w:p>
            <w:pPr>
              <w:pStyle w:val="Compact"/>
              <w:jc w:val="left"/>
              <w:spacing w:before="20" w:after="20" w:line="220" w:lineRule="auto"/>
            </w:pPr>
            <w:r>
              <w:rPr>
                <w:sz w:val="15"/>
                <w:szCs w:val="15"/>
              </w:rPr>
              <w:t xml:space="preserve">BNP Paribas Cardif</w:t>
            </w:r>
          </w:p>
        </w:tc>
        <w:tc>
          <w:tcPr>
            <w:tcW w:w="711" w:type="dxa"/>
          </w:tcPr>
          <w:p>
            <w:pPr>
              <w:pStyle w:val="Compact"/>
              <w:jc w:val="left"/>
              <w:spacing w:before="20" w:after="20" w:line="220" w:lineRule="auto"/>
            </w:pPr>
            <w:r>
              <w:rPr>
                <w:sz w:val="15"/>
                <w:szCs w:val="15"/>
              </w:rPr>
              <w:t xml:space="preserve">EU</w:t>
            </w:r>
          </w:p>
        </w:tc>
        <w:tc>
          <w:tcPr>
            <w:tcW w:w="914" w:type="dxa"/>
          </w:tcPr>
          <w:p>
            <w:pPr>
              <w:pStyle w:val="Compact"/>
              <w:jc w:val="left"/>
              <w:spacing w:before="20" w:after="20" w:line="220" w:lineRule="auto"/>
            </w:pPr>
            <w:r>
              <w:rPr>
                <w:sz w:val="15"/>
                <w:szCs w:val="15"/>
              </w:rPr>
              <w:t xml:space="preserve">composite</w:t>
            </w:r>
          </w:p>
        </w:tc>
        <w:tc>
          <w:tcPr>
            <w:tcW w:w="1341" w:type="dxa"/>
          </w:tcPr>
          <w:p>
            <w:pPr>
              <w:pStyle w:val="Compact"/>
              <w:jc w:val="left"/>
              <w:spacing w:before="20" w:after="20" w:line="220" w:lineRule="auto"/>
            </w:pPr>
            <w:r>
              <w:rPr>
                <w:sz w:val="15"/>
                <w:szCs w:val="15"/>
              </w:rPr>
              <w:t xml:space="preserve">partly captive</w:t>
            </w:r>
          </w:p>
        </w:tc>
        <w:tc>
          <w:tcPr>
            <w:tcW w:w="3596" w:type="dxa"/>
          </w:tcPr>
          <w:p>
            <w:pPr>
              <w:pStyle w:val="Compact"/>
              <w:jc w:val="left"/>
              <w:spacing w:before="20" w:after="20" w:line="220" w:lineRule="auto"/>
            </w:pPr>
            <w:r>
              <w:rPr>
                <w:sz w:val="15"/>
                <w:szCs w:val="15"/>
              </w:rPr>
              <w:t xml:space="preserve">IFRS 17 / GWP KPI</w:t>
            </w:r>
          </w:p>
        </w:tc>
        <w:tc>
          <w:tcPr>
            <w:tcW w:w="1219" w:type="dxa"/>
          </w:tcPr>
          <w:p>
            <w:pPr>
              <w:pStyle w:val="Compact"/>
              <w:jc w:val="left"/>
              <w:spacing w:before="20" w:after="20" w:line="220" w:lineRule="auto"/>
            </w:pPr>
            <w:r>
              <w:rPr>
                <w:sz w:val="15"/>
                <w:szCs w:val="15"/>
              </w:rPr>
              <w:t xml:space="preserve">FY2025 (Dec)</w:t>
            </w:r>
          </w:p>
        </w:tc>
        <w:tc>
          <w:tcPr>
            <w:tcW w:w="609" w:type="dxa"/>
          </w:tcPr>
          <w:p>
            <w:pPr>
              <w:pStyle w:val="Compact"/>
              <w:jc w:val="left"/>
              <w:spacing w:before="20" w:after="20" w:line="220" w:lineRule="auto"/>
            </w:pPr>
            <w:r>
              <w:rPr>
                <w:sz w:val="15"/>
                <w:szCs w:val="15"/>
              </w:rPr>
              <w:t xml:space="preserve">12.8%</w:t>
            </w:r>
          </w:p>
        </w:tc>
        <w:tc>
          <w:tcPr>
            <w:tcW w:w="1016" w:type="dxa"/>
          </w:tcPr>
          <w:p>
            <w:pPr>
              <w:pStyle w:val="Compact"/>
              <w:jc w:val="left"/>
              <w:spacing w:before="20" w:after="20" w:line="220" w:lineRule="auto"/>
            </w:pPr>
            <w:r>
              <w:rPr>
                <w:sz w:val="15"/>
                <w:szCs w:val="15"/>
              </w:rPr>
              <w:t xml:space="preserve">12.8%</w:t>
            </w:r>
          </w:p>
        </w:tc>
        <w:tc>
          <w:tcPr>
            <w:tcW w:w="1016" w:type="dxa"/>
          </w:tcPr>
          <w:p>
            <w:pPr>
              <w:pStyle w:val="Compact"/>
              <w:jc w:val="left"/>
              <w:spacing w:before="20" w:after="20" w:line="220" w:lineRule="auto"/>
            </w:pPr>
            <w:r>
              <w:rPr>
                <w:sz w:val="15"/>
                <w:szCs w:val="15"/>
              </w:rPr>
              <w:t xml:space="preserve">no</w:t>
            </w:r>
          </w:p>
        </w:tc>
      </w:tr>
      <w:tr>
        <w:tc>
          <w:tcPr>
            <w:tcW w:w="4145" w:type="dxa"/>
          </w:tcPr>
          <w:p>
            <w:pPr>
              <w:pStyle w:val="Compact"/>
              <w:jc w:val="left"/>
              <w:spacing w:before="20" w:after="20" w:line="220" w:lineRule="auto"/>
            </w:pPr>
            <w:r>
              <w:rPr>
                <w:sz w:val="15"/>
                <w:szCs w:val="15"/>
              </w:rPr>
              <w:t xml:space="preserve">Brasilseg (BB Seguridade)</w:t>
            </w:r>
          </w:p>
        </w:tc>
        <w:tc>
          <w:tcPr>
            <w:tcW w:w="711" w:type="dxa"/>
          </w:tcPr>
          <w:p>
            <w:pPr>
              <w:pStyle w:val="Compact"/>
              <w:jc w:val="left"/>
              <w:spacing w:before="20" w:after="20" w:line="220" w:lineRule="auto"/>
            </w:pPr>
            <w:r>
              <w:rPr>
                <w:sz w:val="15"/>
                <w:szCs w:val="15"/>
              </w:rPr>
              <w:t xml:space="preserve">EM</w:t>
            </w:r>
          </w:p>
        </w:tc>
        <w:tc>
          <w:tcPr>
            <w:tcW w:w="914" w:type="dxa"/>
          </w:tcPr>
          <w:p>
            <w:pPr>
              <w:pStyle w:val="Compact"/>
              <w:jc w:val="left"/>
              <w:spacing w:before="20" w:after="20" w:line="220" w:lineRule="auto"/>
            </w:pPr>
            <w:r>
              <w:rPr>
                <w:sz w:val="15"/>
                <w:szCs w:val="15"/>
              </w:rPr>
              <w:t xml:space="preserve">composite</w:t>
            </w:r>
          </w:p>
        </w:tc>
        <w:tc>
          <w:tcPr>
            <w:tcW w:w="1341" w:type="dxa"/>
          </w:tcPr>
          <w:p>
            <w:pPr>
              <w:pStyle w:val="Compact"/>
              <w:jc w:val="left"/>
              <w:spacing w:before="20" w:after="20" w:line="220" w:lineRule="auto"/>
            </w:pPr>
            <w:r>
              <w:rPr>
                <w:sz w:val="15"/>
                <w:szCs w:val="15"/>
              </w:rPr>
              <w:t xml:space="preserve">bank captive</w:t>
            </w:r>
          </w:p>
        </w:tc>
        <w:tc>
          <w:tcPr>
            <w:tcW w:w="3596" w:type="dxa"/>
          </w:tcPr>
          <w:p>
            <w:pPr>
              <w:pStyle w:val="Compact"/>
              <w:jc w:val="left"/>
              <w:spacing w:before="20" w:after="20" w:line="220" w:lineRule="auto"/>
            </w:pPr>
            <w:r>
              <w:rPr>
                <w:sz w:val="15"/>
                <w:szCs w:val="15"/>
              </w:rPr>
              <w:t xml:space="preserve">SUSEP</w:t>
            </w:r>
          </w:p>
        </w:tc>
        <w:tc>
          <w:tcPr>
            <w:tcW w:w="1219" w:type="dxa"/>
          </w:tcPr>
          <w:p>
            <w:pPr>
              <w:pStyle w:val="Compact"/>
              <w:jc w:val="left"/>
              <w:spacing w:before="20" w:after="20" w:line="220" w:lineRule="auto"/>
            </w:pPr>
            <w:r>
              <w:rPr>
                <w:sz w:val="15"/>
                <w:szCs w:val="15"/>
              </w:rPr>
              <w:t xml:space="preserve">FY2025 (Dec)</w:t>
            </w:r>
          </w:p>
        </w:tc>
        <w:tc>
          <w:tcPr>
            <w:tcW w:w="609" w:type="dxa"/>
          </w:tcPr>
          <w:p>
            <w:pPr>
              <w:pStyle w:val="Compact"/>
              <w:jc w:val="left"/>
              <w:spacing w:before="20" w:after="20" w:line="220" w:lineRule="auto"/>
            </w:pPr>
            <w:r>
              <w:rPr>
                <w:sz w:val="15"/>
                <w:szCs w:val="15"/>
              </w:rPr>
              <w:t xml:space="preserve">31.2%</w:t>
            </w:r>
          </w:p>
        </w:tc>
        <w:tc>
          <w:tcPr>
            <w:tcW w:w="1016" w:type="dxa"/>
          </w:tcPr>
          <w:p>
            <w:pPr>
              <w:pStyle w:val="Compact"/>
              <w:jc w:val="left"/>
              <w:spacing w:before="20" w:after="20" w:line="220" w:lineRule="auto"/>
            </w:pPr>
            <w:r>
              <w:rPr>
                <w:sz w:val="15"/>
                <w:szCs w:val="15"/>
              </w:rPr>
              <w:t xml:space="preserve">31.2%</w:t>
            </w:r>
          </w:p>
        </w:tc>
        <w:tc>
          <w:tcPr>
            <w:tcW w:w="1016" w:type="dxa"/>
          </w:tcPr>
          <w:p>
            <w:pPr>
              <w:pStyle w:val="Compact"/>
              <w:jc w:val="left"/>
              <w:spacing w:before="20" w:after="20" w:line="220" w:lineRule="auto"/>
            </w:pPr>
            <w:r>
              <w:rPr>
                <w:sz w:val="15"/>
                <w:szCs w:val="15"/>
              </w:rPr>
              <w:t xml:space="preserve">no</w:t>
            </w:r>
          </w:p>
        </w:tc>
      </w:tr>
      <w:tr>
        <w:tc>
          <w:tcPr>
            <w:tcW w:w="4145" w:type="dxa"/>
          </w:tcPr>
          <w:p>
            <w:pPr>
              <w:pStyle w:val="Compact"/>
              <w:jc w:val="left"/>
              <w:spacing w:before="20" w:after="20" w:line="220" w:lineRule="auto"/>
            </w:pPr>
            <w:r>
              <w:rPr>
                <w:sz w:val="15"/>
                <w:szCs w:val="15"/>
              </w:rPr>
              <w:t xml:space="preserve">Credit Agricole Assurances</w:t>
            </w:r>
          </w:p>
        </w:tc>
        <w:tc>
          <w:tcPr>
            <w:tcW w:w="711" w:type="dxa"/>
          </w:tcPr>
          <w:p>
            <w:pPr>
              <w:pStyle w:val="Compact"/>
              <w:jc w:val="left"/>
              <w:spacing w:before="20" w:after="20" w:line="220" w:lineRule="auto"/>
            </w:pPr>
            <w:r>
              <w:rPr>
                <w:sz w:val="15"/>
                <w:szCs w:val="15"/>
              </w:rPr>
              <w:t xml:space="preserve">EU</w:t>
            </w:r>
          </w:p>
        </w:tc>
        <w:tc>
          <w:tcPr>
            <w:tcW w:w="914" w:type="dxa"/>
          </w:tcPr>
          <w:p>
            <w:pPr>
              <w:pStyle w:val="Compact"/>
              <w:jc w:val="left"/>
              <w:spacing w:before="20" w:after="20" w:line="220" w:lineRule="auto"/>
            </w:pPr>
            <w:r>
              <w:rPr>
                <w:sz w:val="15"/>
                <w:szCs w:val="15"/>
              </w:rPr>
              <w:t xml:space="preserve">composite</w:t>
            </w:r>
          </w:p>
        </w:tc>
        <w:tc>
          <w:tcPr>
            <w:tcW w:w="1341" w:type="dxa"/>
          </w:tcPr>
          <w:p>
            <w:pPr>
              <w:pStyle w:val="Compact"/>
              <w:jc w:val="left"/>
              <w:spacing w:before="20" w:after="20" w:line="220" w:lineRule="auto"/>
            </w:pPr>
            <w:r>
              <w:rPr>
                <w:sz w:val="15"/>
                <w:szCs w:val="15"/>
              </w:rPr>
              <w:t xml:space="preserve">bank captive</w:t>
            </w:r>
          </w:p>
        </w:tc>
        <w:tc>
          <w:tcPr>
            <w:tcW w:w="3596" w:type="dxa"/>
          </w:tcPr>
          <w:p>
            <w:pPr>
              <w:pStyle w:val="Compact"/>
              <w:jc w:val="left"/>
              <w:spacing w:before="20" w:after="20" w:line="220" w:lineRule="auto"/>
            </w:pPr>
            <w:r>
              <w:rPr>
                <w:sz w:val="15"/>
                <w:szCs w:val="15"/>
              </w:rPr>
              <w:t xml:space="preserve">IFRS 17 / premium income KPI</w:t>
            </w:r>
          </w:p>
        </w:tc>
        <w:tc>
          <w:tcPr>
            <w:tcW w:w="1219" w:type="dxa"/>
          </w:tcPr>
          <w:p>
            <w:pPr>
              <w:pStyle w:val="Compact"/>
              <w:jc w:val="left"/>
              <w:spacing w:before="20" w:after="20" w:line="220" w:lineRule="auto"/>
            </w:pPr>
            <w:r>
              <w:rPr>
                <w:sz w:val="15"/>
                <w:szCs w:val="15"/>
              </w:rPr>
              <w:t xml:space="preserve">FY2025 (Dec)</w:t>
            </w:r>
          </w:p>
        </w:tc>
        <w:tc>
          <w:tcPr>
            <w:tcW w:w="609" w:type="dxa"/>
          </w:tcPr>
          <w:p>
            <w:pPr>
              <w:pStyle w:val="Compact"/>
              <w:jc w:val="left"/>
              <w:spacing w:before="20" w:after="20" w:line="220" w:lineRule="auto"/>
            </w:pPr>
            <w:r>
              <w:rPr>
                <w:sz w:val="15"/>
                <w:szCs w:val="15"/>
              </w:rPr>
              <w:t xml:space="preserve">7.9%</w:t>
            </w:r>
          </w:p>
        </w:tc>
        <w:tc>
          <w:tcPr>
            <w:tcW w:w="1016" w:type="dxa"/>
          </w:tcPr>
          <w:p>
            <w:pPr>
              <w:pStyle w:val="Compact"/>
              <w:jc w:val="left"/>
              <w:spacing w:before="20" w:after="20" w:line="220" w:lineRule="auto"/>
            </w:pPr>
            <w:r>
              <w:rPr>
                <w:sz w:val="15"/>
                <w:szCs w:val="15"/>
              </w:rPr>
              <w:t xml:space="preserve">7.9%</w:t>
            </w:r>
          </w:p>
        </w:tc>
        <w:tc>
          <w:tcPr>
            <w:tcW w:w="1016" w:type="dxa"/>
          </w:tcPr>
          <w:p>
            <w:pPr>
              <w:pStyle w:val="Compact"/>
              <w:jc w:val="left"/>
              <w:spacing w:before="20" w:after="20" w:line="220" w:lineRule="auto"/>
            </w:pPr>
            <w:r>
              <w:rPr>
                <w:sz w:val="15"/>
                <w:szCs w:val="15"/>
              </w:rPr>
              <w:t xml:space="preserve">no</w:t>
            </w:r>
          </w:p>
        </w:tc>
      </w:tr>
      <w:tr>
        <w:tc>
          <w:tcPr>
            <w:tcW w:w="4145" w:type="dxa"/>
          </w:tcPr>
          <w:p>
            <w:pPr>
              <w:pStyle w:val="Compact"/>
              <w:jc w:val="left"/>
              <w:spacing w:before="20" w:after="20" w:line="220" w:lineRule="auto"/>
            </w:pPr>
            <w:r>
              <w:rPr>
                <w:sz w:val="15"/>
                <w:szCs w:val="15"/>
              </w:rPr>
              <w:t xml:space="preserve">FirstRand insurance activities (FNB Life, FNB STI)</w:t>
            </w:r>
          </w:p>
        </w:tc>
        <w:tc>
          <w:tcPr>
            <w:tcW w:w="711" w:type="dxa"/>
          </w:tcPr>
          <w:p>
            <w:pPr>
              <w:pStyle w:val="Compact"/>
              <w:jc w:val="left"/>
              <w:spacing w:before="20" w:after="20" w:line="220" w:lineRule="auto"/>
            </w:pPr>
            <w:r>
              <w:rPr>
                <w:sz w:val="15"/>
                <w:szCs w:val="15"/>
              </w:rPr>
              <w:t xml:space="preserve">LB</w:t>
            </w:r>
          </w:p>
        </w:tc>
        <w:tc>
          <w:tcPr>
            <w:tcW w:w="914" w:type="dxa"/>
          </w:tcPr>
          <w:p>
            <w:pPr>
              <w:pStyle w:val="Compact"/>
              <w:jc w:val="left"/>
              <w:spacing w:before="20" w:after="20" w:line="220" w:lineRule="auto"/>
            </w:pPr>
            <w:r>
              <w:rPr>
                <w:sz w:val="15"/>
                <w:szCs w:val="15"/>
              </w:rPr>
              <w:t xml:space="preserve">composite</w:t>
            </w:r>
          </w:p>
        </w:tc>
        <w:tc>
          <w:tcPr>
            <w:tcW w:w="1341" w:type="dxa"/>
          </w:tcPr>
          <w:p>
            <w:pPr>
              <w:pStyle w:val="Compact"/>
              <w:jc w:val="left"/>
              <w:spacing w:before="20" w:after="20" w:line="220" w:lineRule="auto"/>
            </w:pPr>
            <w:r>
              <w:rPr>
                <w:sz w:val="15"/>
                <w:szCs w:val="15"/>
              </w:rPr>
              <w:t xml:space="preserve">bank captive</w:t>
            </w:r>
          </w:p>
        </w:tc>
        <w:tc>
          <w:tcPr>
            <w:tcW w:w="3596" w:type="dxa"/>
          </w:tcPr>
          <w:p>
            <w:pPr>
              <w:pStyle w:val="Compact"/>
              <w:jc w:val="left"/>
              <w:spacing w:before="20" w:after="20" w:line="220" w:lineRule="auto"/>
            </w:pPr>
            <w:r>
              <w:rPr>
                <w:sz w:val="15"/>
                <w:szCs w:val="15"/>
              </w:rPr>
              <w:t xml:space="preserve">IFRS 17 / GWP KPI</w:t>
            </w:r>
          </w:p>
        </w:tc>
        <w:tc>
          <w:tcPr>
            <w:tcW w:w="1219" w:type="dxa"/>
          </w:tcPr>
          <w:p>
            <w:pPr>
              <w:pStyle w:val="Compact"/>
              <w:jc w:val="left"/>
              <w:spacing w:before="20" w:after="20" w:line="220" w:lineRule="auto"/>
            </w:pPr>
            <w:r>
              <w:rPr>
                <w:sz w:val="15"/>
                <w:szCs w:val="15"/>
              </w:rPr>
              <w:t xml:space="preserve">FY2025 (Jun)</w:t>
            </w:r>
          </w:p>
        </w:tc>
        <w:tc>
          <w:tcPr>
            <w:tcW w:w="609" w:type="dxa"/>
          </w:tcPr>
          <w:p>
            <w:pPr>
              <w:pStyle w:val="Compact"/>
              <w:jc w:val="left"/>
              <w:spacing w:before="20" w:after="20" w:line="220" w:lineRule="auto"/>
            </w:pPr>
            <w:r>
              <w:rPr>
                <w:sz w:val="15"/>
                <w:szCs w:val="15"/>
              </w:rPr>
              <w:t xml:space="preserve">5.1%</w:t>
            </w:r>
          </w:p>
        </w:tc>
        <w:tc>
          <w:tcPr>
            <w:tcW w:w="1016" w:type="dxa"/>
          </w:tcPr>
          <w:p>
            <w:pPr>
              <w:pStyle w:val="Compact"/>
              <w:jc w:val="left"/>
              <w:spacing w:before="20" w:after="20" w:line="220" w:lineRule="auto"/>
            </w:pPr>
            <w:r>
              <w:rPr>
                <w:sz w:val="15"/>
                <w:szCs w:val="15"/>
              </w:rPr>
              <w:t xml:space="preserve">5.1%</w:t>
            </w:r>
          </w:p>
        </w:tc>
        <w:tc>
          <w:tcPr>
            <w:tcW w:w="1016" w:type="dxa"/>
          </w:tcPr>
          <w:p>
            <w:pPr>
              <w:pStyle w:val="Compact"/>
              <w:jc w:val="left"/>
              <w:spacing w:before="20" w:after="20" w:line="220" w:lineRule="auto"/>
            </w:pPr>
            <w:r>
              <w:rPr>
                <w:sz w:val="15"/>
                <w:szCs w:val="15"/>
              </w:rPr>
              <w:t xml:space="preserve">yes</w:t>
            </w:r>
          </w:p>
        </w:tc>
      </w:tr>
    </w:tbl>
    <w:bookmarkEnd w:id="26"/>
    <w:bookmarkStart w:id="27" w:name="X2cf64a5777a652b46ca9b1db3ccc2ae4c9488c4"/>
    <w:p>
      <w:pPr>
        <w:pStyle w:val="Heading4"/>
      </w:pPr>
      <w:r>
        <w:t xml:space="preserve">M5: Non-life combined ratio, IFRS 17 proxy: (insurance service expenses + net reinsurance expense) / insurance revenue, before non-attributable expenses</w:t>
      </w:r>
    </w:p>
    <w:tbl>
      <w:tblPr>
        <w:tblStyle w:val="Table"/>
        <w:tblLook w:firstRow="1" w:lastRow="0" w:firstColumn="0" w:lastColumn="0" w:noHBand="0" w:noVBand="0" w:val="0020"/>
        <w:jc w:val="start"/>
        <w:tblW w:w="14567" w:type="dxa"/>
        <w:tblLayout w:type="fixed"/>
      </w:tblPr>
      <w:tblGrid>
        <w:gridCol w:w="4159"/>
        <w:gridCol w:w="822"/>
        <w:gridCol w:w="822"/>
        <w:gridCol w:w="1621"/>
        <w:gridCol w:w="2678"/>
        <w:gridCol w:w="1410"/>
        <w:gridCol w:w="705"/>
        <w:gridCol w:w="1175"/>
        <w:gridCol w:w="1175"/>
      </w:tblGrid>
      <w:tr>
        <w:trPr>
          <w:tblHeader w:val="true"/>
        </w:trPr>
        <w:tc>
          <w:tcPr>
            <w:tcW w:w="4159" w:type="dxa"/>
          </w:tcPr>
          <w:p>
            <w:pPr>
              <w:pStyle w:val="Compact"/>
              <w:jc w:val="left"/>
              <w:spacing w:before="20" w:after="20" w:line="220" w:lineRule="auto"/>
            </w:pPr>
            <w:r>
              <w:rPr>
                <w:sz w:val="15"/>
                <w:szCs w:val="15"/>
              </w:rPr>
              <w:t xml:space="preserve">Entity</w:t>
            </w:r>
          </w:p>
        </w:tc>
        <w:tc>
          <w:tcPr>
            <w:tcW w:w="822" w:type="dxa"/>
          </w:tcPr>
          <w:p>
            <w:pPr>
              <w:pStyle w:val="Compact"/>
              <w:jc w:val="left"/>
              <w:spacing w:before="20" w:after="20" w:line="220" w:lineRule="auto"/>
            </w:pPr>
            <w:r>
              <w:rPr>
                <w:sz w:val="15"/>
                <w:szCs w:val="15"/>
              </w:rPr>
              <w:t xml:space="preserve">Cluster</w:t>
            </w:r>
          </w:p>
        </w:tc>
        <w:tc>
          <w:tcPr>
            <w:tcW w:w="822" w:type="dxa"/>
          </w:tcPr>
          <w:p>
            <w:pPr>
              <w:pStyle w:val="Compact"/>
              <w:jc w:val="left"/>
              <w:spacing w:before="20" w:after="20" w:line="220" w:lineRule="auto"/>
            </w:pPr>
            <w:r>
              <w:rPr>
                <w:sz w:val="15"/>
                <w:szCs w:val="15"/>
              </w:rPr>
              <w:t xml:space="preserve">Mix</w:t>
            </w:r>
          </w:p>
        </w:tc>
        <w:tc>
          <w:tcPr>
            <w:tcW w:w="1621" w:type="dxa"/>
          </w:tcPr>
          <w:p>
            <w:pPr>
              <w:pStyle w:val="Compact"/>
              <w:jc w:val="left"/>
              <w:spacing w:before="20" w:after="20" w:line="220" w:lineRule="auto"/>
            </w:pPr>
            <w:r>
              <w:rPr>
                <w:sz w:val="15"/>
                <w:szCs w:val="15"/>
              </w:rPr>
              <w:t xml:space="preserve">Distribution</w:t>
            </w:r>
          </w:p>
        </w:tc>
        <w:tc>
          <w:tcPr>
            <w:tcW w:w="2678" w:type="dxa"/>
          </w:tcPr>
          <w:p>
            <w:pPr>
              <w:pStyle w:val="Compact"/>
              <w:jc w:val="left"/>
              <w:spacing w:before="20" w:after="20" w:line="220" w:lineRule="auto"/>
            </w:pPr>
            <w:r>
              <w:rPr>
                <w:sz w:val="15"/>
                <w:szCs w:val="15"/>
              </w:rPr>
              <w:t xml:space="preserve">Basis</w:t>
            </w:r>
          </w:p>
        </w:tc>
        <w:tc>
          <w:tcPr>
            <w:tcW w:w="1410" w:type="dxa"/>
          </w:tcPr>
          <w:p>
            <w:pPr>
              <w:pStyle w:val="Compact"/>
              <w:jc w:val="left"/>
              <w:spacing w:before="20" w:after="20" w:line="220" w:lineRule="auto"/>
            </w:pPr>
            <w:r>
              <w:rPr>
                <w:sz w:val="15"/>
                <w:szCs w:val="15"/>
              </w:rPr>
              <w:t xml:space="preserve">Period</w:t>
            </w:r>
          </w:p>
        </w:tc>
        <w:tc>
          <w:tcPr>
            <w:tcW w:w="705" w:type="dxa"/>
          </w:tcPr>
          <w:p>
            <w:pPr>
              <w:pStyle w:val="Compact"/>
              <w:jc w:val="left"/>
              <w:spacing w:before="20" w:after="20" w:line="220" w:lineRule="auto"/>
            </w:pPr>
            <w:r>
              <w:rPr>
                <w:sz w:val="15"/>
                <w:szCs w:val="15"/>
              </w:rPr>
              <w:t xml:space="preserve">Raw</w:t>
            </w:r>
          </w:p>
        </w:tc>
        <w:tc>
          <w:tcPr>
            <w:tcW w:w="1175" w:type="dxa"/>
          </w:tcPr>
          <w:p>
            <w:pPr>
              <w:pStyle w:val="Compact"/>
              <w:jc w:val="left"/>
              <w:spacing w:before="20" w:after="20" w:line="220" w:lineRule="auto"/>
            </w:pPr>
            <w:r>
              <w:rPr>
                <w:sz w:val="15"/>
                <w:szCs w:val="15"/>
              </w:rPr>
              <w:t xml:space="preserve">Normalised</w:t>
            </w:r>
          </w:p>
        </w:tc>
        <w:tc>
          <w:tcPr>
            <w:tcW w:w="1175" w:type="dxa"/>
          </w:tcPr>
          <w:p>
            <w:pPr>
              <w:pStyle w:val="Compact"/>
              <w:jc w:val="left"/>
              <w:spacing w:before="20" w:after="20" w:line="220" w:lineRule="auto"/>
            </w:pPr>
            <w:r>
              <w:rPr>
                <w:sz w:val="15"/>
                <w:szCs w:val="15"/>
              </w:rPr>
              <w:t xml:space="preserve">In medians</w:t>
            </w:r>
          </w:p>
        </w:tc>
      </w:tr>
      <w:tr>
        <w:tc>
          <w:tcPr>
            <w:tcW w:w="4159" w:type="dxa"/>
          </w:tcPr>
          <w:p>
            <w:pPr>
              <w:pStyle w:val="Compact"/>
              <w:jc w:val="left"/>
              <w:spacing w:before="20" w:after="20" w:line="220" w:lineRule="auto"/>
            </w:pPr>
            <w:r>
              <w:rPr>
                <w:sz w:val="15"/>
                <w:szCs w:val="15"/>
              </w:rPr>
              <w:t xml:space="preserve">AFS Non-Life Insurance SA</w:t>
            </w:r>
          </w:p>
        </w:tc>
        <w:tc>
          <w:tcPr>
            <w:tcW w:w="822" w:type="dxa"/>
          </w:tcPr>
          <w:p>
            <w:pPr>
              <w:pStyle w:val="Compact"/>
              <w:jc w:val="left"/>
              <w:spacing w:before="20" w:after="20" w:line="220" w:lineRule="auto"/>
            </w:pPr>
            <w:r>
              <w:rPr>
                <w:sz w:val="15"/>
                <w:szCs w:val="15"/>
              </w:rPr>
              <w:t xml:space="preserve">AFS</w:t>
            </w:r>
          </w:p>
        </w:tc>
        <w:tc>
          <w:tcPr>
            <w:tcW w:w="822" w:type="dxa"/>
          </w:tcPr>
          <w:p>
            <w:pPr>
              <w:pStyle w:val="Compact"/>
              <w:jc w:val="left"/>
              <w:spacing w:before="20" w:after="20" w:line="220" w:lineRule="auto"/>
            </w:pPr>
            <w:r>
              <w:rPr>
                <w:sz w:val="15"/>
                <w:szCs w:val="15"/>
              </w:rPr>
              <w:t xml:space="preserve">nonlife</w:t>
            </w:r>
          </w:p>
        </w:tc>
        <w:tc>
          <w:tcPr>
            <w:tcW w:w="1621" w:type="dxa"/>
          </w:tcPr>
          <w:p>
            <w:pPr>
              <w:pStyle w:val="Compact"/>
              <w:jc w:val="left"/>
              <w:spacing w:before="20" w:after="20" w:line="220" w:lineRule="auto"/>
            </w:pPr>
            <w:r>
              <w:rPr>
                <w:sz w:val="15"/>
                <w:szCs w:val="15"/>
              </w:rPr>
              <w:t xml:space="preserve">bank captive</w:t>
            </w:r>
          </w:p>
        </w:tc>
        <w:tc>
          <w:tcPr>
            <w:tcW w:w="2678" w:type="dxa"/>
          </w:tcPr>
          <w:p>
            <w:pPr>
              <w:pStyle w:val="Compact"/>
              <w:jc w:val="left"/>
              <w:spacing w:before="20" w:after="20" w:line="220" w:lineRule="auto"/>
            </w:pPr>
            <w:r>
              <w:rPr>
                <w:sz w:val="15"/>
                <w:szCs w:val="15"/>
              </w:rPr>
              <w:t xml:space="preserve">IFRS 17</w:t>
            </w:r>
          </w:p>
        </w:tc>
        <w:tc>
          <w:tcPr>
            <w:tcW w:w="1410" w:type="dxa"/>
          </w:tcPr>
          <w:p>
            <w:pPr>
              <w:pStyle w:val="Compact"/>
              <w:jc w:val="left"/>
              <w:spacing w:before="20" w:after="20" w:line="220" w:lineRule="auto"/>
            </w:pPr>
            <w:r>
              <w:rPr>
                <w:sz w:val="15"/>
                <w:szCs w:val="15"/>
              </w:rPr>
              <w:t xml:space="preserve">FY2025 (Dec)</w:t>
            </w:r>
          </w:p>
        </w:tc>
        <w:tc>
          <w:tcPr>
            <w:tcW w:w="705" w:type="dxa"/>
          </w:tcPr>
          <w:p>
            <w:pPr>
              <w:pStyle w:val="Compact"/>
              <w:jc w:val="left"/>
              <w:spacing w:before="20" w:after="20" w:line="220" w:lineRule="auto"/>
            </w:pPr>
            <w:r>
              <w:rPr>
                <w:sz w:val="15"/>
                <w:szCs w:val="15"/>
              </w:rPr>
              <w:t xml:space="preserve">81.5%</w:t>
            </w:r>
          </w:p>
        </w:tc>
        <w:tc>
          <w:tcPr>
            <w:tcW w:w="1175" w:type="dxa"/>
          </w:tcPr>
          <w:p>
            <w:pPr>
              <w:pStyle w:val="Compact"/>
              <w:jc w:val="left"/>
              <w:spacing w:before="20" w:after="20" w:line="220" w:lineRule="auto"/>
            </w:pPr>
            <w:r>
              <w:rPr>
                <w:sz w:val="15"/>
                <w:szCs w:val="15"/>
              </w:rPr>
              <w:t xml:space="preserve">81.5%</w:t>
            </w:r>
          </w:p>
        </w:tc>
        <w:tc>
          <w:tcPr>
            <w:tcW w:w="1175" w:type="dxa"/>
          </w:tcPr>
          <w:p>
            <w:pPr>
              <w:pStyle w:val="Compact"/>
              <w:jc w:val="left"/>
              <w:spacing w:before="20" w:after="20" w:line="220" w:lineRule="auto"/>
            </w:pPr>
            <w:r>
              <w:rPr>
                <w:sz w:val="15"/>
                <w:szCs w:val="15"/>
              </w:rPr>
              <w:t xml:space="preserve">no</w:t>
            </w:r>
          </w:p>
        </w:tc>
      </w:tr>
      <w:tr>
        <w:tc>
          <w:tcPr>
            <w:tcW w:w="4159" w:type="dxa"/>
          </w:tcPr>
          <w:p>
            <w:pPr>
              <w:pStyle w:val="Compact"/>
              <w:jc w:val="left"/>
              <w:spacing w:before="20" w:after="20" w:line="220" w:lineRule="auto"/>
            </w:pPr>
            <w:r>
              <w:rPr>
                <w:sz w:val="15"/>
                <w:szCs w:val="15"/>
              </w:rPr>
              <w:t xml:space="preserve">Discovery Insure</w:t>
            </w:r>
          </w:p>
        </w:tc>
        <w:tc>
          <w:tcPr>
            <w:tcW w:w="822" w:type="dxa"/>
          </w:tcPr>
          <w:p>
            <w:pPr>
              <w:pStyle w:val="Compact"/>
              <w:jc w:val="left"/>
              <w:spacing w:before="20" w:after="20" w:line="220" w:lineRule="auto"/>
            </w:pPr>
            <w:r>
              <w:rPr>
                <w:sz w:val="15"/>
                <w:szCs w:val="15"/>
              </w:rPr>
              <w:t xml:space="preserve">LN</w:t>
            </w:r>
          </w:p>
        </w:tc>
        <w:tc>
          <w:tcPr>
            <w:tcW w:w="822" w:type="dxa"/>
          </w:tcPr>
          <w:p>
            <w:pPr>
              <w:pStyle w:val="Compact"/>
              <w:jc w:val="left"/>
              <w:spacing w:before="20" w:after="20" w:line="220" w:lineRule="auto"/>
            </w:pPr>
            <w:r>
              <w:rPr>
                <w:sz w:val="15"/>
                <w:szCs w:val="15"/>
              </w:rPr>
              <w:t xml:space="preserve">nonlife</w:t>
            </w:r>
          </w:p>
        </w:tc>
        <w:tc>
          <w:tcPr>
            <w:tcW w:w="1621" w:type="dxa"/>
          </w:tcPr>
          <w:p>
            <w:pPr>
              <w:pStyle w:val="Compact"/>
              <w:jc w:val="left"/>
              <w:spacing w:before="20" w:after="20" w:line="220" w:lineRule="auto"/>
            </w:pPr>
            <w:r>
              <w:rPr>
                <w:sz w:val="15"/>
                <w:szCs w:val="15"/>
              </w:rPr>
              <w:t xml:space="preserve">open and direct</w:t>
            </w:r>
          </w:p>
        </w:tc>
        <w:tc>
          <w:tcPr>
            <w:tcW w:w="2678" w:type="dxa"/>
          </w:tcPr>
          <w:p>
            <w:pPr>
              <w:pStyle w:val="Compact"/>
              <w:jc w:val="left"/>
              <w:spacing w:before="20" w:after="20" w:line="220" w:lineRule="auto"/>
            </w:pPr>
            <w:r>
              <w:rPr>
                <w:sz w:val="15"/>
                <w:szCs w:val="15"/>
              </w:rPr>
              <w:t xml:space="preserve">IFRS 17</w:t>
            </w:r>
          </w:p>
        </w:tc>
        <w:tc>
          <w:tcPr>
            <w:tcW w:w="1410" w:type="dxa"/>
          </w:tcPr>
          <w:p>
            <w:pPr>
              <w:pStyle w:val="Compact"/>
              <w:jc w:val="left"/>
              <w:spacing w:before="20" w:after="20" w:line="220" w:lineRule="auto"/>
            </w:pPr>
            <w:r>
              <w:rPr>
                <w:sz w:val="15"/>
                <w:szCs w:val="15"/>
              </w:rPr>
              <w:t xml:space="preserve">FY2026 (Jun)</w:t>
            </w:r>
          </w:p>
        </w:tc>
        <w:tc>
          <w:tcPr>
            <w:tcW w:w="705" w:type="dxa"/>
          </w:tcPr>
          <w:p>
            <w:pPr>
              <w:pStyle w:val="Compact"/>
              <w:jc w:val="left"/>
              <w:spacing w:before="20" w:after="20" w:line="220" w:lineRule="auto"/>
            </w:pPr>
            <w:r>
              <w:rPr>
                <w:sz w:val="15"/>
                <w:szCs w:val="15"/>
              </w:rPr>
              <w:t xml:space="preserve">88.5%</w:t>
            </w:r>
          </w:p>
        </w:tc>
        <w:tc>
          <w:tcPr>
            <w:tcW w:w="1175" w:type="dxa"/>
          </w:tcPr>
          <w:p>
            <w:pPr>
              <w:pStyle w:val="Compact"/>
              <w:jc w:val="left"/>
              <w:spacing w:before="20" w:after="20" w:line="220" w:lineRule="auto"/>
            </w:pPr>
            <w:r>
              <w:rPr>
                <w:sz w:val="15"/>
                <w:szCs w:val="15"/>
              </w:rPr>
              <w:t xml:space="preserve">88.5%</w:t>
            </w:r>
          </w:p>
        </w:tc>
        <w:tc>
          <w:tcPr>
            <w:tcW w:w="1175" w:type="dxa"/>
          </w:tcPr>
          <w:p>
            <w:pPr>
              <w:pStyle w:val="Compact"/>
              <w:jc w:val="left"/>
              <w:spacing w:before="20" w:after="20" w:line="220" w:lineRule="auto"/>
            </w:pPr>
            <w:r>
              <w:rPr>
                <w:sz w:val="15"/>
                <w:szCs w:val="15"/>
              </w:rPr>
              <w:t xml:space="preserve">yes</w:t>
            </w:r>
          </w:p>
        </w:tc>
      </w:tr>
      <w:tr>
        <w:tc>
          <w:tcPr>
            <w:tcW w:w="4159" w:type="dxa"/>
          </w:tcPr>
          <w:p>
            <w:pPr>
              <w:pStyle w:val="Compact"/>
              <w:jc w:val="left"/>
              <w:spacing w:before="20" w:after="20" w:line="220" w:lineRule="auto"/>
            </w:pPr>
            <w:r>
              <w:rPr>
                <w:sz w:val="15"/>
                <w:szCs w:val="15"/>
              </w:rPr>
              <w:t xml:space="preserve">FirstRand short-term insurance (non-life portfolio)</w:t>
            </w:r>
          </w:p>
        </w:tc>
        <w:tc>
          <w:tcPr>
            <w:tcW w:w="822" w:type="dxa"/>
          </w:tcPr>
          <w:p>
            <w:pPr>
              <w:pStyle w:val="Compact"/>
              <w:jc w:val="left"/>
              <w:spacing w:before="20" w:after="20" w:line="220" w:lineRule="auto"/>
            </w:pPr>
            <w:r>
              <w:rPr>
                <w:sz w:val="15"/>
                <w:szCs w:val="15"/>
              </w:rPr>
              <w:t xml:space="preserve">LB</w:t>
            </w:r>
          </w:p>
        </w:tc>
        <w:tc>
          <w:tcPr>
            <w:tcW w:w="822" w:type="dxa"/>
          </w:tcPr>
          <w:p>
            <w:pPr>
              <w:pStyle w:val="Compact"/>
              <w:jc w:val="left"/>
              <w:spacing w:before="20" w:after="20" w:line="220" w:lineRule="auto"/>
            </w:pPr>
            <w:r>
              <w:rPr>
                <w:sz w:val="15"/>
                <w:szCs w:val="15"/>
              </w:rPr>
              <w:t xml:space="preserve">nonlife</w:t>
            </w:r>
          </w:p>
        </w:tc>
        <w:tc>
          <w:tcPr>
            <w:tcW w:w="1621" w:type="dxa"/>
          </w:tcPr>
          <w:p>
            <w:pPr>
              <w:pStyle w:val="Compact"/>
              <w:jc w:val="left"/>
              <w:spacing w:before="20" w:after="20" w:line="220" w:lineRule="auto"/>
            </w:pPr>
            <w:r>
              <w:rPr>
                <w:sz w:val="15"/>
                <w:szCs w:val="15"/>
              </w:rPr>
              <w:t xml:space="preserve">bank captive</w:t>
            </w:r>
          </w:p>
        </w:tc>
        <w:tc>
          <w:tcPr>
            <w:tcW w:w="2678" w:type="dxa"/>
          </w:tcPr>
          <w:p>
            <w:pPr>
              <w:pStyle w:val="Compact"/>
              <w:jc w:val="left"/>
              <w:spacing w:before="20" w:after="20" w:line="220" w:lineRule="auto"/>
            </w:pPr>
            <w:r>
              <w:rPr>
                <w:sz w:val="15"/>
                <w:szCs w:val="15"/>
              </w:rPr>
              <w:t xml:space="preserve">IFRS 17; reinsurance not split</w:t>
            </w:r>
          </w:p>
        </w:tc>
        <w:tc>
          <w:tcPr>
            <w:tcW w:w="1410" w:type="dxa"/>
          </w:tcPr>
          <w:p>
            <w:pPr>
              <w:pStyle w:val="Compact"/>
              <w:jc w:val="left"/>
              <w:spacing w:before="20" w:after="20" w:line="220" w:lineRule="auto"/>
            </w:pPr>
            <w:r>
              <w:rPr>
                <w:sz w:val="15"/>
                <w:szCs w:val="15"/>
              </w:rPr>
              <w:t xml:space="preserve">FY2025 (Jun)</w:t>
            </w:r>
          </w:p>
        </w:tc>
        <w:tc>
          <w:tcPr>
            <w:tcW w:w="705" w:type="dxa"/>
          </w:tcPr>
          <w:p>
            <w:pPr>
              <w:pStyle w:val="Compact"/>
              <w:jc w:val="left"/>
              <w:spacing w:before="20" w:after="20" w:line="220" w:lineRule="auto"/>
            </w:pPr>
            <w:r>
              <w:rPr>
                <w:sz w:val="15"/>
                <w:szCs w:val="15"/>
              </w:rPr>
              <w:t xml:space="preserve">79.1%</w:t>
            </w:r>
          </w:p>
        </w:tc>
        <w:tc>
          <w:tcPr>
            <w:tcW w:w="1175" w:type="dxa"/>
          </w:tcPr>
          <w:p>
            <w:pPr>
              <w:pStyle w:val="Compact"/>
              <w:jc w:val="left"/>
              <w:spacing w:before="20" w:after="20" w:line="220" w:lineRule="auto"/>
            </w:pPr>
            <w:r>
              <w:rPr>
                <w:sz w:val="15"/>
                <w:szCs w:val="15"/>
              </w:rPr>
              <w:t xml:space="preserve">79.1%</w:t>
            </w:r>
          </w:p>
        </w:tc>
        <w:tc>
          <w:tcPr>
            <w:tcW w:w="1175" w:type="dxa"/>
          </w:tcPr>
          <w:p>
            <w:pPr>
              <w:pStyle w:val="Compact"/>
              <w:jc w:val="left"/>
              <w:spacing w:before="20" w:after="20" w:line="220" w:lineRule="auto"/>
            </w:pPr>
            <w:r>
              <w:rPr>
                <w:sz w:val="15"/>
                <w:szCs w:val="15"/>
              </w:rPr>
              <w:t xml:space="preserve">no</w:t>
            </w:r>
          </w:p>
        </w:tc>
      </w:tr>
      <w:tr>
        <w:tc>
          <w:tcPr>
            <w:tcW w:w="4159" w:type="dxa"/>
          </w:tcPr>
          <w:p>
            <w:pPr>
              <w:pStyle w:val="Compact"/>
              <w:jc w:val="left"/>
              <w:spacing w:before="20" w:after="20" w:line="220" w:lineRule="auto"/>
            </w:pPr>
            <w:r>
              <w:rPr>
                <w:sz w:val="15"/>
                <w:szCs w:val="15"/>
              </w:rPr>
              <w:t xml:space="preserve">Hollard Insurance Company</w:t>
            </w:r>
          </w:p>
        </w:tc>
        <w:tc>
          <w:tcPr>
            <w:tcW w:w="822" w:type="dxa"/>
          </w:tcPr>
          <w:p>
            <w:pPr>
              <w:pStyle w:val="Compact"/>
              <w:jc w:val="left"/>
              <w:spacing w:before="20" w:after="20" w:line="220" w:lineRule="auto"/>
            </w:pPr>
            <w:r>
              <w:rPr>
                <w:sz w:val="15"/>
                <w:szCs w:val="15"/>
              </w:rPr>
              <w:t xml:space="preserve">LN</w:t>
            </w:r>
          </w:p>
        </w:tc>
        <w:tc>
          <w:tcPr>
            <w:tcW w:w="822" w:type="dxa"/>
          </w:tcPr>
          <w:p>
            <w:pPr>
              <w:pStyle w:val="Compact"/>
              <w:jc w:val="left"/>
              <w:spacing w:before="20" w:after="20" w:line="220" w:lineRule="auto"/>
            </w:pPr>
            <w:r>
              <w:rPr>
                <w:sz w:val="15"/>
                <w:szCs w:val="15"/>
              </w:rPr>
              <w:t xml:space="preserve">nonlife</w:t>
            </w:r>
          </w:p>
        </w:tc>
        <w:tc>
          <w:tcPr>
            <w:tcW w:w="1621" w:type="dxa"/>
          </w:tcPr>
          <w:p>
            <w:pPr>
              <w:pStyle w:val="Compact"/>
              <w:jc w:val="left"/>
              <w:spacing w:before="20" w:after="20" w:line="220" w:lineRule="auto"/>
            </w:pPr>
            <w:r>
              <w:rPr>
                <w:sz w:val="15"/>
                <w:szCs w:val="15"/>
              </w:rPr>
              <w:t xml:space="preserve">open</w:t>
            </w:r>
          </w:p>
        </w:tc>
        <w:tc>
          <w:tcPr>
            <w:tcW w:w="2678" w:type="dxa"/>
          </w:tcPr>
          <w:p>
            <w:pPr>
              <w:pStyle w:val="Compact"/>
              <w:jc w:val="left"/>
              <w:spacing w:before="20" w:after="20" w:line="220" w:lineRule="auto"/>
            </w:pPr>
            <w:r>
              <w:rPr>
                <w:sz w:val="15"/>
                <w:szCs w:val="15"/>
              </w:rPr>
              <w:t xml:space="preserve">IFRS 17 (KPMG)</w:t>
            </w:r>
          </w:p>
        </w:tc>
        <w:tc>
          <w:tcPr>
            <w:tcW w:w="1410" w:type="dxa"/>
          </w:tcPr>
          <w:p>
            <w:pPr>
              <w:pStyle w:val="Compact"/>
              <w:jc w:val="left"/>
              <w:spacing w:before="20" w:after="20" w:line="220" w:lineRule="auto"/>
            </w:pPr>
            <w:r>
              <w:rPr>
                <w:sz w:val="15"/>
                <w:szCs w:val="15"/>
              </w:rPr>
              <w:t xml:space="preserve">FY2024 (Jun)</w:t>
            </w:r>
          </w:p>
        </w:tc>
        <w:tc>
          <w:tcPr>
            <w:tcW w:w="705" w:type="dxa"/>
          </w:tcPr>
          <w:p>
            <w:pPr>
              <w:pStyle w:val="Compact"/>
              <w:jc w:val="left"/>
              <w:spacing w:before="20" w:after="20" w:line="220" w:lineRule="auto"/>
            </w:pPr>
            <w:r>
              <w:rPr>
                <w:sz w:val="15"/>
                <w:szCs w:val="15"/>
              </w:rPr>
              <w:t xml:space="preserve">93.0%</w:t>
            </w:r>
          </w:p>
        </w:tc>
        <w:tc>
          <w:tcPr>
            <w:tcW w:w="1175" w:type="dxa"/>
          </w:tcPr>
          <w:p>
            <w:pPr>
              <w:pStyle w:val="Compact"/>
              <w:jc w:val="left"/>
              <w:spacing w:before="20" w:after="20" w:line="220" w:lineRule="auto"/>
            </w:pPr>
            <w:r>
              <w:rPr>
                <w:sz w:val="15"/>
                <w:szCs w:val="15"/>
              </w:rPr>
              <w:t xml:space="preserve">93.0%</w:t>
            </w:r>
          </w:p>
        </w:tc>
        <w:tc>
          <w:tcPr>
            <w:tcW w:w="1175" w:type="dxa"/>
          </w:tcPr>
          <w:p>
            <w:pPr>
              <w:pStyle w:val="Compact"/>
              <w:jc w:val="left"/>
              <w:spacing w:before="20" w:after="20" w:line="220" w:lineRule="auto"/>
            </w:pPr>
            <w:r>
              <w:rPr>
                <w:sz w:val="15"/>
                <w:szCs w:val="15"/>
              </w:rPr>
              <w:t xml:space="preserve">yes</w:t>
            </w:r>
          </w:p>
        </w:tc>
      </w:tr>
      <w:tr>
        <w:tc>
          <w:tcPr>
            <w:tcW w:w="4159" w:type="dxa"/>
          </w:tcPr>
          <w:p>
            <w:pPr>
              <w:pStyle w:val="Compact"/>
              <w:jc w:val="left"/>
              <w:spacing w:before="20" w:after="20" w:line="220" w:lineRule="auto"/>
            </w:pPr>
            <w:r>
              <w:rPr>
                <w:sz w:val="15"/>
                <w:szCs w:val="15"/>
              </w:rPr>
              <w:t xml:space="preserve">Nedgroup Insurance Company (Nedbank)</w:t>
            </w:r>
          </w:p>
        </w:tc>
        <w:tc>
          <w:tcPr>
            <w:tcW w:w="822" w:type="dxa"/>
          </w:tcPr>
          <w:p>
            <w:pPr>
              <w:pStyle w:val="Compact"/>
              <w:jc w:val="left"/>
              <w:spacing w:before="20" w:after="20" w:line="220" w:lineRule="auto"/>
            </w:pPr>
            <w:r>
              <w:rPr>
                <w:sz w:val="15"/>
                <w:szCs w:val="15"/>
              </w:rPr>
              <w:t xml:space="preserve">LB</w:t>
            </w:r>
          </w:p>
        </w:tc>
        <w:tc>
          <w:tcPr>
            <w:tcW w:w="822" w:type="dxa"/>
          </w:tcPr>
          <w:p>
            <w:pPr>
              <w:pStyle w:val="Compact"/>
              <w:jc w:val="left"/>
              <w:spacing w:before="20" w:after="20" w:line="220" w:lineRule="auto"/>
            </w:pPr>
            <w:r>
              <w:rPr>
                <w:sz w:val="15"/>
                <w:szCs w:val="15"/>
              </w:rPr>
              <w:t xml:space="preserve">nonlife</w:t>
            </w:r>
          </w:p>
        </w:tc>
        <w:tc>
          <w:tcPr>
            <w:tcW w:w="1621" w:type="dxa"/>
          </w:tcPr>
          <w:p>
            <w:pPr>
              <w:pStyle w:val="Compact"/>
              <w:jc w:val="left"/>
              <w:spacing w:before="20" w:after="20" w:line="220" w:lineRule="auto"/>
            </w:pPr>
            <w:r>
              <w:rPr>
                <w:sz w:val="15"/>
                <w:szCs w:val="15"/>
              </w:rPr>
              <w:t xml:space="preserve">bank captive</w:t>
            </w:r>
          </w:p>
        </w:tc>
        <w:tc>
          <w:tcPr>
            <w:tcW w:w="2678" w:type="dxa"/>
          </w:tcPr>
          <w:p>
            <w:pPr>
              <w:pStyle w:val="Compact"/>
              <w:jc w:val="left"/>
              <w:spacing w:before="20" w:after="20" w:line="220" w:lineRule="auto"/>
            </w:pPr>
            <w:r>
              <w:rPr>
                <w:sz w:val="15"/>
                <w:szCs w:val="15"/>
              </w:rPr>
              <w:t xml:space="preserve">IFRS 17 (KPMG)</w:t>
            </w:r>
          </w:p>
        </w:tc>
        <w:tc>
          <w:tcPr>
            <w:tcW w:w="1410" w:type="dxa"/>
          </w:tcPr>
          <w:p>
            <w:pPr>
              <w:pStyle w:val="Compact"/>
              <w:jc w:val="left"/>
              <w:spacing w:before="20" w:after="20" w:line="220" w:lineRule="auto"/>
            </w:pPr>
            <w:r>
              <w:rPr>
                <w:sz w:val="15"/>
                <w:szCs w:val="15"/>
              </w:rPr>
              <w:t xml:space="preserve">FY2024 (Dec)</w:t>
            </w:r>
          </w:p>
        </w:tc>
        <w:tc>
          <w:tcPr>
            <w:tcW w:w="705" w:type="dxa"/>
          </w:tcPr>
          <w:p>
            <w:pPr>
              <w:pStyle w:val="Compact"/>
              <w:jc w:val="left"/>
              <w:spacing w:before="20" w:after="20" w:line="220" w:lineRule="auto"/>
            </w:pPr>
            <w:r>
              <w:rPr>
                <w:sz w:val="15"/>
                <w:szCs w:val="15"/>
              </w:rPr>
              <w:t xml:space="preserve">94.6%</w:t>
            </w:r>
          </w:p>
        </w:tc>
        <w:tc>
          <w:tcPr>
            <w:tcW w:w="1175" w:type="dxa"/>
          </w:tcPr>
          <w:p>
            <w:pPr>
              <w:pStyle w:val="Compact"/>
              <w:jc w:val="left"/>
              <w:spacing w:before="20" w:after="20" w:line="220" w:lineRule="auto"/>
            </w:pPr>
            <w:r>
              <w:rPr>
                <w:sz w:val="15"/>
                <w:szCs w:val="15"/>
              </w:rPr>
              <w:t xml:space="preserve">94.6%</w:t>
            </w:r>
          </w:p>
        </w:tc>
        <w:tc>
          <w:tcPr>
            <w:tcW w:w="1175" w:type="dxa"/>
          </w:tcPr>
          <w:p>
            <w:pPr>
              <w:pStyle w:val="Compact"/>
              <w:jc w:val="left"/>
              <w:spacing w:before="20" w:after="20" w:line="220" w:lineRule="auto"/>
            </w:pPr>
            <w:r>
              <w:rPr>
                <w:sz w:val="15"/>
                <w:szCs w:val="15"/>
              </w:rPr>
              <w:t xml:space="preserve">yes</w:t>
            </w:r>
          </w:p>
        </w:tc>
      </w:tr>
      <w:tr>
        <w:tc>
          <w:tcPr>
            <w:tcW w:w="4159" w:type="dxa"/>
          </w:tcPr>
          <w:p>
            <w:pPr>
              <w:pStyle w:val="Compact"/>
              <w:jc w:val="left"/>
              <w:spacing w:before="20" w:after="20" w:line="220" w:lineRule="auto"/>
            </w:pPr>
            <w:r>
              <w:rPr>
                <w:sz w:val="15"/>
                <w:szCs w:val="15"/>
              </w:rPr>
              <w:t xml:space="preserve">Old Mutual Insure</w:t>
            </w:r>
          </w:p>
        </w:tc>
        <w:tc>
          <w:tcPr>
            <w:tcW w:w="822" w:type="dxa"/>
          </w:tcPr>
          <w:p>
            <w:pPr>
              <w:pStyle w:val="Compact"/>
              <w:jc w:val="left"/>
              <w:spacing w:before="20" w:after="20" w:line="220" w:lineRule="auto"/>
            </w:pPr>
            <w:r>
              <w:rPr>
                <w:sz w:val="15"/>
                <w:szCs w:val="15"/>
              </w:rPr>
              <w:t xml:space="preserve">LN</w:t>
            </w:r>
          </w:p>
        </w:tc>
        <w:tc>
          <w:tcPr>
            <w:tcW w:w="822" w:type="dxa"/>
          </w:tcPr>
          <w:p>
            <w:pPr>
              <w:pStyle w:val="Compact"/>
              <w:jc w:val="left"/>
              <w:spacing w:before="20" w:after="20" w:line="220" w:lineRule="auto"/>
            </w:pPr>
            <w:r>
              <w:rPr>
                <w:sz w:val="15"/>
                <w:szCs w:val="15"/>
              </w:rPr>
              <w:t xml:space="preserve">nonlife</w:t>
            </w:r>
          </w:p>
        </w:tc>
        <w:tc>
          <w:tcPr>
            <w:tcW w:w="1621" w:type="dxa"/>
          </w:tcPr>
          <w:p>
            <w:pPr>
              <w:pStyle w:val="Compact"/>
              <w:jc w:val="left"/>
              <w:spacing w:before="20" w:after="20" w:line="220" w:lineRule="auto"/>
            </w:pPr>
            <w:r>
              <w:rPr>
                <w:sz w:val="15"/>
                <w:szCs w:val="15"/>
              </w:rPr>
              <w:t xml:space="preserve">open</w:t>
            </w:r>
          </w:p>
        </w:tc>
        <w:tc>
          <w:tcPr>
            <w:tcW w:w="2678" w:type="dxa"/>
          </w:tcPr>
          <w:p>
            <w:pPr>
              <w:pStyle w:val="Compact"/>
              <w:jc w:val="left"/>
              <w:spacing w:before="20" w:after="20" w:line="220" w:lineRule="auto"/>
            </w:pPr>
            <w:r>
              <w:rPr>
                <w:sz w:val="15"/>
                <w:szCs w:val="15"/>
              </w:rPr>
              <w:t xml:space="preserve">IFRS 17</w:t>
            </w:r>
          </w:p>
        </w:tc>
        <w:tc>
          <w:tcPr>
            <w:tcW w:w="1410" w:type="dxa"/>
          </w:tcPr>
          <w:p>
            <w:pPr>
              <w:pStyle w:val="Compact"/>
              <w:jc w:val="left"/>
              <w:spacing w:before="20" w:after="20" w:line="220" w:lineRule="auto"/>
            </w:pPr>
            <w:r>
              <w:rPr>
                <w:sz w:val="15"/>
                <w:szCs w:val="15"/>
              </w:rPr>
              <w:t xml:space="preserve">FY2025 (Dec)</w:t>
            </w:r>
          </w:p>
        </w:tc>
        <w:tc>
          <w:tcPr>
            <w:tcW w:w="705" w:type="dxa"/>
          </w:tcPr>
          <w:p>
            <w:pPr>
              <w:pStyle w:val="Compact"/>
              <w:jc w:val="left"/>
              <w:spacing w:before="20" w:after="20" w:line="220" w:lineRule="auto"/>
            </w:pPr>
            <w:r>
              <w:rPr>
                <w:sz w:val="15"/>
                <w:szCs w:val="15"/>
              </w:rPr>
              <w:t xml:space="preserve">90.5%</w:t>
            </w:r>
          </w:p>
        </w:tc>
        <w:tc>
          <w:tcPr>
            <w:tcW w:w="1175" w:type="dxa"/>
          </w:tcPr>
          <w:p>
            <w:pPr>
              <w:pStyle w:val="Compact"/>
              <w:jc w:val="left"/>
              <w:spacing w:before="20" w:after="20" w:line="220" w:lineRule="auto"/>
            </w:pPr>
            <w:r>
              <w:rPr>
                <w:sz w:val="15"/>
                <w:szCs w:val="15"/>
              </w:rPr>
              <w:t xml:space="preserve">90.5%</w:t>
            </w:r>
          </w:p>
        </w:tc>
        <w:tc>
          <w:tcPr>
            <w:tcW w:w="1175" w:type="dxa"/>
          </w:tcPr>
          <w:p>
            <w:pPr>
              <w:pStyle w:val="Compact"/>
              <w:jc w:val="left"/>
              <w:spacing w:before="20" w:after="20" w:line="220" w:lineRule="auto"/>
            </w:pPr>
            <w:r>
              <w:rPr>
                <w:sz w:val="15"/>
                <w:szCs w:val="15"/>
              </w:rPr>
              <w:t xml:space="preserve">yes</w:t>
            </w:r>
          </w:p>
        </w:tc>
      </w:tr>
      <w:tr>
        <w:tc>
          <w:tcPr>
            <w:tcW w:w="4159" w:type="dxa"/>
          </w:tcPr>
          <w:p>
            <w:pPr>
              <w:pStyle w:val="Compact"/>
              <w:jc w:val="left"/>
              <w:spacing w:before="20" w:after="20" w:line="220" w:lineRule="auto"/>
            </w:pPr>
            <w:r>
              <w:rPr>
                <w:sz w:val="15"/>
                <w:szCs w:val="15"/>
              </w:rPr>
              <w:t xml:space="preserve">Santam Group</w:t>
            </w:r>
          </w:p>
        </w:tc>
        <w:tc>
          <w:tcPr>
            <w:tcW w:w="822" w:type="dxa"/>
          </w:tcPr>
          <w:p>
            <w:pPr>
              <w:pStyle w:val="Compact"/>
              <w:jc w:val="left"/>
              <w:spacing w:before="20" w:after="20" w:line="220" w:lineRule="auto"/>
            </w:pPr>
            <w:r>
              <w:rPr>
                <w:sz w:val="15"/>
                <w:szCs w:val="15"/>
              </w:rPr>
              <w:t xml:space="preserve">LN</w:t>
            </w:r>
          </w:p>
        </w:tc>
        <w:tc>
          <w:tcPr>
            <w:tcW w:w="822" w:type="dxa"/>
          </w:tcPr>
          <w:p>
            <w:pPr>
              <w:pStyle w:val="Compact"/>
              <w:jc w:val="left"/>
              <w:spacing w:before="20" w:after="20" w:line="220" w:lineRule="auto"/>
            </w:pPr>
            <w:r>
              <w:rPr>
                <w:sz w:val="15"/>
                <w:szCs w:val="15"/>
              </w:rPr>
              <w:t xml:space="preserve">nonlife</w:t>
            </w:r>
          </w:p>
        </w:tc>
        <w:tc>
          <w:tcPr>
            <w:tcW w:w="1621" w:type="dxa"/>
          </w:tcPr>
          <w:p>
            <w:pPr>
              <w:pStyle w:val="Compact"/>
              <w:jc w:val="left"/>
              <w:spacing w:before="20" w:after="20" w:line="220" w:lineRule="auto"/>
            </w:pPr>
            <w:r>
              <w:rPr>
                <w:sz w:val="15"/>
                <w:szCs w:val="15"/>
              </w:rPr>
              <w:t xml:space="preserve">open</w:t>
            </w:r>
          </w:p>
        </w:tc>
        <w:tc>
          <w:tcPr>
            <w:tcW w:w="2678" w:type="dxa"/>
          </w:tcPr>
          <w:p>
            <w:pPr>
              <w:pStyle w:val="Compact"/>
              <w:jc w:val="left"/>
              <w:spacing w:before="20" w:after="20" w:line="220" w:lineRule="auto"/>
            </w:pPr>
            <w:r>
              <w:rPr>
                <w:sz w:val="15"/>
                <w:szCs w:val="15"/>
              </w:rPr>
              <w:t xml:space="preserve">IFRS 17</w:t>
            </w:r>
          </w:p>
        </w:tc>
        <w:tc>
          <w:tcPr>
            <w:tcW w:w="1410" w:type="dxa"/>
          </w:tcPr>
          <w:p>
            <w:pPr>
              <w:pStyle w:val="Compact"/>
              <w:jc w:val="left"/>
              <w:spacing w:before="20" w:after="20" w:line="220" w:lineRule="auto"/>
            </w:pPr>
            <w:r>
              <w:rPr>
                <w:sz w:val="15"/>
                <w:szCs w:val="15"/>
              </w:rPr>
              <w:t xml:space="preserve">FY2025 (Dec)</w:t>
            </w:r>
          </w:p>
        </w:tc>
        <w:tc>
          <w:tcPr>
            <w:tcW w:w="705" w:type="dxa"/>
          </w:tcPr>
          <w:p>
            <w:pPr>
              <w:pStyle w:val="Compact"/>
              <w:jc w:val="left"/>
              <w:spacing w:before="20" w:after="20" w:line="220" w:lineRule="auto"/>
            </w:pPr>
            <w:r>
              <w:rPr>
                <w:sz w:val="15"/>
                <w:szCs w:val="15"/>
              </w:rPr>
              <w:t xml:space="preserve">87.4%</w:t>
            </w:r>
          </w:p>
        </w:tc>
        <w:tc>
          <w:tcPr>
            <w:tcW w:w="1175" w:type="dxa"/>
          </w:tcPr>
          <w:p>
            <w:pPr>
              <w:pStyle w:val="Compact"/>
              <w:jc w:val="left"/>
              <w:spacing w:before="20" w:after="20" w:line="220" w:lineRule="auto"/>
            </w:pPr>
            <w:r>
              <w:rPr>
                <w:sz w:val="15"/>
                <w:szCs w:val="15"/>
              </w:rPr>
              <w:t xml:space="preserve">87.4%</w:t>
            </w:r>
          </w:p>
        </w:tc>
        <w:tc>
          <w:tcPr>
            <w:tcW w:w="1175" w:type="dxa"/>
          </w:tcPr>
          <w:p>
            <w:pPr>
              <w:pStyle w:val="Compact"/>
              <w:jc w:val="left"/>
              <w:spacing w:before="20" w:after="20" w:line="220" w:lineRule="auto"/>
            </w:pPr>
            <w:r>
              <w:rPr>
                <w:sz w:val="15"/>
                <w:szCs w:val="15"/>
              </w:rPr>
              <w:t xml:space="preserve">yes</w:t>
            </w:r>
          </w:p>
        </w:tc>
      </w:tr>
      <w:tr>
        <w:tc>
          <w:tcPr>
            <w:tcW w:w="4159" w:type="dxa"/>
          </w:tcPr>
          <w:p>
            <w:pPr>
              <w:pStyle w:val="Compact"/>
              <w:jc w:val="left"/>
              <w:spacing w:before="20" w:after="20" w:line="220" w:lineRule="auto"/>
            </w:pPr>
            <w:r>
              <w:rPr>
                <w:sz w:val="15"/>
                <w:szCs w:val="15"/>
              </w:rPr>
              <w:t xml:space="preserve">Standard Insurance Limited (Standard Bank)</w:t>
            </w:r>
          </w:p>
        </w:tc>
        <w:tc>
          <w:tcPr>
            <w:tcW w:w="822" w:type="dxa"/>
          </w:tcPr>
          <w:p>
            <w:pPr>
              <w:pStyle w:val="Compact"/>
              <w:jc w:val="left"/>
              <w:spacing w:before="20" w:after="20" w:line="220" w:lineRule="auto"/>
            </w:pPr>
            <w:r>
              <w:rPr>
                <w:sz w:val="15"/>
                <w:szCs w:val="15"/>
              </w:rPr>
              <w:t xml:space="preserve">LB</w:t>
            </w:r>
          </w:p>
        </w:tc>
        <w:tc>
          <w:tcPr>
            <w:tcW w:w="822" w:type="dxa"/>
          </w:tcPr>
          <w:p>
            <w:pPr>
              <w:pStyle w:val="Compact"/>
              <w:jc w:val="left"/>
              <w:spacing w:before="20" w:after="20" w:line="220" w:lineRule="auto"/>
            </w:pPr>
            <w:r>
              <w:rPr>
                <w:sz w:val="15"/>
                <w:szCs w:val="15"/>
              </w:rPr>
              <w:t xml:space="preserve">nonlife</w:t>
            </w:r>
          </w:p>
        </w:tc>
        <w:tc>
          <w:tcPr>
            <w:tcW w:w="1621" w:type="dxa"/>
          </w:tcPr>
          <w:p>
            <w:pPr>
              <w:pStyle w:val="Compact"/>
              <w:jc w:val="left"/>
              <w:spacing w:before="20" w:after="20" w:line="220" w:lineRule="auto"/>
            </w:pPr>
            <w:r>
              <w:rPr>
                <w:sz w:val="15"/>
                <w:szCs w:val="15"/>
              </w:rPr>
              <w:t xml:space="preserve">bank captive</w:t>
            </w:r>
          </w:p>
        </w:tc>
        <w:tc>
          <w:tcPr>
            <w:tcW w:w="2678" w:type="dxa"/>
          </w:tcPr>
          <w:p>
            <w:pPr>
              <w:pStyle w:val="Compact"/>
              <w:jc w:val="left"/>
              <w:spacing w:before="20" w:after="20" w:line="220" w:lineRule="auto"/>
            </w:pPr>
            <w:r>
              <w:rPr>
                <w:sz w:val="15"/>
                <w:szCs w:val="15"/>
              </w:rPr>
              <w:t xml:space="preserve">IFRS 17</w:t>
            </w:r>
          </w:p>
        </w:tc>
        <w:tc>
          <w:tcPr>
            <w:tcW w:w="1410" w:type="dxa"/>
          </w:tcPr>
          <w:p>
            <w:pPr>
              <w:pStyle w:val="Compact"/>
              <w:jc w:val="left"/>
              <w:spacing w:before="20" w:after="20" w:line="220" w:lineRule="auto"/>
            </w:pPr>
            <w:r>
              <w:rPr>
                <w:sz w:val="15"/>
                <w:szCs w:val="15"/>
              </w:rPr>
              <w:t xml:space="preserve">FY2025 (Dec)</w:t>
            </w:r>
          </w:p>
        </w:tc>
        <w:tc>
          <w:tcPr>
            <w:tcW w:w="705" w:type="dxa"/>
          </w:tcPr>
          <w:p>
            <w:pPr>
              <w:pStyle w:val="Compact"/>
              <w:jc w:val="left"/>
              <w:spacing w:before="20" w:after="20" w:line="220" w:lineRule="auto"/>
            </w:pPr>
            <w:r>
              <w:rPr>
                <w:sz w:val="15"/>
                <w:szCs w:val="15"/>
              </w:rPr>
              <w:t xml:space="preserve">73.7%</w:t>
            </w:r>
          </w:p>
        </w:tc>
        <w:tc>
          <w:tcPr>
            <w:tcW w:w="1175" w:type="dxa"/>
          </w:tcPr>
          <w:p>
            <w:pPr>
              <w:pStyle w:val="Compact"/>
              <w:jc w:val="left"/>
              <w:spacing w:before="20" w:after="20" w:line="220" w:lineRule="auto"/>
            </w:pPr>
            <w:r>
              <w:rPr>
                <w:sz w:val="15"/>
                <w:szCs w:val="15"/>
              </w:rPr>
              <w:t xml:space="preserve">73.7%</w:t>
            </w:r>
          </w:p>
        </w:tc>
        <w:tc>
          <w:tcPr>
            <w:tcW w:w="1175" w:type="dxa"/>
          </w:tcPr>
          <w:p>
            <w:pPr>
              <w:pStyle w:val="Compact"/>
              <w:jc w:val="left"/>
              <w:spacing w:before="20" w:after="20" w:line="220" w:lineRule="auto"/>
            </w:pPr>
            <w:r>
              <w:rPr>
                <w:sz w:val="15"/>
                <w:szCs w:val="15"/>
              </w:rPr>
              <w:t xml:space="preserve">yes</w:t>
            </w:r>
          </w:p>
        </w:tc>
      </w:tr>
    </w:tbl>
    <w:bookmarkEnd w:id="27"/>
    <w:bookmarkStart w:id="28" w:name="X068631992b561a4b21981a4e6629b6b3c8c3034"/>
    <w:p>
      <w:pPr>
        <w:pStyle w:val="Heading4"/>
      </w:pPr>
      <w:r>
        <w:t xml:space="preserve">M5b: Non-life combined ratio including non-attributable expenses</w:t>
      </w:r>
    </w:p>
    <w:tbl>
      <w:tblPr>
        <w:tblStyle w:val="Table"/>
        <w:tblLook w:firstRow="1" w:lastRow="0" w:firstColumn="0" w:lastColumn="0" w:noHBand="0" w:noVBand="0" w:val="0020"/>
        <w:jc w:val="start"/>
        <w:tblW w:w="14566" w:type="dxa"/>
        <w:tblLayout w:type="fixed"/>
      </w:tblPr>
      <w:tblGrid>
        <w:gridCol w:w="4010"/>
        <w:gridCol w:w="935"/>
        <w:gridCol w:w="935"/>
        <w:gridCol w:w="1844"/>
        <w:gridCol w:w="1764"/>
        <w:gridCol w:w="1604"/>
        <w:gridCol w:w="802"/>
        <w:gridCol w:w="1336"/>
        <w:gridCol w:w="1336"/>
      </w:tblGrid>
      <w:tr>
        <w:trPr>
          <w:tblHeader w:val="true"/>
        </w:trPr>
        <w:tc>
          <w:tcPr>
            <w:tcW w:w="4010" w:type="dxa"/>
          </w:tcPr>
          <w:p>
            <w:pPr>
              <w:pStyle w:val="Compact"/>
              <w:jc w:val="left"/>
              <w:spacing w:before="20" w:after="20" w:line="220" w:lineRule="auto"/>
            </w:pPr>
            <w:r>
              <w:rPr>
                <w:sz w:val="15"/>
                <w:szCs w:val="15"/>
              </w:rPr>
              <w:t xml:space="preserve">Entity</w:t>
            </w:r>
          </w:p>
        </w:tc>
        <w:tc>
          <w:tcPr>
            <w:tcW w:w="935" w:type="dxa"/>
          </w:tcPr>
          <w:p>
            <w:pPr>
              <w:pStyle w:val="Compact"/>
              <w:jc w:val="left"/>
              <w:spacing w:before="20" w:after="20" w:line="220" w:lineRule="auto"/>
            </w:pPr>
            <w:r>
              <w:rPr>
                <w:sz w:val="15"/>
                <w:szCs w:val="15"/>
              </w:rPr>
              <w:t xml:space="preserve">Cluster</w:t>
            </w:r>
          </w:p>
        </w:tc>
        <w:tc>
          <w:tcPr>
            <w:tcW w:w="935" w:type="dxa"/>
          </w:tcPr>
          <w:p>
            <w:pPr>
              <w:pStyle w:val="Compact"/>
              <w:jc w:val="left"/>
              <w:spacing w:before="20" w:after="20" w:line="220" w:lineRule="auto"/>
            </w:pPr>
            <w:r>
              <w:rPr>
                <w:sz w:val="15"/>
                <w:szCs w:val="15"/>
              </w:rPr>
              <w:t xml:space="preserve">Mix</w:t>
            </w:r>
          </w:p>
        </w:tc>
        <w:tc>
          <w:tcPr>
            <w:tcW w:w="1844" w:type="dxa"/>
          </w:tcPr>
          <w:p>
            <w:pPr>
              <w:pStyle w:val="Compact"/>
              <w:jc w:val="left"/>
              <w:spacing w:before="20" w:after="20" w:line="220" w:lineRule="auto"/>
            </w:pPr>
            <w:r>
              <w:rPr>
                <w:sz w:val="15"/>
                <w:szCs w:val="15"/>
              </w:rPr>
              <w:t xml:space="preserve">Distribution</w:t>
            </w:r>
          </w:p>
        </w:tc>
        <w:tc>
          <w:tcPr>
            <w:tcW w:w="1764" w:type="dxa"/>
          </w:tcPr>
          <w:p>
            <w:pPr>
              <w:pStyle w:val="Compact"/>
              <w:jc w:val="left"/>
              <w:spacing w:before="20" w:after="20" w:line="220" w:lineRule="auto"/>
            </w:pPr>
            <w:r>
              <w:rPr>
                <w:sz w:val="15"/>
                <w:szCs w:val="15"/>
              </w:rPr>
              <w:t xml:space="preserve">Basis</w:t>
            </w:r>
          </w:p>
        </w:tc>
        <w:tc>
          <w:tcPr>
            <w:tcW w:w="1604" w:type="dxa"/>
          </w:tcPr>
          <w:p>
            <w:pPr>
              <w:pStyle w:val="Compact"/>
              <w:jc w:val="left"/>
              <w:spacing w:before="20" w:after="20" w:line="220" w:lineRule="auto"/>
            </w:pPr>
            <w:r>
              <w:rPr>
                <w:sz w:val="15"/>
                <w:szCs w:val="15"/>
              </w:rPr>
              <w:t xml:space="preserve">Period</w:t>
            </w:r>
          </w:p>
        </w:tc>
        <w:tc>
          <w:tcPr>
            <w:tcW w:w="802" w:type="dxa"/>
          </w:tcPr>
          <w:p>
            <w:pPr>
              <w:pStyle w:val="Compact"/>
              <w:jc w:val="left"/>
              <w:spacing w:before="20" w:after="20" w:line="220" w:lineRule="auto"/>
            </w:pPr>
            <w:r>
              <w:rPr>
                <w:sz w:val="15"/>
                <w:szCs w:val="15"/>
              </w:rPr>
              <w:t xml:space="preserve">Raw</w:t>
            </w:r>
          </w:p>
        </w:tc>
        <w:tc>
          <w:tcPr>
            <w:tcW w:w="1336" w:type="dxa"/>
          </w:tcPr>
          <w:p>
            <w:pPr>
              <w:pStyle w:val="Compact"/>
              <w:jc w:val="left"/>
              <w:spacing w:before="20" w:after="20" w:line="220" w:lineRule="auto"/>
            </w:pPr>
            <w:r>
              <w:rPr>
                <w:sz w:val="15"/>
                <w:szCs w:val="15"/>
              </w:rPr>
              <w:t xml:space="preserve">Normalised</w:t>
            </w:r>
          </w:p>
        </w:tc>
        <w:tc>
          <w:tcPr>
            <w:tcW w:w="1336" w:type="dxa"/>
          </w:tcPr>
          <w:p>
            <w:pPr>
              <w:pStyle w:val="Compact"/>
              <w:jc w:val="left"/>
              <w:spacing w:before="20" w:after="20" w:line="220" w:lineRule="auto"/>
            </w:pPr>
            <w:r>
              <w:rPr>
                <w:sz w:val="15"/>
                <w:szCs w:val="15"/>
              </w:rPr>
              <w:t xml:space="preserve">In medians</w:t>
            </w:r>
          </w:p>
        </w:tc>
      </w:tr>
      <w:tr>
        <w:tc>
          <w:tcPr>
            <w:tcW w:w="4010" w:type="dxa"/>
          </w:tcPr>
          <w:p>
            <w:pPr>
              <w:pStyle w:val="Compact"/>
              <w:jc w:val="left"/>
              <w:spacing w:before="20" w:after="20" w:line="220" w:lineRule="auto"/>
            </w:pPr>
            <w:r>
              <w:rPr>
                <w:sz w:val="15"/>
                <w:szCs w:val="15"/>
              </w:rPr>
              <w:t xml:space="preserve">AFS Non-Life Insurance SA</w:t>
            </w:r>
          </w:p>
        </w:tc>
        <w:tc>
          <w:tcPr>
            <w:tcW w:w="935" w:type="dxa"/>
          </w:tcPr>
          <w:p>
            <w:pPr>
              <w:pStyle w:val="Compact"/>
              <w:jc w:val="left"/>
              <w:spacing w:before="20" w:after="20" w:line="220" w:lineRule="auto"/>
            </w:pPr>
            <w:r>
              <w:rPr>
                <w:sz w:val="15"/>
                <w:szCs w:val="15"/>
              </w:rPr>
              <w:t xml:space="preserve">AFS</w:t>
            </w:r>
          </w:p>
        </w:tc>
        <w:tc>
          <w:tcPr>
            <w:tcW w:w="935" w:type="dxa"/>
          </w:tcPr>
          <w:p>
            <w:pPr>
              <w:pStyle w:val="Compact"/>
              <w:jc w:val="left"/>
              <w:spacing w:before="20" w:after="20" w:line="220" w:lineRule="auto"/>
            </w:pPr>
            <w:r>
              <w:rPr>
                <w:sz w:val="15"/>
                <w:szCs w:val="15"/>
              </w:rPr>
              <w:t xml:space="preserve">nonlife</w:t>
            </w:r>
          </w:p>
        </w:tc>
        <w:tc>
          <w:tcPr>
            <w:tcW w:w="1844" w:type="dxa"/>
          </w:tcPr>
          <w:p>
            <w:pPr>
              <w:pStyle w:val="Compact"/>
              <w:jc w:val="left"/>
              <w:spacing w:before="20" w:after="20" w:line="220" w:lineRule="auto"/>
            </w:pPr>
            <w:r>
              <w:rPr>
                <w:sz w:val="15"/>
                <w:szCs w:val="15"/>
              </w:rPr>
              <w:t xml:space="preserve">bank captive</w:t>
            </w:r>
          </w:p>
        </w:tc>
        <w:tc>
          <w:tcPr>
            <w:tcW w:w="1764" w:type="dxa"/>
          </w:tcPr>
          <w:p>
            <w:pPr>
              <w:pStyle w:val="Compact"/>
              <w:jc w:val="left"/>
              <w:spacing w:before="20" w:after="20" w:line="220" w:lineRule="auto"/>
            </w:pPr>
            <w:r>
              <w:rPr>
                <w:sz w:val="15"/>
                <w:szCs w:val="15"/>
              </w:rPr>
              <w:t xml:space="preserve">IFRS 17</w:t>
            </w:r>
          </w:p>
        </w:tc>
        <w:tc>
          <w:tcPr>
            <w:tcW w:w="1604" w:type="dxa"/>
          </w:tcPr>
          <w:p>
            <w:pPr>
              <w:pStyle w:val="Compact"/>
              <w:jc w:val="left"/>
              <w:spacing w:before="20" w:after="20" w:line="220" w:lineRule="auto"/>
            </w:pPr>
            <w:r>
              <w:rPr>
                <w:sz w:val="15"/>
                <w:szCs w:val="15"/>
              </w:rPr>
              <w:t xml:space="preserve">FY2025 (Dec)</w:t>
            </w:r>
          </w:p>
        </w:tc>
        <w:tc>
          <w:tcPr>
            <w:tcW w:w="802" w:type="dxa"/>
          </w:tcPr>
          <w:p>
            <w:pPr>
              <w:pStyle w:val="Compact"/>
              <w:jc w:val="left"/>
              <w:spacing w:before="20" w:after="20" w:line="220" w:lineRule="auto"/>
            </w:pPr>
            <w:r>
              <w:rPr>
                <w:sz w:val="15"/>
                <w:szCs w:val="15"/>
              </w:rPr>
              <w:t xml:space="preserve">93.8%</w:t>
            </w:r>
          </w:p>
        </w:tc>
        <w:tc>
          <w:tcPr>
            <w:tcW w:w="1336" w:type="dxa"/>
          </w:tcPr>
          <w:p>
            <w:pPr>
              <w:pStyle w:val="Compact"/>
              <w:jc w:val="left"/>
              <w:spacing w:before="20" w:after="20" w:line="220" w:lineRule="auto"/>
            </w:pPr>
            <w:r>
              <w:rPr>
                <w:sz w:val="15"/>
                <w:szCs w:val="15"/>
              </w:rPr>
              <w:t xml:space="preserve">93.8%</w:t>
            </w:r>
          </w:p>
        </w:tc>
        <w:tc>
          <w:tcPr>
            <w:tcW w:w="1336" w:type="dxa"/>
          </w:tcPr>
          <w:p>
            <w:pPr>
              <w:pStyle w:val="Compact"/>
              <w:jc w:val="left"/>
              <w:spacing w:before="20" w:after="20" w:line="220" w:lineRule="auto"/>
            </w:pPr>
            <w:r>
              <w:rPr>
                <w:sz w:val="15"/>
                <w:szCs w:val="15"/>
              </w:rPr>
              <w:t xml:space="preserve">no</w:t>
            </w:r>
          </w:p>
        </w:tc>
      </w:tr>
      <w:tr>
        <w:tc>
          <w:tcPr>
            <w:tcW w:w="4010" w:type="dxa"/>
          </w:tcPr>
          <w:p>
            <w:pPr>
              <w:pStyle w:val="Compact"/>
              <w:jc w:val="left"/>
              <w:spacing w:before="20" w:after="20" w:line="220" w:lineRule="auto"/>
            </w:pPr>
            <w:r>
              <w:rPr>
                <w:sz w:val="15"/>
                <w:szCs w:val="15"/>
              </w:rPr>
              <w:t xml:space="preserve">Discovery Insure</w:t>
            </w:r>
          </w:p>
        </w:tc>
        <w:tc>
          <w:tcPr>
            <w:tcW w:w="935" w:type="dxa"/>
          </w:tcPr>
          <w:p>
            <w:pPr>
              <w:pStyle w:val="Compact"/>
              <w:jc w:val="left"/>
              <w:spacing w:before="20" w:after="20" w:line="220" w:lineRule="auto"/>
            </w:pPr>
            <w:r>
              <w:rPr>
                <w:sz w:val="15"/>
                <w:szCs w:val="15"/>
              </w:rPr>
              <w:t xml:space="preserve">LN</w:t>
            </w:r>
          </w:p>
        </w:tc>
        <w:tc>
          <w:tcPr>
            <w:tcW w:w="935" w:type="dxa"/>
          </w:tcPr>
          <w:p>
            <w:pPr>
              <w:pStyle w:val="Compact"/>
              <w:jc w:val="left"/>
              <w:spacing w:before="20" w:after="20" w:line="220" w:lineRule="auto"/>
            </w:pPr>
            <w:r>
              <w:rPr>
                <w:sz w:val="15"/>
                <w:szCs w:val="15"/>
              </w:rPr>
              <w:t xml:space="preserve">nonlife</w:t>
            </w:r>
          </w:p>
        </w:tc>
        <w:tc>
          <w:tcPr>
            <w:tcW w:w="1844" w:type="dxa"/>
          </w:tcPr>
          <w:p>
            <w:pPr>
              <w:pStyle w:val="Compact"/>
              <w:jc w:val="left"/>
              <w:spacing w:before="20" w:after="20" w:line="220" w:lineRule="auto"/>
            </w:pPr>
            <w:r>
              <w:rPr>
                <w:sz w:val="15"/>
                <w:szCs w:val="15"/>
              </w:rPr>
              <w:t xml:space="preserve">open and direct</w:t>
            </w:r>
          </w:p>
        </w:tc>
        <w:tc>
          <w:tcPr>
            <w:tcW w:w="1764" w:type="dxa"/>
          </w:tcPr>
          <w:p>
            <w:pPr>
              <w:pStyle w:val="Compact"/>
              <w:jc w:val="left"/>
              <w:spacing w:before="20" w:after="20" w:line="220" w:lineRule="auto"/>
            </w:pPr>
            <w:r>
              <w:rPr>
                <w:sz w:val="15"/>
                <w:szCs w:val="15"/>
              </w:rPr>
              <w:t xml:space="preserve">IFRS 17</w:t>
            </w:r>
          </w:p>
        </w:tc>
        <w:tc>
          <w:tcPr>
            <w:tcW w:w="1604" w:type="dxa"/>
          </w:tcPr>
          <w:p>
            <w:pPr>
              <w:pStyle w:val="Compact"/>
              <w:jc w:val="left"/>
              <w:spacing w:before="20" w:after="20" w:line="220" w:lineRule="auto"/>
            </w:pPr>
            <w:r>
              <w:rPr>
                <w:sz w:val="15"/>
                <w:szCs w:val="15"/>
              </w:rPr>
              <w:t xml:space="preserve">FY2026 (Jun)</w:t>
            </w:r>
          </w:p>
        </w:tc>
        <w:tc>
          <w:tcPr>
            <w:tcW w:w="802" w:type="dxa"/>
          </w:tcPr>
          <w:p>
            <w:pPr>
              <w:pStyle w:val="Compact"/>
              <w:jc w:val="left"/>
              <w:spacing w:before="20" w:after="20" w:line="220" w:lineRule="auto"/>
            </w:pPr>
            <w:r>
              <w:rPr>
                <w:sz w:val="15"/>
                <w:szCs w:val="15"/>
              </w:rPr>
              <w:t xml:space="preserve">91.1%</w:t>
            </w:r>
          </w:p>
        </w:tc>
        <w:tc>
          <w:tcPr>
            <w:tcW w:w="1336" w:type="dxa"/>
          </w:tcPr>
          <w:p>
            <w:pPr>
              <w:pStyle w:val="Compact"/>
              <w:jc w:val="left"/>
              <w:spacing w:before="20" w:after="20" w:line="220" w:lineRule="auto"/>
            </w:pPr>
            <w:r>
              <w:rPr>
                <w:sz w:val="15"/>
                <w:szCs w:val="15"/>
              </w:rPr>
              <w:t xml:space="preserve">91.1%</w:t>
            </w:r>
          </w:p>
        </w:tc>
        <w:tc>
          <w:tcPr>
            <w:tcW w:w="1336" w:type="dxa"/>
          </w:tcPr>
          <w:p>
            <w:pPr>
              <w:pStyle w:val="Compact"/>
              <w:jc w:val="left"/>
              <w:spacing w:before="20" w:after="20" w:line="220" w:lineRule="auto"/>
            </w:pPr>
            <w:r>
              <w:rPr>
                <w:sz w:val="15"/>
                <w:szCs w:val="15"/>
              </w:rPr>
              <w:t xml:space="preserve">yes</w:t>
            </w:r>
          </w:p>
        </w:tc>
      </w:tr>
      <w:tr>
        <w:tc>
          <w:tcPr>
            <w:tcW w:w="4010" w:type="dxa"/>
          </w:tcPr>
          <w:p>
            <w:pPr>
              <w:pStyle w:val="Compact"/>
              <w:jc w:val="left"/>
              <w:spacing w:before="20" w:after="20" w:line="220" w:lineRule="auto"/>
            </w:pPr>
            <w:r>
              <w:rPr>
                <w:sz w:val="15"/>
                <w:szCs w:val="15"/>
              </w:rPr>
              <w:t xml:space="preserve">Hollard Insurance Company</w:t>
            </w:r>
          </w:p>
        </w:tc>
        <w:tc>
          <w:tcPr>
            <w:tcW w:w="935" w:type="dxa"/>
          </w:tcPr>
          <w:p>
            <w:pPr>
              <w:pStyle w:val="Compact"/>
              <w:jc w:val="left"/>
              <w:spacing w:before="20" w:after="20" w:line="220" w:lineRule="auto"/>
            </w:pPr>
            <w:r>
              <w:rPr>
                <w:sz w:val="15"/>
                <w:szCs w:val="15"/>
              </w:rPr>
              <w:t xml:space="preserve">LN</w:t>
            </w:r>
          </w:p>
        </w:tc>
        <w:tc>
          <w:tcPr>
            <w:tcW w:w="935" w:type="dxa"/>
          </w:tcPr>
          <w:p>
            <w:pPr>
              <w:pStyle w:val="Compact"/>
              <w:jc w:val="left"/>
              <w:spacing w:before="20" w:after="20" w:line="220" w:lineRule="auto"/>
            </w:pPr>
            <w:r>
              <w:rPr>
                <w:sz w:val="15"/>
                <w:szCs w:val="15"/>
              </w:rPr>
              <w:t xml:space="preserve">nonlife</w:t>
            </w:r>
          </w:p>
        </w:tc>
        <w:tc>
          <w:tcPr>
            <w:tcW w:w="1844" w:type="dxa"/>
          </w:tcPr>
          <w:p>
            <w:pPr>
              <w:pStyle w:val="Compact"/>
              <w:jc w:val="left"/>
              <w:spacing w:before="20" w:after="20" w:line="220" w:lineRule="auto"/>
            </w:pPr>
            <w:r>
              <w:rPr>
                <w:sz w:val="15"/>
                <w:szCs w:val="15"/>
              </w:rPr>
              <w:t xml:space="preserve">open</w:t>
            </w:r>
          </w:p>
        </w:tc>
        <w:tc>
          <w:tcPr>
            <w:tcW w:w="1764" w:type="dxa"/>
          </w:tcPr>
          <w:p>
            <w:pPr>
              <w:pStyle w:val="Compact"/>
              <w:jc w:val="left"/>
              <w:spacing w:before="20" w:after="20" w:line="220" w:lineRule="auto"/>
            </w:pPr>
            <w:r>
              <w:rPr>
                <w:sz w:val="15"/>
                <w:szCs w:val="15"/>
              </w:rPr>
              <w:t xml:space="preserve">IFRS 17 (KPMG)</w:t>
            </w:r>
          </w:p>
        </w:tc>
        <w:tc>
          <w:tcPr>
            <w:tcW w:w="1604" w:type="dxa"/>
          </w:tcPr>
          <w:p>
            <w:pPr>
              <w:pStyle w:val="Compact"/>
              <w:jc w:val="left"/>
              <w:spacing w:before="20" w:after="20" w:line="220" w:lineRule="auto"/>
            </w:pPr>
            <w:r>
              <w:rPr>
                <w:sz w:val="15"/>
                <w:szCs w:val="15"/>
              </w:rPr>
              <w:t xml:space="preserve">FY2024 (Jun)</w:t>
            </w:r>
          </w:p>
        </w:tc>
        <w:tc>
          <w:tcPr>
            <w:tcW w:w="802" w:type="dxa"/>
          </w:tcPr>
          <w:p>
            <w:pPr>
              <w:pStyle w:val="Compact"/>
              <w:jc w:val="left"/>
              <w:spacing w:before="20" w:after="20" w:line="220" w:lineRule="auto"/>
            </w:pPr>
            <w:r>
              <w:rPr>
                <w:sz w:val="15"/>
                <w:szCs w:val="15"/>
              </w:rPr>
              <w:t xml:space="preserve">99.9%</w:t>
            </w:r>
          </w:p>
        </w:tc>
        <w:tc>
          <w:tcPr>
            <w:tcW w:w="1336" w:type="dxa"/>
          </w:tcPr>
          <w:p>
            <w:pPr>
              <w:pStyle w:val="Compact"/>
              <w:jc w:val="left"/>
              <w:spacing w:before="20" w:after="20" w:line="220" w:lineRule="auto"/>
            </w:pPr>
            <w:r>
              <w:rPr>
                <w:sz w:val="15"/>
                <w:szCs w:val="15"/>
              </w:rPr>
              <w:t xml:space="preserve">99.9%</w:t>
            </w:r>
          </w:p>
        </w:tc>
        <w:tc>
          <w:tcPr>
            <w:tcW w:w="1336" w:type="dxa"/>
          </w:tcPr>
          <w:p>
            <w:pPr>
              <w:pStyle w:val="Compact"/>
              <w:jc w:val="left"/>
              <w:spacing w:before="20" w:after="20" w:line="220" w:lineRule="auto"/>
            </w:pPr>
            <w:r>
              <w:rPr>
                <w:sz w:val="15"/>
                <w:szCs w:val="15"/>
              </w:rPr>
              <w:t xml:space="preserve">yes</w:t>
            </w:r>
          </w:p>
        </w:tc>
      </w:tr>
      <w:tr>
        <w:tc>
          <w:tcPr>
            <w:tcW w:w="4010" w:type="dxa"/>
          </w:tcPr>
          <w:p>
            <w:pPr>
              <w:pStyle w:val="Compact"/>
              <w:jc w:val="left"/>
              <w:spacing w:before="20" w:after="20" w:line="220" w:lineRule="auto"/>
            </w:pPr>
            <w:r>
              <w:rPr>
                <w:sz w:val="15"/>
                <w:szCs w:val="15"/>
              </w:rPr>
              <w:t xml:space="preserve">Nedgroup Insurance Company (Nedbank)</w:t>
            </w:r>
          </w:p>
        </w:tc>
        <w:tc>
          <w:tcPr>
            <w:tcW w:w="935" w:type="dxa"/>
          </w:tcPr>
          <w:p>
            <w:pPr>
              <w:pStyle w:val="Compact"/>
              <w:jc w:val="left"/>
              <w:spacing w:before="20" w:after="20" w:line="220" w:lineRule="auto"/>
            </w:pPr>
            <w:r>
              <w:rPr>
                <w:sz w:val="15"/>
                <w:szCs w:val="15"/>
              </w:rPr>
              <w:t xml:space="preserve">LB</w:t>
            </w:r>
          </w:p>
        </w:tc>
        <w:tc>
          <w:tcPr>
            <w:tcW w:w="935" w:type="dxa"/>
          </w:tcPr>
          <w:p>
            <w:pPr>
              <w:pStyle w:val="Compact"/>
              <w:jc w:val="left"/>
              <w:spacing w:before="20" w:after="20" w:line="220" w:lineRule="auto"/>
            </w:pPr>
            <w:r>
              <w:rPr>
                <w:sz w:val="15"/>
                <w:szCs w:val="15"/>
              </w:rPr>
              <w:t xml:space="preserve">nonlife</w:t>
            </w:r>
          </w:p>
        </w:tc>
        <w:tc>
          <w:tcPr>
            <w:tcW w:w="1844" w:type="dxa"/>
          </w:tcPr>
          <w:p>
            <w:pPr>
              <w:pStyle w:val="Compact"/>
              <w:jc w:val="left"/>
              <w:spacing w:before="20" w:after="20" w:line="220" w:lineRule="auto"/>
            </w:pPr>
            <w:r>
              <w:rPr>
                <w:sz w:val="15"/>
                <w:szCs w:val="15"/>
              </w:rPr>
              <w:t xml:space="preserve">bank captive</w:t>
            </w:r>
          </w:p>
        </w:tc>
        <w:tc>
          <w:tcPr>
            <w:tcW w:w="1764" w:type="dxa"/>
          </w:tcPr>
          <w:p>
            <w:pPr>
              <w:pStyle w:val="Compact"/>
              <w:jc w:val="left"/>
              <w:spacing w:before="20" w:after="20" w:line="220" w:lineRule="auto"/>
            </w:pPr>
            <w:r>
              <w:rPr>
                <w:sz w:val="15"/>
                <w:szCs w:val="15"/>
              </w:rPr>
              <w:t xml:space="preserve">IFRS 17 (KPMG)</w:t>
            </w:r>
          </w:p>
        </w:tc>
        <w:tc>
          <w:tcPr>
            <w:tcW w:w="1604" w:type="dxa"/>
          </w:tcPr>
          <w:p>
            <w:pPr>
              <w:pStyle w:val="Compact"/>
              <w:jc w:val="left"/>
              <w:spacing w:before="20" w:after="20" w:line="220" w:lineRule="auto"/>
            </w:pPr>
            <w:r>
              <w:rPr>
                <w:sz w:val="15"/>
                <w:szCs w:val="15"/>
              </w:rPr>
              <w:t xml:space="preserve">FY2024 (Dec)</w:t>
            </w:r>
          </w:p>
        </w:tc>
        <w:tc>
          <w:tcPr>
            <w:tcW w:w="802" w:type="dxa"/>
          </w:tcPr>
          <w:p>
            <w:pPr>
              <w:pStyle w:val="Compact"/>
              <w:jc w:val="left"/>
              <w:spacing w:before="20" w:after="20" w:line="220" w:lineRule="auto"/>
            </w:pPr>
            <w:r>
              <w:rPr>
                <w:sz w:val="15"/>
                <w:szCs w:val="15"/>
              </w:rPr>
              <w:t xml:space="preserve">96.3%</w:t>
            </w:r>
          </w:p>
        </w:tc>
        <w:tc>
          <w:tcPr>
            <w:tcW w:w="1336" w:type="dxa"/>
          </w:tcPr>
          <w:p>
            <w:pPr>
              <w:pStyle w:val="Compact"/>
              <w:jc w:val="left"/>
              <w:spacing w:before="20" w:after="20" w:line="220" w:lineRule="auto"/>
            </w:pPr>
            <w:r>
              <w:rPr>
                <w:sz w:val="15"/>
                <w:szCs w:val="15"/>
              </w:rPr>
              <w:t xml:space="preserve">96.3%</w:t>
            </w:r>
          </w:p>
        </w:tc>
        <w:tc>
          <w:tcPr>
            <w:tcW w:w="1336" w:type="dxa"/>
          </w:tcPr>
          <w:p>
            <w:pPr>
              <w:pStyle w:val="Compact"/>
              <w:jc w:val="left"/>
              <w:spacing w:before="20" w:after="20" w:line="220" w:lineRule="auto"/>
            </w:pPr>
            <w:r>
              <w:rPr>
                <w:sz w:val="15"/>
                <w:szCs w:val="15"/>
              </w:rPr>
              <w:t xml:space="preserve">yes</w:t>
            </w:r>
          </w:p>
        </w:tc>
      </w:tr>
      <w:tr>
        <w:tc>
          <w:tcPr>
            <w:tcW w:w="4010" w:type="dxa"/>
          </w:tcPr>
          <w:p>
            <w:pPr>
              <w:pStyle w:val="Compact"/>
              <w:jc w:val="left"/>
              <w:spacing w:before="20" w:after="20" w:line="220" w:lineRule="auto"/>
            </w:pPr>
            <w:r>
              <w:rPr>
                <w:sz w:val="15"/>
                <w:szCs w:val="15"/>
              </w:rPr>
              <w:t xml:space="preserve">Old Mutual Insure</w:t>
            </w:r>
          </w:p>
        </w:tc>
        <w:tc>
          <w:tcPr>
            <w:tcW w:w="935" w:type="dxa"/>
          </w:tcPr>
          <w:p>
            <w:pPr>
              <w:pStyle w:val="Compact"/>
              <w:jc w:val="left"/>
              <w:spacing w:before="20" w:after="20" w:line="220" w:lineRule="auto"/>
            </w:pPr>
            <w:r>
              <w:rPr>
                <w:sz w:val="15"/>
                <w:szCs w:val="15"/>
              </w:rPr>
              <w:t xml:space="preserve">LN</w:t>
            </w:r>
          </w:p>
        </w:tc>
        <w:tc>
          <w:tcPr>
            <w:tcW w:w="935" w:type="dxa"/>
          </w:tcPr>
          <w:p>
            <w:pPr>
              <w:pStyle w:val="Compact"/>
              <w:jc w:val="left"/>
              <w:spacing w:before="20" w:after="20" w:line="220" w:lineRule="auto"/>
            </w:pPr>
            <w:r>
              <w:rPr>
                <w:sz w:val="15"/>
                <w:szCs w:val="15"/>
              </w:rPr>
              <w:t xml:space="preserve">nonlife</w:t>
            </w:r>
          </w:p>
        </w:tc>
        <w:tc>
          <w:tcPr>
            <w:tcW w:w="1844" w:type="dxa"/>
          </w:tcPr>
          <w:p>
            <w:pPr>
              <w:pStyle w:val="Compact"/>
              <w:jc w:val="left"/>
              <w:spacing w:before="20" w:after="20" w:line="220" w:lineRule="auto"/>
            </w:pPr>
            <w:r>
              <w:rPr>
                <w:sz w:val="15"/>
                <w:szCs w:val="15"/>
              </w:rPr>
              <w:t xml:space="preserve">open</w:t>
            </w:r>
          </w:p>
        </w:tc>
        <w:tc>
          <w:tcPr>
            <w:tcW w:w="1764" w:type="dxa"/>
          </w:tcPr>
          <w:p>
            <w:pPr>
              <w:pStyle w:val="Compact"/>
              <w:jc w:val="left"/>
              <w:spacing w:before="20" w:after="20" w:line="220" w:lineRule="auto"/>
            </w:pPr>
            <w:r>
              <w:rPr>
                <w:sz w:val="15"/>
                <w:szCs w:val="15"/>
              </w:rPr>
              <w:t xml:space="preserve">IFRS 17</w:t>
            </w:r>
          </w:p>
        </w:tc>
        <w:tc>
          <w:tcPr>
            <w:tcW w:w="1604" w:type="dxa"/>
          </w:tcPr>
          <w:p>
            <w:pPr>
              <w:pStyle w:val="Compact"/>
              <w:jc w:val="left"/>
              <w:spacing w:before="20" w:after="20" w:line="220" w:lineRule="auto"/>
            </w:pPr>
            <w:r>
              <w:rPr>
                <w:sz w:val="15"/>
                <w:szCs w:val="15"/>
              </w:rPr>
              <w:t xml:space="preserve">FY2025 (Dec)</w:t>
            </w:r>
          </w:p>
        </w:tc>
        <w:tc>
          <w:tcPr>
            <w:tcW w:w="802" w:type="dxa"/>
          </w:tcPr>
          <w:p>
            <w:pPr>
              <w:pStyle w:val="Compact"/>
              <w:jc w:val="left"/>
              <w:spacing w:before="20" w:after="20" w:line="220" w:lineRule="auto"/>
            </w:pPr>
            <w:r>
              <w:rPr>
                <w:sz w:val="15"/>
                <w:szCs w:val="15"/>
              </w:rPr>
              <w:t xml:space="preserve">94.8%</w:t>
            </w:r>
          </w:p>
        </w:tc>
        <w:tc>
          <w:tcPr>
            <w:tcW w:w="1336" w:type="dxa"/>
          </w:tcPr>
          <w:p>
            <w:pPr>
              <w:pStyle w:val="Compact"/>
              <w:jc w:val="left"/>
              <w:spacing w:before="20" w:after="20" w:line="220" w:lineRule="auto"/>
            </w:pPr>
            <w:r>
              <w:rPr>
                <w:sz w:val="15"/>
                <w:szCs w:val="15"/>
              </w:rPr>
              <w:t xml:space="preserve">94.8%</w:t>
            </w:r>
          </w:p>
        </w:tc>
        <w:tc>
          <w:tcPr>
            <w:tcW w:w="1336" w:type="dxa"/>
          </w:tcPr>
          <w:p>
            <w:pPr>
              <w:pStyle w:val="Compact"/>
              <w:jc w:val="left"/>
              <w:spacing w:before="20" w:after="20" w:line="220" w:lineRule="auto"/>
            </w:pPr>
            <w:r>
              <w:rPr>
                <w:sz w:val="15"/>
                <w:szCs w:val="15"/>
              </w:rPr>
              <w:t xml:space="preserve">yes</w:t>
            </w:r>
          </w:p>
        </w:tc>
      </w:tr>
      <w:tr>
        <w:tc>
          <w:tcPr>
            <w:tcW w:w="4010" w:type="dxa"/>
          </w:tcPr>
          <w:p>
            <w:pPr>
              <w:pStyle w:val="Compact"/>
              <w:jc w:val="left"/>
              <w:spacing w:before="20" w:after="20" w:line="220" w:lineRule="auto"/>
            </w:pPr>
            <w:r>
              <w:rPr>
                <w:sz w:val="15"/>
                <w:szCs w:val="15"/>
              </w:rPr>
              <w:t xml:space="preserve">Santam Group</w:t>
            </w:r>
          </w:p>
        </w:tc>
        <w:tc>
          <w:tcPr>
            <w:tcW w:w="935" w:type="dxa"/>
          </w:tcPr>
          <w:p>
            <w:pPr>
              <w:pStyle w:val="Compact"/>
              <w:jc w:val="left"/>
              <w:spacing w:before="20" w:after="20" w:line="220" w:lineRule="auto"/>
            </w:pPr>
            <w:r>
              <w:rPr>
                <w:sz w:val="15"/>
                <w:szCs w:val="15"/>
              </w:rPr>
              <w:t xml:space="preserve">LN</w:t>
            </w:r>
          </w:p>
        </w:tc>
        <w:tc>
          <w:tcPr>
            <w:tcW w:w="935" w:type="dxa"/>
          </w:tcPr>
          <w:p>
            <w:pPr>
              <w:pStyle w:val="Compact"/>
              <w:jc w:val="left"/>
              <w:spacing w:before="20" w:after="20" w:line="220" w:lineRule="auto"/>
            </w:pPr>
            <w:r>
              <w:rPr>
                <w:sz w:val="15"/>
                <w:szCs w:val="15"/>
              </w:rPr>
              <w:t xml:space="preserve">nonlife</w:t>
            </w:r>
          </w:p>
        </w:tc>
        <w:tc>
          <w:tcPr>
            <w:tcW w:w="1844" w:type="dxa"/>
          </w:tcPr>
          <w:p>
            <w:pPr>
              <w:pStyle w:val="Compact"/>
              <w:jc w:val="left"/>
              <w:spacing w:before="20" w:after="20" w:line="220" w:lineRule="auto"/>
            </w:pPr>
            <w:r>
              <w:rPr>
                <w:sz w:val="15"/>
                <w:szCs w:val="15"/>
              </w:rPr>
              <w:t xml:space="preserve">open</w:t>
            </w:r>
          </w:p>
        </w:tc>
        <w:tc>
          <w:tcPr>
            <w:tcW w:w="1764" w:type="dxa"/>
          </w:tcPr>
          <w:p>
            <w:pPr>
              <w:pStyle w:val="Compact"/>
              <w:jc w:val="left"/>
              <w:spacing w:before="20" w:after="20" w:line="220" w:lineRule="auto"/>
            </w:pPr>
            <w:r>
              <w:rPr>
                <w:sz w:val="15"/>
                <w:szCs w:val="15"/>
              </w:rPr>
              <w:t xml:space="preserve">IFRS 17</w:t>
            </w:r>
          </w:p>
        </w:tc>
        <w:tc>
          <w:tcPr>
            <w:tcW w:w="1604" w:type="dxa"/>
          </w:tcPr>
          <w:p>
            <w:pPr>
              <w:pStyle w:val="Compact"/>
              <w:jc w:val="left"/>
              <w:spacing w:before="20" w:after="20" w:line="220" w:lineRule="auto"/>
            </w:pPr>
            <w:r>
              <w:rPr>
                <w:sz w:val="15"/>
                <w:szCs w:val="15"/>
              </w:rPr>
              <w:t xml:space="preserve">FY2025 (Dec)</w:t>
            </w:r>
          </w:p>
        </w:tc>
        <w:tc>
          <w:tcPr>
            <w:tcW w:w="802" w:type="dxa"/>
          </w:tcPr>
          <w:p>
            <w:pPr>
              <w:pStyle w:val="Compact"/>
              <w:jc w:val="left"/>
              <w:spacing w:before="20" w:after="20" w:line="220" w:lineRule="auto"/>
            </w:pPr>
            <w:r>
              <w:rPr>
                <w:sz w:val="15"/>
                <w:szCs w:val="15"/>
              </w:rPr>
              <w:t xml:space="preserve">90.6%</w:t>
            </w:r>
          </w:p>
        </w:tc>
        <w:tc>
          <w:tcPr>
            <w:tcW w:w="1336" w:type="dxa"/>
          </w:tcPr>
          <w:p>
            <w:pPr>
              <w:pStyle w:val="Compact"/>
              <w:jc w:val="left"/>
              <w:spacing w:before="20" w:after="20" w:line="220" w:lineRule="auto"/>
            </w:pPr>
            <w:r>
              <w:rPr>
                <w:sz w:val="15"/>
                <w:szCs w:val="15"/>
              </w:rPr>
              <w:t xml:space="preserve">90.6%</w:t>
            </w:r>
          </w:p>
        </w:tc>
        <w:tc>
          <w:tcPr>
            <w:tcW w:w="1336" w:type="dxa"/>
          </w:tcPr>
          <w:p>
            <w:pPr>
              <w:pStyle w:val="Compact"/>
              <w:jc w:val="left"/>
              <w:spacing w:before="20" w:after="20" w:line="220" w:lineRule="auto"/>
            </w:pPr>
            <w:r>
              <w:rPr>
                <w:sz w:val="15"/>
                <w:szCs w:val="15"/>
              </w:rPr>
              <w:t xml:space="preserve">yes</w:t>
            </w:r>
          </w:p>
        </w:tc>
      </w:tr>
      <w:tr>
        <w:tc>
          <w:tcPr>
            <w:tcW w:w="4010" w:type="dxa"/>
          </w:tcPr>
          <w:p>
            <w:pPr>
              <w:pStyle w:val="Compact"/>
              <w:jc w:val="left"/>
              <w:spacing w:before="20" w:after="20" w:line="220" w:lineRule="auto"/>
            </w:pPr>
            <w:r>
              <w:rPr>
                <w:sz w:val="15"/>
                <w:szCs w:val="15"/>
              </w:rPr>
              <w:t xml:space="preserve">Standard Insurance Limited (Standard Bank)</w:t>
            </w:r>
          </w:p>
        </w:tc>
        <w:tc>
          <w:tcPr>
            <w:tcW w:w="935" w:type="dxa"/>
          </w:tcPr>
          <w:p>
            <w:pPr>
              <w:pStyle w:val="Compact"/>
              <w:jc w:val="left"/>
              <w:spacing w:before="20" w:after="20" w:line="220" w:lineRule="auto"/>
            </w:pPr>
            <w:r>
              <w:rPr>
                <w:sz w:val="15"/>
                <w:szCs w:val="15"/>
              </w:rPr>
              <w:t xml:space="preserve">LB</w:t>
            </w:r>
          </w:p>
        </w:tc>
        <w:tc>
          <w:tcPr>
            <w:tcW w:w="935" w:type="dxa"/>
          </w:tcPr>
          <w:p>
            <w:pPr>
              <w:pStyle w:val="Compact"/>
              <w:jc w:val="left"/>
              <w:spacing w:before="20" w:after="20" w:line="220" w:lineRule="auto"/>
            </w:pPr>
            <w:r>
              <w:rPr>
                <w:sz w:val="15"/>
                <w:szCs w:val="15"/>
              </w:rPr>
              <w:t xml:space="preserve">nonlife</w:t>
            </w:r>
          </w:p>
        </w:tc>
        <w:tc>
          <w:tcPr>
            <w:tcW w:w="1844" w:type="dxa"/>
          </w:tcPr>
          <w:p>
            <w:pPr>
              <w:pStyle w:val="Compact"/>
              <w:jc w:val="left"/>
              <w:spacing w:before="20" w:after="20" w:line="220" w:lineRule="auto"/>
            </w:pPr>
            <w:r>
              <w:rPr>
                <w:sz w:val="15"/>
                <w:szCs w:val="15"/>
              </w:rPr>
              <w:t xml:space="preserve">bank captive</w:t>
            </w:r>
          </w:p>
        </w:tc>
        <w:tc>
          <w:tcPr>
            <w:tcW w:w="1764" w:type="dxa"/>
          </w:tcPr>
          <w:p>
            <w:pPr>
              <w:pStyle w:val="Compact"/>
              <w:jc w:val="left"/>
              <w:spacing w:before="20" w:after="20" w:line="220" w:lineRule="auto"/>
            </w:pPr>
            <w:r>
              <w:rPr>
                <w:sz w:val="15"/>
                <w:szCs w:val="15"/>
              </w:rPr>
              <w:t xml:space="preserve">IFRS 17</w:t>
            </w:r>
          </w:p>
        </w:tc>
        <w:tc>
          <w:tcPr>
            <w:tcW w:w="1604" w:type="dxa"/>
          </w:tcPr>
          <w:p>
            <w:pPr>
              <w:pStyle w:val="Compact"/>
              <w:jc w:val="left"/>
              <w:spacing w:before="20" w:after="20" w:line="220" w:lineRule="auto"/>
            </w:pPr>
            <w:r>
              <w:rPr>
                <w:sz w:val="15"/>
                <w:szCs w:val="15"/>
              </w:rPr>
              <w:t xml:space="preserve">FY2025 (Dec)</w:t>
            </w:r>
          </w:p>
        </w:tc>
        <w:tc>
          <w:tcPr>
            <w:tcW w:w="802" w:type="dxa"/>
          </w:tcPr>
          <w:p>
            <w:pPr>
              <w:pStyle w:val="Compact"/>
              <w:jc w:val="left"/>
              <w:spacing w:before="20" w:after="20" w:line="220" w:lineRule="auto"/>
            </w:pPr>
            <w:r>
              <w:rPr>
                <w:sz w:val="15"/>
                <w:szCs w:val="15"/>
              </w:rPr>
              <w:t xml:space="preserve">77.9%</w:t>
            </w:r>
          </w:p>
        </w:tc>
        <w:tc>
          <w:tcPr>
            <w:tcW w:w="1336" w:type="dxa"/>
          </w:tcPr>
          <w:p>
            <w:pPr>
              <w:pStyle w:val="Compact"/>
              <w:jc w:val="left"/>
              <w:spacing w:before="20" w:after="20" w:line="220" w:lineRule="auto"/>
            </w:pPr>
            <w:r>
              <w:rPr>
                <w:sz w:val="15"/>
                <w:szCs w:val="15"/>
              </w:rPr>
              <w:t xml:space="preserve">77.9%</w:t>
            </w:r>
          </w:p>
        </w:tc>
        <w:tc>
          <w:tcPr>
            <w:tcW w:w="1336" w:type="dxa"/>
          </w:tcPr>
          <w:p>
            <w:pPr>
              <w:pStyle w:val="Compact"/>
              <w:jc w:val="left"/>
              <w:spacing w:before="20" w:after="20" w:line="220" w:lineRule="auto"/>
            </w:pPr>
            <w:r>
              <w:rPr>
                <w:sz w:val="15"/>
                <w:szCs w:val="15"/>
              </w:rPr>
              <w:t xml:space="preserve">yes</w:t>
            </w:r>
          </w:p>
        </w:tc>
      </w:tr>
    </w:tbl>
    <w:bookmarkEnd w:id="28"/>
    <w:bookmarkStart w:id="29" w:name="Xc357b9e7a037b115b402bd6b1d1ab7f4fd1572b"/>
    <w:p>
      <w:pPr>
        <w:pStyle w:val="Heading4"/>
      </w:pPr>
      <w:r>
        <w:t xml:space="preserve">M5r: Non-life combined ratio as reported by the entity (own definition)</w:t>
      </w:r>
    </w:p>
    <w:tbl>
      <w:tblPr>
        <w:tblStyle w:val="Table"/>
        <w:tblLook w:firstRow="1" w:lastRow="0" w:firstColumn="0" w:lastColumn="0" w:noHBand="0" w:noVBand="0" w:val="0020"/>
        <w:jc w:val="start"/>
        <w:tblW w:w="14566" w:type="dxa"/>
        <w:tblLayout w:type="fixed"/>
      </w:tblPr>
      <w:tblGrid>
        <w:gridCol w:w="3921"/>
        <w:gridCol w:w="672"/>
        <w:gridCol w:w="672"/>
        <w:gridCol w:w="2133"/>
        <w:gridCol w:w="3517"/>
        <w:gridCol w:w="1153"/>
        <w:gridCol w:w="576"/>
        <w:gridCol w:w="961"/>
        <w:gridCol w:w="961"/>
      </w:tblGrid>
      <w:tr>
        <w:trPr>
          <w:tblHeader w:val="true"/>
        </w:trPr>
        <w:tc>
          <w:tcPr>
            <w:tcW w:w="3921" w:type="dxa"/>
          </w:tcPr>
          <w:p>
            <w:pPr>
              <w:pStyle w:val="Compact"/>
              <w:jc w:val="left"/>
              <w:spacing w:before="20" w:after="20" w:line="220" w:lineRule="auto"/>
            </w:pPr>
            <w:r>
              <w:rPr>
                <w:sz w:val="15"/>
                <w:szCs w:val="15"/>
              </w:rPr>
              <w:t xml:space="preserve">Entity</w:t>
            </w:r>
          </w:p>
        </w:tc>
        <w:tc>
          <w:tcPr>
            <w:tcW w:w="672" w:type="dxa"/>
          </w:tcPr>
          <w:p>
            <w:pPr>
              <w:pStyle w:val="Compact"/>
              <w:jc w:val="left"/>
              <w:spacing w:before="20" w:after="20" w:line="220" w:lineRule="auto"/>
            </w:pPr>
            <w:r>
              <w:rPr>
                <w:sz w:val="15"/>
                <w:szCs w:val="15"/>
              </w:rPr>
              <w:t xml:space="preserve">Cluster</w:t>
            </w:r>
          </w:p>
        </w:tc>
        <w:tc>
          <w:tcPr>
            <w:tcW w:w="672" w:type="dxa"/>
          </w:tcPr>
          <w:p>
            <w:pPr>
              <w:pStyle w:val="Compact"/>
              <w:jc w:val="left"/>
              <w:spacing w:before="20" w:after="20" w:line="220" w:lineRule="auto"/>
            </w:pPr>
            <w:r>
              <w:rPr>
                <w:sz w:val="15"/>
                <w:szCs w:val="15"/>
              </w:rPr>
              <w:t xml:space="preserve">Mix</w:t>
            </w:r>
          </w:p>
        </w:tc>
        <w:tc>
          <w:tcPr>
            <w:tcW w:w="2133" w:type="dxa"/>
          </w:tcPr>
          <w:p>
            <w:pPr>
              <w:pStyle w:val="Compact"/>
              <w:jc w:val="left"/>
              <w:spacing w:before="20" w:after="20" w:line="220" w:lineRule="auto"/>
            </w:pPr>
            <w:r>
              <w:rPr>
                <w:sz w:val="15"/>
                <w:szCs w:val="15"/>
              </w:rPr>
              <w:t xml:space="preserve">Distribution</w:t>
            </w:r>
          </w:p>
        </w:tc>
        <w:tc>
          <w:tcPr>
            <w:tcW w:w="3517" w:type="dxa"/>
          </w:tcPr>
          <w:p>
            <w:pPr>
              <w:pStyle w:val="Compact"/>
              <w:jc w:val="left"/>
              <w:spacing w:before="20" w:after="20" w:line="220" w:lineRule="auto"/>
            </w:pPr>
            <w:r>
              <w:rPr>
                <w:sz w:val="15"/>
                <w:szCs w:val="15"/>
              </w:rPr>
              <w:t xml:space="preserve">Basis</w:t>
            </w:r>
          </w:p>
        </w:tc>
        <w:tc>
          <w:tcPr>
            <w:tcW w:w="1153" w:type="dxa"/>
          </w:tcPr>
          <w:p>
            <w:pPr>
              <w:pStyle w:val="Compact"/>
              <w:jc w:val="left"/>
              <w:spacing w:before="20" w:after="20" w:line="220" w:lineRule="auto"/>
            </w:pPr>
            <w:r>
              <w:rPr>
                <w:sz w:val="15"/>
                <w:szCs w:val="15"/>
              </w:rPr>
              <w:t xml:space="preserve">Period</w:t>
            </w:r>
          </w:p>
        </w:tc>
        <w:tc>
          <w:tcPr>
            <w:tcW w:w="576" w:type="dxa"/>
          </w:tcPr>
          <w:p>
            <w:pPr>
              <w:pStyle w:val="Compact"/>
              <w:jc w:val="left"/>
              <w:spacing w:before="20" w:after="20" w:line="220" w:lineRule="auto"/>
            </w:pPr>
            <w:r>
              <w:rPr>
                <w:sz w:val="15"/>
                <w:szCs w:val="15"/>
              </w:rPr>
              <w:t xml:space="preserve">Raw</w:t>
            </w:r>
          </w:p>
        </w:tc>
        <w:tc>
          <w:tcPr>
            <w:tcW w:w="961" w:type="dxa"/>
          </w:tcPr>
          <w:p>
            <w:pPr>
              <w:pStyle w:val="Compact"/>
              <w:jc w:val="left"/>
              <w:spacing w:before="20" w:after="20" w:line="220" w:lineRule="auto"/>
            </w:pPr>
            <w:r>
              <w:rPr>
                <w:sz w:val="15"/>
                <w:szCs w:val="15"/>
              </w:rPr>
              <w:t xml:space="preserve">Normalised</w:t>
            </w:r>
          </w:p>
        </w:tc>
        <w:tc>
          <w:tcPr>
            <w:tcW w:w="961" w:type="dxa"/>
          </w:tcPr>
          <w:p>
            <w:pPr>
              <w:pStyle w:val="Compact"/>
              <w:jc w:val="left"/>
              <w:spacing w:before="20" w:after="20" w:line="220" w:lineRule="auto"/>
            </w:pPr>
            <w:r>
              <w:rPr>
                <w:sz w:val="15"/>
                <w:szCs w:val="15"/>
              </w:rPr>
              <w:t xml:space="preserve">In medians</w:t>
            </w:r>
          </w:p>
        </w:tc>
      </w:tr>
      <w:tr>
        <w:tc>
          <w:tcPr>
            <w:tcW w:w="3921" w:type="dxa"/>
          </w:tcPr>
          <w:p>
            <w:pPr>
              <w:pStyle w:val="Compact"/>
              <w:jc w:val="left"/>
              <w:spacing w:before="20" w:after="20" w:line="220" w:lineRule="auto"/>
            </w:pPr>
            <w:r>
              <w:rPr>
                <w:sz w:val="15"/>
                <w:szCs w:val="15"/>
              </w:rPr>
              <w:t xml:space="preserve">AFS Non-Life Insurance SA (1 minus reported underwriting margin)</w:t>
            </w:r>
          </w:p>
        </w:tc>
        <w:tc>
          <w:tcPr>
            <w:tcW w:w="672" w:type="dxa"/>
          </w:tcPr>
          <w:p>
            <w:pPr>
              <w:pStyle w:val="Compact"/>
              <w:jc w:val="left"/>
              <w:spacing w:before="20" w:after="20" w:line="220" w:lineRule="auto"/>
            </w:pPr>
            <w:r>
              <w:rPr>
                <w:sz w:val="15"/>
                <w:szCs w:val="15"/>
              </w:rPr>
              <w:t xml:space="preserve">AFS</w:t>
            </w:r>
          </w:p>
        </w:tc>
        <w:tc>
          <w:tcPr>
            <w:tcW w:w="672" w:type="dxa"/>
          </w:tcPr>
          <w:p>
            <w:pPr>
              <w:pStyle w:val="Compact"/>
              <w:jc w:val="left"/>
              <w:spacing w:before="20" w:after="20" w:line="220" w:lineRule="auto"/>
            </w:pPr>
            <w:r>
              <w:rPr>
                <w:sz w:val="15"/>
                <w:szCs w:val="15"/>
              </w:rPr>
              <w:t xml:space="preserve">nonlife</w:t>
            </w:r>
          </w:p>
        </w:tc>
        <w:tc>
          <w:tcPr>
            <w:tcW w:w="2133" w:type="dxa"/>
          </w:tcPr>
          <w:p>
            <w:pPr>
              <w:pStyle w:val="Compact"/>
              <w:jc w:val="left"/>
              <w:spacing w:before="20" w:after="20" w:line="220" w:lineRule="auto"/>
            </w:pPr>
            <w:r>
              <w:rPr>
                <w:sz w:val="15"/>
                <w:szCs w:val="15"/>
              </w:rPr>
              <w:t xml:space="preserve">bank captive</w:t>
            </w:r>
          </w:p>
        </w:tc>
        <w:tc>
          <w:tcPr>
            <w:tcW w:w="3517" w:type="dxa"/>
          </w:tcPr>
          <w:p>
            <w:pPr>
              <w:pStyle w:val="Compact"/>
              <w:jc w:val="left"/>
              <w:spacing w:before="20" w:after="20" w:line="220" w:lineRule="auto"/>
            </w:pPr>
            <w:r>
              <w:rPr>
                <w:sz w:val="15"/>
                <w:szCs w:val="15"/>
              </w:rPr>
              <w:t xml:space="preserve">Absa definition</w:t>
            </w:r>
          </w:p>
        </w:tc>
        <w:tc>
          <w:tcPr>
            <w:tcW w:w="1153" w:type="dxa"/>
          </w:tcPr>
          <w:p>
            <w:pPr>
              <w:pStyle w:val="Compact"/>
              <w:jc w:val="left"/>
              <w:spacing w:before="20" w:after="20" w:line="220" w:lineRule="auto"/>
            </w:pPr>
            <w:r>
              <w:rPr>
                <w:sz w:val="15"/>
                <w:szCs w:val="15"/>
              </w:rPr>
              <w:t xml:space="preserve">FY2025 (Dec)</w:t>
            </w:r>
          </w:p>
        </w:tc>
        <w:tc>
          <w:tcPr>
            <w:tcW w:w="576" w:type="dxa"/>
          </w:tcPr>
          <w:p>
            <w:pPr>
              <w:pStyle w:val="Compact"/>
              <w:jc w:val="left"/>
              <w:spacing w:before="20" w:after="20" w:line="220" w:lineRule="auto"/>
            </w:pPr>
            <w:r>
              <w:rPr>
                <w:sz w:val="15"/>
                <w:szCs w:val="15"/>
              </w:rPr>
              <w:t xml:space="preserve">92.4%</w:t>
            </w:r>
          </w:p>
        </w:tc>
        <w:tc>
          <w:tcPr>
            <w:tcW w:w="961" w:type="dxa"/>
          </w:tcPr>
          <w:p>
            <w:pPr>
              <w:pStyle w:val="Compact"/>
              <w:jc w:val="left"/>
              <w:spacing w:before="20" w:after="20" w:line="220" w:lineRule="auto"/>
            </w:pPr>
            <w:r>
              <w:rPr>
                <w:sz w:val="15"/>
                <w:szCs w:val="15"/>
              </w:rPr>
              <w:t xml:space="preserve">92.4%</w:t>
            </w:r>
          </w:p>
        </w:tc>
        <w:tc>
          <w:tcPr>
            <w:tcW w:w="961" w:type="dxa"/>
          </w:tcPr>
          <w:p>
            <w:pPr>
              <w:pStyle w:val="Compact"/>
              <w:jc w:val="left"/>
              <w:spacing w:before="20" w:after="20" w:line="220" w:lineRule="auto"/>
            </w:pPr>
            <w:r>
              <w:rPr>
                <w:sz w:val="15"/>
                <w:szCs w:val="15"/>
              </w:rPr>
              <w:t xml:space="preserve">no</w:t>
            </w:r>
          </w:p>
        </w:tc>
      </w:tr>
      <w:tr>
        <w:tc>
          <w:tcPr>
            <w:tcW w:w="3921" w:type="dxa"/>
          </w:tcPr>
          <w:p>
            <w:pPr>
              <w:pStyle w:val="Compact"/>
              <w:jc w:val="left"/>
              <w:spacing w:before="20" w:after="20" w:line="220" w:lineRule="auto"/>
            </w:pPr>
            <w:r>
              <w:rPr>
                <w:sz w:val="15"/>
                <w:szCs w:val="15"/>
              </w:rPr>
              <w:t xml:space="preserve">Brasilseg (BB Seguridade)</w:t>
            </w:r>
          </w:p>
        </w:tc>
        <w:tc>
          <w:tcPr>
            <w:tcW w:w="672" w:type="dxa"/>
          </w:tcPr>
          <w:p>
            <w:pPr>
              <w:pStyle w:val="Compact"/>
              <w:jc w:val="left"/>
              <w:spacing w:before="20" w:after="20" w:line="220" w:lineRule="auto"/>
            </w:pPr>
            <w:r>
              <w:rPr>
                <w:sz w:val="15"/>
                <w:szCs w:val="15"/>
              </w:rPr>
              <w:t xml:space="preserve">EM</w:t>
            </w:r>
          </w:p>
        </w:tc>
        <w:tc>
          <w:tcPr>
            <w:tcW w:w="672" w:type="dxa"/>
          </w:tcPr>
          <w:p>
            <w:pPr>
              <w:pStyle w:val="Compact"/>
              <w:jc w:val="left"/>
              <w:spacing w:before="20" w:after="20" w:line="220" w:lineRule="auto"/>
            </w:pPr>
            <w:r>
              <w:rPr>
                <w:sz w:val="15"/>
                <w:szCs w:val="15"/>
              </w:rPr>
              <w:t xml:space="preserve">nonlife</w:t>
            </w:r>
          </w:p>
        </w:tc>
        <w:tc>
          <w:tcPr>
            <w:tcW w:w="2133" w:type="dxa"/>
          </w:tcPr>
          <w:p>
            <w:pPr>
              <w:pStyle w:val="Compact"/>
              <w:jc w:val="left"/>
              <w:spacing w:before="20" w:after="20" w:line="220" w:lineRule="auto"/>
            </w:pPr>
            <w:r>
              <w:rPr>
                <w:sz w:val="15"/>
                <w:szCs w:val="15"/>
              </w:rPr>
              <w:t xml:space="preserve">bank captive</w:t>
            </w:r>
          </w:p>
        </w:tc>
        <w:tc>
          <w:tcPr>
            <w:tcW w:w="3517" w:type="dxa"/>
          </w:tcPr>
          <w:p>
            <w:pPr>
              <w:pStyle w:val="Compact"/>
              <w:jc w:val="left"/>
              <w:spacing w:before="20" w:after="20" w:line="220" w:lineRule="auto"/>
            </w:pPr>
            <w:r>
              <w:rPr>
                <w:sz w:val="15"/>
                <w:szCs w:val="15"/>
              </w:rPr>
              <w:t xml:space="preserve">SUSEP combined ratio</w:t>
            </w:r>
          </w:p>
        </w:tc>
        <w:tc>
          <w:tcPr>
            <w:tcW w:w="1153" w:type="dxa"/>
          </w:tcPr>
          <w:p>
            <w:pPr>
              <w:pStyle w:val="Compact"/>
              <w:jc w:val="left"/>
              <w:spacing w:before="20" w:after="20" w:line="220" w:lineRule="auto"/>
            </w:pPr>
            <w:r>
              <w:rPr>
                <w:sz w:val="15"/>
                <w:szCs w:val="15"/>
              </w:rPr>
              <w:t xml:space="preserve">FY2025 (Dec)</w:t>
            </w:r>
          </w:p>
        </w:tc>
        <w:tc>
          <w:tcPr>
            <w:tcW w:w="576" w:type="dxa"/>
          </w:tcPr>
          <w:p>
            <w:pPr>
              <w:pStyle w:val="Compact"/>
              <w:jc w:val="left"/>
              <w:spacing w:before="20" w:after="20" w:line="220" w:lineRule="auto"/>
            </w:pPr>
            <w:r>
              <w:rPr>
                <w:sz w:val="15"/>
                <w:szCs w:val="15"/>
              </w:rPr>
              <w:t xml:space="preserve">64.4%</w:t>
            </w:r>
          </w:p>
        </w:tc>
        <w:tc>
          <w:tcPr>
            <w:tcW w:w="961" w:type="dxa"/>
          </w:tcPr>
          <w:p>
            <w:pPr>
              <w:pStyle w:val="Compact"/>
              <w:jc w:val="left"/>
              <w:spacing w:before="20" w:after="20" w:line="220" w:lineRule="auto"/>
            </w:pPr>
            <w:r>
              <w:rPr>
                <w:sz w:val="15"/>
                <w:szCs w:val="15"/>
              </w:rPr>
              <w:t xml:space="preserve">64.4%</w:t>
            </w:r>
          </w:p>
        </w:tc>
        <w:tc>
          <w:tcPr>
            <w:tcW w:w="961" w:type="dxa"/>
          </w:tcPr>
          <w:p>
            <w:pPr>
              <w:pStyle w:val="Compact"/>
              <w:jc w:val="left"/>
              <w:spacing w:before="20" w:after="20" w:line="220" w:lineRule="auto"/>
            </w:pPr>
            <w:r>
              <w:rPr>
                <w:sz w:val="15"/>
                <w:szCs w:val="15"/>
              </w:rPr>
              <w:t xml:space="preserve">no</w:t>
            </w:r>
          </w:p>
        </w:tc>
      </w:tr>
      <w:tr>
        <w:tc>
          <w:tcPr>
            <w:tcW w:w="3921" w:type="dxa"/>
          </w:tcPr>
          <w:p>
            <w:pPr>
              <w:pStyle w:val="Compact"/>
              <w:jc w:val="left"/>
              <w:spacing w:before="20" w:after="20" w:line="220" w:lineRule="auto"/>
            </w:pPr>
            <w:r>
              <w:rPr>
                <w:sz w:val="15"/>
                <w:szCs w:val="15"/>
              </w:rPr>
              <w:t xml:space="preserve">Credit Agricole Assurances (Pacifica, P&amp;C France)</w:t>
            </w:r>
          </w:p>
        </w:tc>
        <w:tc>
          <w:tcPr>
            <w:tcW w:w="672" w:type="dxa"/>
          </w:tcPr>
          <w:p>
            <w:pPr>
              <w:pStyle w:val="Compact"/>
              <w:jc w:val="left"/>
              <w:spacing w:before="20" w:after="20" w:line="220" w:lineRule="auto"/>
            </w:pPr>
            <w:r>
              <w:rPr>
                <w:sz w:val="15"/>
                <w:szCs w:val="15"/>
              </w:rPr>
              <w:t xml:space="preserve">EU</w:t>
            </w:r>
          </w:p>
        </w:tc>
        <w:tc>
          <w:tcPr>
            <w:tcW w:w="672" w:type="dxa"/>
          </w:tcPr>
          <w:p>
            <w:pPr>
              <w:pStyle w:val="Compact"/>
              <w:jc w:val="left"/>
              <w:spacing w:before="20" w:after="20" w:line="220" w:lineRule="auto"/>
            </w:pPr>
            <w:r>
              <w:rPr>
                <w:sz w:val="15"/>
                <w:szCs w:val="15"/>
              </w:rPr>
              <w:t xml:space="preserve">nonlife</w:t>
            </w:r>
          </w:p>
        </w:tc>
        <w:tc>
          <w:tcPr>
            <w:tcW w:w="2133" w:type="dxa"/>
          </w:tcPr>
          <w:p>
            <w:pPr>
              <w:pStyle w:val="Compact"/>
              <w:jc w:val="left"/>
              <w:spacing w:before="20" w:after="20" w:line="220" w:lineRule="auto"/>
            </w:pPr>
            <w:r>
              <w:rPr>
                <w:sz w:val="15"/>
                <w:szCs w:val="15"/>
              </w:rPr>
              <w:t xml:space="preserve">bank captive</w:t>
            </w:r>
          </w:p>
        </w:tc>
        <w:tc>
          <w:tcPr>
            <w:tcW w:w="3517" w:type="dxa"/>
          </w:tcPr>
          <w:p>
            <w:pPr>
              <w:pStyle w:val="Compact"/>
              <w:jc w:val="left"/>
              <w:spacing w:before="20" w:after="20" w:line="220" w:lineRule="auto"/>
            </w:pPr>
            <w:r>
              <w:rPr>
                <w:sz w:val="15"/>
                <w:szCs w:val="15"/>
              </w:rPr>
              <w:t xml:space="preserve">Management definition, net of reinsurance, discounted</w:t>
            </w:r>
          </w:p>
        </w:tc>
        <w:tc>
          <w:tcPr>
            <w:tcW w:w="1153" w:type="dxa"/>
          </w:tcPr>
          <w:p>
            <w:pPr>
              <w:pStyle w:val="Compact"/>
              <w:jc w:val="left"/>
              <w:spacing w:before="20" w:after="20" w:line="220" w:lineRule="auto"/>
            </w:pPr>
            <w:r>
              <w:rPr>
                <w:sz w:val="15"/>
                <w:szCs w:val="15"/>
              </w:rPr>
              <w:t xml:space="preserve">FY2025 (Dec)</w:t>
            </w:r>
          </w:p>
        </w:tc>
        <w:tc>
          <w:tcPr>
            <w:tcW w:w="576" w:type="dxa"/>
          </w:tcPr>
          <w:p>
            <w:pPr>
              <w:pStyle w:val="Compact"/>
              <w:jc w:val="left"/>
              <w:spacing w:before="20" w:after="20" w:line="220" w:lineRule="auto"/>
            </w:pPr>
            <w:r>
              <w:rPr>
                <w:sz w:val="15"/>
                <w:szCs w:val="15"/>
              </w:rPr>
              <w:t xml:space="preserve">94.6%</w:t>
            </w:r>
          </w:p>
        </w:tc>
        <w:tc>
          <w:tcPr>
            <w:tcW w:w="961" w:type="dxa"/>
          </w:tcPr>
          <w:p>
            <w:pPr>
              <w:pStyle w:val="Compact"/>
              <w:jc w:val="left"/>
              <w:spacing w:before="20" w:after="20" w:line="220" w:lineRule="auto"/>
            </w:pPr>
            <w:r>
              <w:rPr>
                <w:sz w:val="15"/>
                <w:szCs w:val="15"/>
              </w:rPr>
              <w:t xml:space="preserve">94.6%</w:t>
            </w:r>
          </w:p>
        </w:tc>
        <w:tc>
          <w:tcPr>
            <w:tcW w:w="961" w:type="dxa"/>
          </w:tcPr>
          <w:p>
            <w:pPr>
              <w:pStyle w:val="Compact"/>
              <w:jc w:val="left"/>
              <w:spacing w:before="20" w:after="20" w:line="220" w:lineRule="auto"/>
            </w:pPr>
            <w:r>
              <w:rPr>
                <w:sz w:val="15"/>
                <w:szCs w:val="15"/>
              </w:rPr>
              <w:t xml:space="preserve">yes</w:t>
            </w:r>
          </w:p>
        </w:tc>
      </w:tr>
      <w:tr>
        <w:tc>
          <w:tcPr>
            <w:tcW w:w="3921" w:type="dxa"/>
          </w:tcPr>
          <w:p>
            <w:pPr>
              <w:pStyle w:val="Compact"/>
              <w:jc w:val="left"/>
              <w:spacing w:before="20" w:after="20" w:line="220" w:lineRule="auto"/>
            </w:pPr>
            <w:r>
              <w:rPr>
                <w:sz w:val="15"/>
                <w:szCs w:val="15"/>
              </w:rPr>
              <w:t xml:space="preserve">Etiqa General Insurance (1 minus service result / revenue)</w:t>
            </w:r>
          </w:p>
        </w:tc>
        <w:tc>
          <w:tcPr>
            <w:tcW w:w="672" w:type="dxa"/>
          </w:tcPr>
          <w:p>
            <w:pPr>
              <w:pStyle w:val="Compact"/>
              <w:jc w:val="left"/>
              <w:spacing w:before="20" w:after="20" w:line="220" w:lineRule="auto"/>
            </w:pPr>
            <w:r>
              <w:rPr>
                <w:sz w:val="15"/>
                <w:szCs w:val="15"/>
              </w:rPr>
              <w:t xml:space="preserve">EM</w:t>
            </w:r>
          </w:p>
        </w:tc>
        <w:tc>
          <w:tcPr>
            <w:tcW w:w="672" w:type="dxa"/>
          </w:tcPr>
          <w:p>
            <w:pPr>
              <w:pStyle w:val="Compact"/>
              <w:jc w:val="left"/>
              <w:spacing w:before="20" w:after="20" w:line="220" w:lineRule="auto"/>
            </w:pPr>
            <w:r>
              <w:rPr>
                <w:sz w:val="15"/>
                <w:szCs w:val="15"/>
              </w:rPr>
              <w:t xml:space="preserve">nonlife</w:t>
            </w:r>
          </w:p>
        </w:tc>
        <w:tc>
          <w:tcPr>
            <w:tcW w:w="2133" w:type="dxa"/>
          </w:tcPr>
          <w:p>
            <w:pPr>
              <w:pStyle w:val="Compact"/>
              <w:jc w:val="left"/>
              <w:spacing w:before="20" w:after="20" w:line="220" w:lineRule="auto"/>
            </w:pPr>
            <w:r>
              <w:rPr>
                <w:sz w:val="15"/>
                <w:szCs w:val="15"/>
              </w:rPr>
              <w:t xml:space="preserve">partly captive</w:t>
            </w:r>
          </w:p>
        </w:tc>
        <w:tc>
          <w:tcPr>
            <w:tcW w:w="3517" w:type="dxa"/>
          </w:tcPr>
          <w:p>
            <w:pPr>
              <w:pStyle w:val="Compact"/>
              <w:jc w:val="left"/>
              <w:spacing w:before="20" w:after="20" w:line="220" w:lineRule="auto"/>
            </w:pPr>
            <w:r>
              <w:rPr>
                <w:sz w:val="15"/>
                <w:szCs w:val="15"/>
              </w:rPr>
              <w:t xml:space="preserve">MFRS 17 proxy</w:t>
            </w:r>
          </w:p>
        </w:tc>
        <w:tc>
          <w:tcPr>
            <w:tcW w:w="1153" w:type="dxa"/>
          </w:tcPr>
          <w:p>
            <w:pPr>
              <w:pStyle w:val="Compact"/>
              <w:jc w:val="left"/>
              <w:spacing w:before="20" w:after="20" w:line="220" w:lineRule="auto"/>
            </w:pPr>
            <w:r>
              <w:rPr>
                <w:sz w:val="15"/>
                <w:szCs w:val="15"/>
              </w:rPr>
              <w:t xml:space="preserve">FY2025 (Dec)</w:t>
            </w:r>
          </w:p>
        </w:tc>
        <w:tc>
          <w:tcPr>
            <w:tcW w:w="576" w:type="dxa"/>
          </w:tcPr>
          <w:p>
            <w:pPr>
              <w:pStyle w:val="Compact"/>
              <w:jc w:val="left"/>
              <w:spacing w:before="20" w:after="20" w:line="220" w:lineRule="auto"/>
            </w:pPr>
            <w:r>
              <w:rPr>
                <w:sz w:val="15"/>
                <w:szCs w:val="15"/>
              </w:rPr>
              <w:t xml:space="preserve">95.9%</w:t>
            </w:r>
          </w:p>
        </w:tc>
        <w:tc>
          <w:tcPr>
            <w:tcW w:w="961" w:type="dxa"/>
          </w:tcPr>
          <w:p>
            <w:pPr>
              <w:pStyle w:val="Compact"/>
              <w:jc w:val="left"/>
              <w:spacing w:before="20" w:after="20" w:line="220" w:lineRule="auto"/>
            </w:pPr>
            <w:r>
              <w:rPr>
                <w:sz w:val="15"/>
                <w:szCs w:val="15"/>
              </w:rPr>
              <w:t xml:space="preserve">95.9%</w:t>
            </w:r>
          </w:p>
        </w:tc>
        <w:tc>
          <w:tcPr>
            <w:tcW w:w="961" w:type="dxa"/>
          </w:tcPr>
          <w:p>
            <w:pPr>
              <w:pStyle w:val="Compact"/>
              <w:jc w:val="left"/>
              <w:spacing w:before="20" w:after="20" w:line="220" w:lineRule="auto"/>
            </w:pPr>
            <w:r>
              <w:rPr>
                <w:sz w:val="15"/>
                <w:szCs w:val="15"/>
              </w:rPr>
              <w:t xml:space="preserve">yes</w:t>
            </w:r>
          </w:p>
        </w:tc>
      </w:tr>
      <w:tr>
        <w:tc>
          <w:tcPr>
            <w:tcW w:w="3921" w:type="dxa"/>
          </w:tcPr>
          <w:p>
            <w:pPr>
              <w:pStyle w:val="Compact"/>
              <w:jc w:val="left"/>
              <w:spacing w:before="20" w:after="20" w:line="220" w:lineRule="auto"/>
            </w:pPr>
            <w:r>
              <w:rPr>
                <w:sz w:val="15"/>
                <w:szCs w:val="15"/>
              </w:rPr>
              <w:t xml:space="preserve">Etiqa General Takaful (1 minus service result / revenue)</w:t>
            </w:r>
          </w:p>
        </w:tc>
        <w:tc>
          <w:tcPr>
            <w:tcW w:w="672" w:type="dxa"/>
          </w:tcPr>
          <w:p>
            <w:pPr>
              <w:pStyle w:val="Compact"/>
              <w:jc w:val="left"/>
              <w:spacing w:before="20" w:after="20" w:line="220" w:lineRule="auto"/>
            </w:pPr>
            <w:r>
              <w:rPr>
                <w:sz w:val="15"/>
                <w:szCs w:val="15"/>
              </w:rPr>
              <w:t xml:space="preserve">EM</w:t>
            </w:r>
          </w:p>
        </w:tc>
        <w:tc>
          <w:tcPr>
            <w:tcW w:w="672" w:type="dxa"/>
          </w:tcPr>
          <w:p>
            <w:pPr>
              <w:pStyle w:val="Compact"/>
              <w:jc w:val="left"/>
              <w:spacing w:before="20" w:after="20" w:line="220" w:lineRule="auto"/>
            </w:pPr>
            <w:r>
              <w:rPr>
                <w:sz w:val="15"/>
                <w:szCs w:val="15"/>
              </w:rPr>
              <w:t xml:space="preserve">nonlife</w:t>
            </w:r>
          </w:p>
        </w:tc>
        <w:tc>
          <w:tcPr>
            <w:tcW w:w="2133" w:type="dxa"/>
          </w:tcPr>
          <w:p>
            <w:pPr>
              <w:pStyle w:val="Compact"/>
              <w:jc w:val="left"/>
              <w:spacing w:before="20" w:after="20" w:line="220" w:lineRule="auto"/>
            </w:pPr>
            <w:r>
              <w:rPr>
                <w:sz w:val="15"/>
                <w:szCs w:val="15"/>
              </w:rPr>
              <w:t xml:space="preserve">partly captive</w:t>
            </w:r>
          </w:p>
        </w:tc>
        <w:tc>
          <w:tcPr>
            <w:tcW w:w="3517" w:type="dxa"/>
          </w:tcPr>
          <w:p>
            <w:pPr>
              <w:pStyle w:val="Compact"/>
              <w:jc w:val="left"/>
              <w:spacing w:before="20" w:after="20" w:line="220" w:lineRule="auto"/>
            </w:pPr>
            <w:r>
              <w:rPr>
                <w:sz w:val="15"/>
                <w:szCs w:val="15"/>
              </w:rPr>
              <w:t xml:space="preserve">MFRS 17 proxy</w:t>
            </w:r>
          </w:p>
        </w:tc>
        <w:tc>
          <w:tcPr>
            <w:tcW w:w="1153" w:type="dxa"/>
          </w:tcPr>
          <w:p>
            <w:pPr>
              <w:pStyle w:val="Compact"/>
              <w:jc w:val="left"/>
              <w:spacing w:before="20" w:after="20" w:line="220" w:lineRule="auto"/>
            </w:pPr>
            <w:r>
              <w:rPr>
                <w:sz w:val="15"/>
                <w:szCs w:val="15"/>
              </w:rPr>
              <w:t xml:space="preserve">FY2025 (Dec)</w:t>
            </w:r>
          </w:p>
        </w:tc>
        <w:tc>
          <w:tcPr>
            <w:tcW w:w="576" w:type="dxa"/>
          </w:tcPr>
          <w:p>
            <w:pPr>
              <w:pStyle w:val="Compact"/>
              <w:jc w:val="left"/>
              <w:spacing w:before="20" w:after="20" w:line="220" w:lineRule="auto"/>
            </w:pPr>
            <w:r>
              <w:rPr>
                <w:sz w:val="15"/>
                <w:szCs w:val="15"/>
              </w:rPr>
              <w:t xml:space="preserve">90.5%</w:t>
            </w:r>
          </w:p>
        </w:tc>
        <w:tc>
          <w:tcPr>
            <w:tcW w:w="961" w:type="dxa"/>
          </w:tcPr>
          <w:p>
            <w:pPr>
              <w:pStyle w:val="Compact"/>
              <w:jc w:val="left"/>
              <w:spacing w:before="20" w:after="20" w:line="220" w:lineRule="auto"/>
            </w:pPr>
            <w:r>
              <w:rPr>
                <w:sz w:val="15"/>
                <w:szCs w:val="15"/>
              </w:rPr>
              <w:t xml:space="preserve">90.5%</w:t>
            </w:r>
          </w:p>
        </w:tc>
        <w:tc>
          <w:tcPr>
            <w:tcW w:w="961" w:type="dxa"/>
          </w:tcPr>
          <w:p>
            <w:pPr>
              <w:pStyle w:val="Compact"/>
              <w:jc w:val="left"/>
              <w:spacing w:before="20" w:after="20" w:line="220" w:lineRule="auto"/>
            </w:pPr>
            <w:r>
              <w:rPr>
                <w:sz w:val="15"/>
                <w:szCs w:val="15"/>
              </w:rPr>
              <w:t xml:space="preserve">yes</w:t>
            </w:r>
          </w:p>
        </w:tc>
      </w:tr>
      <w:tr>
        <w:tc>
          <w:tcPr>
            <w:tcW w:w="3921" w:type="dxa"/>
          </w:tcPr>
          <w:p>
            <w:pPr>
              <w:pStyle w:val="Compact"/>
              <w:jc w:val="left"/>
              <w:spacing w:before="20" w:after="20" w:line="220" w:lineRule="auto"/>
            </w:pPr>
            <w:r>
              <w:rPr>
                <w:sz w:val="15"/>
                <w:szCs w:val="15"/>
              </w:rPr>
              <w:t xml:space="preserve">Intesa Sanpaolo Assicurazioni (non-life)</w:t>
            </w:r>
          </w:p>
        </w:tc>
        <w:tc>
          <w:tcPr>
            <w:tcW w:w="672" w:type="dxa"/>
          </w:tcPr>
          <w:p>
            <w:pPr>
              <w:pStyle w:val="Compact"/>
              <w:jc w:val="left"/>
              <w:spacing w:before="20" w:after="20" w:line="220" w:lineRule="auto"/>
            </w:pPr>
            <w:r>
              <w:rPr>
                <w:sz w:val="15"/>
                <w:szCs w:val="15"/>
              </w:rPr>
              <w:t xml:space="preserve">EU</w:t>
            </w:r>
          </w:p>
        </w:tc>
        <w:tc>
          <w:tcPr>
            <w:tcW w:w="672" w:type="dxa"/>
          </w:tcPr>
          <w:p>
            <w:pPr>
              <w:pStyle w:val="Compact"/>
              <w:jc w:val="left"/>
              <w:spacing w:before="20" w:after="20" w:line="220" w:lineRule="auto"/>
            </w:pPr>
            <w:r>
              <w:rPr>
                <w:sz w:val="15"/>
                <w:szCs w:val="15"/>
              </w:rPr>
              <w:t xml:space="preserve">nonlife</w:t>
            </w:r>
          </w:p>
        </w:tc>
        <w:tc>
          <w:tcPr>
            <w:tcW w:w="2133" w:type="dxa"/>
          </w:tcPr>
          <w:p>
            <w:pPr>
              <w:pStyle w:val="Compact"/>
              <w:jc w:val="left"/>
              <w:spacing w:before="20" w:after="20" w:line="220" w:lineRule="auto"/>
            </w:pPr>
            <w:r>
              <w:rPr>
                <w:sz w:val="15"/>
                <w:szCs w:val="15"/>
              </w:rPr>
              <w:t xml:space="preserve">bank captive</w:t>
            </w:r>
          </w:p>
        </w:tc>
        <w:tc>
          <w:tcPr>
            <w:tcW w:w="3517" w:type="dxa"/>
          </w:tcPr>
          <w:p>
            <w:pPr>
              <w:pStyle w:val="Compact"/>
              <w:jc w:val="left"/>
              <w:spacing w:before="20" w:after="20" w:line="220" w:lineRule="auto"/>
            </w:pPr>
            <w:r>
              <w:rPr>
                <w:sz w:val="15"/>
                <w:szCs w:val="15"/>
              </w:rPr>
              <w:t xml:space="preserve">Management definition</w:t>
            </w:r>
          </w:p>
        </w:tc>
        <w:tc>
          <w:tcPr>
            <w:tcW w:w="1153" w:type="dxa"/>
          </w:tcPr>
          <w:p>
            <w:pPr>
              <w:pStyle w:val="Compact"/>
              <w:jc w:val="left"/>
              <w:spacing w:before="20" w:after="20" w:line="220" w:lineRule="auto"/>
            </w:pPr>
            <w:r>
              <w:rPr>
                <w:sz w:val="15"/>
                <w:szCs w:val="15"/>
              </w:rPr>
              <w:t xml:space="preserve">FY2025 (Dec)</w:t>
            </w:r>
          </w:p>
        </w:tc>
        <w:tc>
          <w:tcPr>
            <w:tcW w:w="576" w:type="dxa"/>
          </w:tcPr>
          <w:p>
            <w:pPr>
              <w:pStyle w:val="Compact"/>
              <w:jc w:val="left"/>
              <w:spacing w:before="20" w:after="20" w:line="220" w:lineRule="auto"/>
            </w:pPr>
            <w:r>
              <w:rPr>
                <w:sz w:val="15"/>
                <w:szCs w:val="15"/>
              </w:rPr>
              <w:t xml:space="preserve">75.9%</w:t>
            </w:r>
          </w:p>
        </w:tc>
        <w:tc>
          <w:tcPr>
            <w:tcW w:w="961" w:type="dxa"/>
          </w:tcPr>
          <w:p>
            <w:pPr>
              <w:pStyle w:val="Compact"/>
              <w:jc w:val="left"/>
              <w:spacing w:before="20" w:after="20" w:line="220" w:lineRule="auto"/>
            </w:pPr>
            <w:r>
              <w:rPr>
                <w:sz w:val="15"/>
                <w:szCs w:val="15"/>
              </w:rPr>
              <w:t xml:space="preserve">75.9%</w:t>
            </w:r>
          </w:p>
        </w:tc>
        <w:tc>
          <w:tcPr>
            <w:tcW w:w="961" w:type="dxa"/>
          </w:tcPr>
          <w:p>
            <w:pPr>
              <w:pStyle w:val="Compact"/>
              <w:jc w:val="left"/>
              <w:spacing w:before="20" w:after="20" w:line="220" w:lineRule="auto"/>
            </w:pPr>
            <w:r>
              <w:rPr>
                <w:sz w:val="15"/>
                <w:szCs w:val="15"/>
              </w:rPr>
              <w:t xml:space="preserve">yes</w:t>
            </w:r>
          </w:p>
        </w:tc>
      </w:tr>
      <w:tr>
        <w:tc>
          <w:tcPr>
            <w:tcW w:w="3921" w:type="dxa"/>
          </w:tcPr>
          <w:p>
            <w:pPr>
              <w:pStyle w:val="Compact"/>
              <w:jc w:val="left"/>
              <w:spacing w:before="20" w:after="20" w:line="220" w:lineRule="auto"/>
            </w:pPr>
            <w:r>
              <w:rPr>
                <w:sz w:val="15"/>
                <w:szCs w:val="15"/>
              </w:rPr>
              <w:t xml:space="preserve">KBC Insurance (non-life)</w:t>
            </w:r>
          </w:p>
        </w:tc>
        <w:tc>
          <w:tcPr>
            <w:tcW w:w="672" w:type="dxa"/>
          </w:tcPr>
          <w:p>
            <w:pPr>
              <w:pStyle w:val="Compact"/>
              <w:jc w:val="left"/>
              <w:spacing w:before="20" w:after="20" w:line="220" w:lineRule="auto"/>
            </w:pPr>
            <w:r>
              <w:rPr>
                <w:sz w:val="15"/>
                <w:szCs w:val="15"/>
              </w:rPr>
              <w:t xml:space="preserve">EU</w:t>
            </w:r>
          </w:p>
        </w:tc>
        <w:tc>
          <w:tcPr>
            <w:tcW w:w="672" w:type="dxa"/>
          </w:tcPr>
          <w:p>
            <w:pPr>
              <w:pStyle w:val="Compact"/>
              <w:jc w:val="left"/>
              <w:spacing w:before="20" w:after="20" w:line="220" w:lineRule="auto"/>
            </w:pPr>
            <w:r>
              <w:rPr>
                <w:sz w:val="15"/>
                <w:szCs w:val="15"/>
              </w:rPr>
              <w:t xml:space="preserve">nonlife</w:t>
            </w:r>
          </w:p>
        </w:tc>
        <w:tc>
          <w:tcPr>
            <w:tcW w:w="2133" w:type="dxa"/>
          </w:tcPr>
          <w:p>
            <w:pPr>
              <w:pStyle w:val="Compact"/>
              <w:jc w:val="left"/>
              <w:spacing w:before="20" w:after="20" w:line="220" w:lineRule="auto"/>
            </w:pPr>
            <w:r>
              <w:rPr>
                <w:sz w:val="15"/>
                <w:szCs w:val="15"/>
              </w:rPr>
              <w:t xml:space="preserve">bank branches and tied agents</w:t>
            </w:r>
          </w:p>
        </w:tc>
        <w:tc>
          <w:tcPr>
            <w:tcW w:w="3517" w:type="dxa"/>
          </w:tcPr>
          <w:p>
            <w:pPr>
              <w:pStyle w:val="Compact"/>
              <w:jc w:val="left"/>
              <w:spacing w:before="20" w:after="20" w:line="220" w:lineRule="auto"/>
            </w:pPr>
            <w:r>
              <w:rPr>
                <w:sz w:val="15"/>
                <w:szCs w:val="15"/>
              </w:rPr>
              <w:t xml:space="preserve">KBC definition</w:t>
            </w:r>
          </w:p>
        </w:tc>
        <w:tc>
          <w:tcPr>
            <w:tcW w:w="1153" w:type="dxa"/>
          </w:tcPr>
          <w:p>
            <w:pPr>
              <w:pStyle w:val="Compact"/>
              <w:jc w:val="left"/>
              <w:spacing w:before="20" w:after="20" w:line="220" w:lineRule="auto"/>
            </w:pPr>
            <w:r>
              <w:rPr>
                <w:sz w:val="15"/>
                <w:szCs w:val="15"/>
              </w:rPr>
              <w:t xml:space="preserve">FY2025 (Dec)</w:t>
            </w:r>
          </w:p>
        </w:tc>
        <w:tc>
          <w:tcPr>
            <w:tcW w:w="576" w:type="dxa"/>
          </w:tcPr>
          <w:p>
            <w:pPr>
              <w:pStyle w:val="Compact"/>
              <w:jc w:val="left"/>
              <w:spacing w:before="20" w:after="20" w:line="220" w:lineRule="auto"/>
            </w:pPr>
            <w:r>
              <w:rPr>
                <w:sz w:val="15"/>
                <w:szCs w:val="15"/>
              </w:rPr>
              <w:t xml:space="preserve">87.0%</w:t>
            </w:r>
          </w:p>
        </w:tc>
        <w:tc>
          <w:tcPr>
            <w:tcW w:w="961" w:type="dxa"/>
          </w:tcPr>
          <w:p>
            <w:pPr>
              <w:pStyle w:val="Compact"/>
              <w:jc w:val="left"/>
              <w:spacing w:before="20" w:after="20" w:line="220" w:lineRule="auto"/>
            </w:pPr>
            <w:r>
              <w:rPr>
                <w:sz w:val="15"/>
                <w:szCs w:val="15"/>
              </w:rPr>
              <w:t xml:space="preserve">87.0%</w:t>
            </w:r>
          </w:p>
        </w:tc>
        <w:tc>
          <w:tcPr>
            <w:tcW w:w="961" w:type="dxa"/>
          </w:tcPr>
          <w:p>
            <w:pPr>
              <w:pStyle w:val="Compact"/>
              <w:jc w:val="left"/>
              <w:spacing w:before="20" w:after="20" w:line="220" w:lineRule="auto"/>
            </w:pPr>
            <w:r>
              <w:rPr>
                <w:sz w:val="15"/>
                <w:szCs w:val="15"/>
              </w:rPr>
              <w:t xml:space="preserve">yes</w:t>
            </w:r>
          </w:p>
        </w:tc>
      </w:tr>
      <w:tr>
        <w:tc>
          <w:tcPr>
            <w:tcW w:w="3921" w:type="dxa"/>
          </w:tcPr>
          <w:p>
            <w:pPr>
              <w:pStyle w:val="Compact"/>
              <w:jc w:val="left"/>
              <w:spacing w:before="20" w:after="20" w:line="220" w:lineRule="auto"/>
            </w:pPr>
            <w:r>
              <w:rPr>
                <w:sz w:val="15"/>
                <w:szCs w:val="15"/>
              </w:rPr>
              <w:t xml:space="preserve">Lloyds general insurance</w:t>
            </w:r>
          </w:p>
        </w:tc>
        <w:tc>
          <w:tcPr>
            <w:tcW w:w="672" w:type="dxa"/>
          </w:tcPr>
          <w:p>
            <w:pPr>
              <w:pStyle w:val="Compact"/>
              <w:jc w:val="left"/>
              <w:spacing w:before="20" w:after="20" w:line="220" w:lineRule="auto"/>
            </w:pPr>
            <w:r>
              <w:rPr>
                <w:sz w:val="15"/>
                <w:szCs w:val="15"/>
              </w:rPr>
              <w:t xml:space="preserve">EU</w:t>
            </w:r>
          </w:p>
        </w:tc>
        <w:tc>
          <w:tcPr>
            <w:tcW w:w="672" w:type="dxa"/>
          </w:tcPr>
          <w:p>
            <w:pPr>
              <w:pStyle w:val="Compact"/>
              <w:jc w:val="left"/>
              <w:spacing w:before="20" w:after="20" w:line="220" w:lineRule="auto"/>
            </w:pPr>
            <w:r>
              <w:rPr>
                <w:sz w:val="15"/>
                <w:szCs w:val="15"/>
              </w:rPr>
              <w:t xml:space="preserve">nonlife</w:t>
            </w:r>
          </w:p>
        </w:tc>
        <w:tc>
          <w:tcPr>
            <w:tcW w:w="2133" w:type="dxa"/>
          </w:tcPr>
          <w:p>
            <w:pPr>
              <w:pStyle w:val="Compact"/>
              <w:jc w:val="left"/>
              <w:spacing w:before="20" w:after="20" w:line="220" w:lineRule="auto"/>
            </w:pPr>
            <w:r>
              <w:rPr>
                <w:sz w:val="15"/>
                <w:szCs w:val="15"/>
              </w:rPr>
              <w:t xml:space="preserve">bank captive</w:t>
            </w:r>
          </w:p>
        </w:tc>
        <w:tc>
          <w:tcPr>
            <w:tcW w:w="3517" w:type="dxa"/>
          </w:tcPr>
          <w:p>
            <w:pPr>
              <w:pStyle w:val="Compact"/>
              <w:jc w:val="left"/>
              <w:spacing w:before="20" w:after="20" w:line="220" w:lineRule="auto"/>
            </w:pPr>
            <w:r>
              <w:rPr>
                <w:sz w:val="15"/>
                <w:szCs w:val="15"/>
              </w:rPr>
              <w:t xml:space="preserve">Lloyds definition</w:t>
            </w:r>
          </w:p>
        </w:tc>
        <w:tc>
          <w:tcPr>
            <w:tcW w:w="1153" w:type="dxa"/>
          </w:tcPr>
          <w:p>
            <w:pPr>
              <w:pStyle w:val="Compact"/>
              <w:jc w:val="left"/>
              <w:spacing w:before="20" w:after="20" w:line="220" w:lineRule="auto"/>
            </w:pPr>
            <w:r>
              <w:rPr>
                <w:sz w:val="15"/>
                <w:szCs w:val="15"/>
              </w:rPr>
              <w:t xml:space="preserve">FY2025 (Dec)</w:t>
            </w:r>
          </w:p>
        </w:tc>
        <w:tc>
          <w:tcPr>
            <w:tcW w:w="576" w:type="dxa"/>
          </w:tcPr>
          <w:p>
            <w:pPr>
              <w:pStyle w:val="Compact"/>
              <w:jc w:val="left"/>
              <w:spacing w:before="20" w:after="20" w:line="220" w:lineRule="auto"/>
            </w:pPr>
            <w:r>
              <w:rPr>
                <w:sz w:val="15"/>
                <w:szCs w:val="15"/>
              </w:rPr>
              <w:t xml:space="preserve">89.0%</w:t>
            </w:r>
          </w:p>
        </w:tc>
        <w:tc>
          <w:tcPr>
            <w:tcW w:w="961" w:type="dxa"/>
          </w:tcPr>
          <w:p>
            <w:pPr>
              <w:pStyle w:val="Compact"/>
              <w:jc w:val="left"/>
              <w:spacing w:before="20" w:after="20" w:line="220" w:lineRule="auto"/>
            </w:pPr>
            <w:r>
              <w:rPr>
                <w:sz w:val="15"/>
                <w:szCs w:val="15"/>
              </w:rPr>
              <w:t xml:space="preserve">89.0%</w:t>
            </w:r>
          </w:p>
        </w:tc>
        <w:tc>
          <w:tcPr>
            <w:tcW w:w="961" w:type="dxa"/>
          </w:tcPr>
          <w:p>
            <w:pPr>
              <w:pStyle w:val="Compact"/>
              <w:jc w:val="left"/>
              <w:spacing w:before="20" w:after="20" w:line="220" w:lineRule="auto"/>
            </w:pPr>
            <w:r>
              <w:rPr>
                <w:sz w:val="15"/>
                <w:szCs w:val="15"/>
              </w:rPr>
              <w:t xml:space="preserve">yes</w:t>
            </w:r>
          </w:p>
        </w:tc>
      </w:tr>
      <w:tr>
        <w:tc>
          <w:tcPr>
            <w:tcW w:w="3921" w:type="dxa"/>
          </w:tcPr>
          <w:p>
            <w:pPr>
              <w:pStyle w:val="Compact"/>
              <w:jc w:val="left"/>
              <w:spacing w:before="20" w:after="20" w:line="220" w:lineRule="auto"/>
            </w:pPr>
            <w:r>
              <w:rPr>
                <w:sz w:val="15"/>
                <w:szCs w:val="15"/>
              </w:rPr>
              <w:t xml:space="preserve">Momentum Insure</w:t>
            </w:r>
          </w:p>
        </w:tc>
        <w:tc>
          <w:tcPr>
            <w:tcW w:w="672" w:type="dxa"/>
          </w:tcPr>
          <w:p>
            <w:pPr>
              <w:pStyle w:val="Compact"/>
              <w:jc w:val="left"/>
              <w:spacing w:before="20" w:after="20" w:line="220" w:lineRule="auto"/>
            </w:pPr>
            <w:r>
              <w:rPr>
                <w:sz w:val="15"/>
                <w:szCs w:val="15"/>
              </w:rPr>
              <w:t xml:space="preserve">LN</w:t>
            </w:r>
          </w:p>
        </w:tc>
        <w:tc>
          <w:tcPr>
            <w:tcW w:w="672" w:type="dxa"/>
          </w:tcPr>
          <w:p>
            <w:pPr>
              <w:pStyle w:val="Compact"/>
              <w:jc w:val="left"/>
              <w:spacing w:before="20" w:after="20" w:line="220" w:lineRule="auto"/>
            </w:pPr>
            <w:r>
              <w:rPr>
                <w:sz w:val="15"/>
                <w:szCs w:val="15"/>
              </w:rPr>
              <w:t xml:space="preserve">nonlife</w:t>
            </w:r>
          </w:p>
        </w:tc>
        <w:tc>
          <w:tcPr>
            <w:tcW w:w="2133" w:type="dxa"/>
          </w:tcPr>
          <w:p>
            <w:pPr>
              <w:pStyle w:val="Compact"/>
              <w:jc w:val="left"/>
              <w:spacing w:before="20" w:after="20" w:line="220" w:lineRule="auto"/>
            </w:pPr>
            <w:r>
              <w:rPr>
                <w:sz w:val="15"/>
                <w:szCs w:val="15"/>
              </w:rPr>
              <w:t xml:space="preserve">open</w:t>
            </w:r>
          </w:p>
        </w:tc>
        <w:tc>
          <w:tcPr>
            <w:tcW w:w="3517" w:type="dxa"/>
          </w:tcPr>
          <w:p>
            <w:pPr>
              <w:pStyle w:val="Compact"/>
              <w:jc w:val="left"/>
              <w:spacing w:before="20" w:after="20" w:line="220" w:lineRule="auto"/>
            </w:pPr>
            <w:r>
              <w:rPr>
                <w:sz w:val="15"/>
                <w:szCs w:val="15"/>
              </w:rPr>
              <w:t xml:space="preserve">Management basis</w:t>
            </w:r>
          </w:p>
        </w:tc>
        <w:tc>
          <w:tcPr>
            <w:tcW w:w="1153" w:type="dxa"/>
          </w:tcPr>
          <w:p>
            <w:pPr>
              <w:pStyle w:val="Compact"/>
              <w:jc w:val="left"/>
              <w:spacing w:before="20" w:after="20" w:line="220" w:lineRule="auto"/>
            </w:pPr>
            <w:r>
              <w:rPr>
                <w:sz w:val="15"/>
                <w:szCs w:val="15"/>
              </w:rPr>
              <w:t xml:space="preserve">FY2026 (Jun)</w:t>
            </w:r>
          </w:p>
        </w:tc>
        <w:tc>
          <w:tcPr>
            <w:tcW w:w="576" w:type="dxa"/>
          </w:tcPr>
          <w:p>
            <w:pPr>
              <w:pStyle w:val="Compact"/>
              <w:jc w:val="left"/>
              <w:spacing w:before="20" w:after="20" w:line="220" w:lineRule="auto"/>
            </w:pPr>
            <w:r>
              <w:rPr>
                <w:sz w:val="15"/>
                <w:szCs w:val="15"/>
              </w:rPr>
              <w:t xml:space="preserve">87.5%</w:t>
            </w:r>
          </w:p>
        </w:tc>
        <w:tc>
          <w:tcPr>
            <w:tcW w:w="961" w:type="dxa"/>
          </w:tcPr>
          <w:p>
            <w:pPr>
              <w:pStyle w:val="Compact"/>
              <w:jc w:val="left"/>
              <w:spacing w:before="20" w:after="20" w:line="220" w:lineRule="auto"/>
            </w:pPr>
            <w:r>
              <w:rPr>
                <w:sz w:val="15"/>
                <w:szCs w:val="15"/>
              </w:rPr>
              <w:t xml:space="preserve">87.5%</w:t>
            </w:r>
          </w:p>
        </w:tc>
        <w:tc>
          <w:tcPr>
            <w:tcW w:w="961" w:type="dxa"/>
          </w:tcPr>
          <w:p>
            <w:pPr>
              <w:pStyle w:val="Compact"/>
              <w:jc w:val="left"/>
              <w:spacing w:before="20" w:after="20" w:line="220" w:lineRule="auto"/>
            </w:pPr>
            <w:r>
              <w:rPr>
                <w:sz w:val="15"/>
                <w:szCs w:val="15"/>
              </w:rPr>
              <w:t xml:space="preserve">yes</w:t>
            </w:r>
          </w:p>
        </w:tc>
      </w:tr>
      <w:tr>
        <w:tc>
          <w:tcPr>
            <w:tcW w:w="3921" w:type="dxa"/>
          </w:tcPr>
          <w:p>
            <w:pPr>
              <w:pStyle w:val="Compact"/>
              <w:jc w:val="left"/>
              <w:spacing w:before="20" w:after="20" w:line="220" w:lineRule="auto"/>
            </w:pPr>
            <w:r>
              <w:rPr>
                <w:sz w:val="15"/>
                <w:szCs w:val="15"/>
              </w:rPr>
              <w:t xml:space="preserve">OUTsurance SA</w:t>
            </w:r>
          </w:p>
        </w:tc>
        <w:tc>
          <w:tcPr>
            <w:tcW w:w="672" w:type="dxa"/>
          </w:tcPr>
          <w:p>
            <w:pPr>
              <w:pStyle w:val="Compact"/>
              <w:jc w:val="left"/>
              <w:spacing w:before="20" w:after="20" w:line="220" w:lineRule="auto"/>
            </w:pPr>
            <w:r>
              <w:rPr>
                <w:sz w:val="15"/>
                <w:szCs w:val="15"/>
              </w:rPr>
              <w:t xml:space="preserve">LN</w:t>
            </w:r>
          </w:p>
        </w:tc>
        <w:tc>
          <w:tcPr>
            <w:tcW w:w="672" w:type="dxa"/>
          </w:tcPr>
          <w:p>
            <w:pPr>
              <w:pStyle w:val="Compact"/>
              <w:jc w:val="left"/>
              <w:spacing w:before="20" w:after="20" w:line="220" w:lineRule="auto"/>
            </w:pPr>
            <w:r>
              <w:rPr>
                <w:sz w:val="15"/>
                <w:szCs w:val="15"/>
              </w:rPr>
              <w:t xml:space="preserve">nonlife</w:t>
            </w:r>
          </w:p>
        </w:tc>
        <w:tc>
          <w:tcPr>
            <w:tcW w:w="2133" w:type="dxa"/>
          </w:tcPr>
          <w:p>
            <w:pPr>
              <w:pStyle w:val="Compact"/>
              <w:jc w:val="left"/>
              <w:spacing w:before="20" w:after="20" w:line="220" w:lineRule="auto"/>
            </w:pPr>
            <w:r>
              <w:rPr>
                <w:sz w:val="15"/>
                <w:szCs w:val="15"/>
              </w:rPr>
              <w:t xml:space="preserve">direct</w:t>
            </w:r>
          </w:p>
        </w:tc>
        <w:tc>
          <w:tcPr>
            <w:tcW w:w="3517" w:type="dxa"/>
          </w:tcPr>
          <w:p>
            <w:pPr>
              <w:pStyle w:val="Compact"/>
              <w:jc w:val="left"/>
              <w:spacing w:before="20" w:after="20" w:line="220" w:lineRule="auto"/>
            </w:pPr>
            <w:r>
              <w:rPr>
                <w:sz w:val="15"/>
                <w:szCs w:val="15"/>
              </w:rPr>
              <w:t xml:space="preserve">Management basis</w:t>
            </w:r>
          </w:p>
        </w:tc>
        <w:tc>
          <w:tcPr>
            <w:tcW w:w="1153" w:type="dxa"/>
          </w:tcPr>
          <w:p>
            <w:pPr>
              <w:pStyle w:val="Compact"/>
              <w:jc w:val="left"/>
              <w:spacing w:before="20" w:after="20" w:line="220" w:lineRule="auto"/>
            </w:pPr>
            <w:r>
              <w:rPr>
                <w:sz w:val="15"/>
                <w:szCs w:val="15"/>
              </w:rPr>
              <w:t xml:space="preserve">FY2026 (Jun)</w:t>
            </w:r>
          </w:p>
        </w:tc>
        <w:tc>
          <w:tcPr>
            <w:tcW w:w="576" w:type="dxa"/>
          </w:tcPr>
          <w:p>
            <w:pPr>
              <w:pStyle w:val="Compact"/>
              <w:jc w:val="left"/>
              <w:spacing w:before="20" w:after="20" w:line="220" w:lineRule="auto"/>
            </w:pPr>
            <w:r>
              <w:rPr>
                <w:sz w:val="15"/>
                <w:szCs w:val="15"/>
              </w:rPr>
              <w:t xml:space="preserve">65.2%</w:t>
            </w:r>
          </w:p>
        </w:tc>
        <w:tc>
          <w:tcPr>
            <w:tcW w:w="961" w:type="dxa"/>
          </w:tcPr>
          <w:p>
            <w:pPr>
              <w:pStyle w:val="Compact"/>
              <w:jc w:val="left"/>
              <w:spacing w:before="20" w:after="20" w:line="220" w:lineRule="auto"/>
            </w:pPr>
            <w:r>
              <w:rPr>
                <w:sz w:val="15"/>
                <w:szCs w:val="15"/>
              </w:rPr>
              <w:t xml:space="preserve">65.2%</w:t>
            </w:r>
          </w:p>
        </w:tc>
        <w:tc>
          <w:tcPr>
            <w:tcW w:w="961" w:type="dxa"/>
          </w:tcPr>
          <w:p>
            <w:pPr>
              <w:pStyle w:val="Compact"/>
              <w:jc w:val="left"/>
              <w:spacing w:before="20" w:after="20" w:line="220" w:lineRule="auto"/>
            </w:pPr>
            <w:r>
              <w:rPr>
                <w:sz w:val="15"/>
                <w:szCs w:val="15"/>
              </w:rPr>
              <w:t xml:space="preserve">yes</w:t>
            </w:r>
          </w:p>
        </w:tc>
      </w:tr>
      <w:tr>
        <w:tc>
          <w:tcPr>
            <w:tcW w:w="3921" w:type="dxa"/>
          </w:tcPr>
          <w:p>
            <w:pPr>
              <w:pStyle w:val="Compact"/>
              <w:jc w:val="left"/>
              <w:spacing w:before="20" w:after="20" w:line="220" w:lineRule="auto"/>
            </w:pPr>
            <w:r>
              <w:rPr>
                <w:sz w:val="15"/>
                <w:szCs w:val="15"/>
              </w:rPr>
              <w:t xml:space="preserve">Santam conventional (1 minus underwriting margin)</w:t>
            </w:r>
          </w:p>
        </w:tc>
        <w:tc>
          <w:tcPr>
            <w:tcW w:w="672" w:type="dxa"/>
          </w:tcPr>
          <w:p>
            <w:pPr>
              <w:pStyle w:val="Compact"/>
              <w:jc w:val="left"/>
              <w:spacing w:before="20" w:after="20" w:line="220" w:lineRule="auto"/>
            </w:pPr>
            <w:r>
              <w:rPr>
                <w:sz w:val="15"/>
                <w:szCs w:val="15"/>
              </w:rPr>
              <w:t xml:space="preserve">LN</w:t>
            </w:r>
          </w:p>
        </w:tc>
        <w:tc>
          <w:tcPr>
            <w:tcW w:w="672" w:type="dxa"/>
          </w:tcPr>
          <w:p>
            <w:pPr>
              <w:pStyle w:val="Compact"/>
              <w:jc w:val="left"/>
              <w:spacing w:before="20" w:after="20" w:line="220" w:lineRule="auto"/>
            </w:pPr>
            <w:r>
              <w:rPr>
                <w:sz w:val="15"/>
                <w:szCs w:val="15"/>
              </w:rPr>
              <w:t xml:space="preserve">nonlife</w:t>
            </w:r>
          </w:p>
        </w:tc>
        <w:tc>
          <w:tcPr>
            <w:tcW w:w="2133" w:type="dxa"/>
          </w:tcPr>
          <w:p>
            <w:pPr>
              <w:pStyle w:val="Compact"/>
              <w:jc w:val="left"/>
              <w:spacing w:before="20" w:after="20" w:line="220" w:lineRule="auto"/>
            </w:pPr>
            <w:r>
              <w:rPr>
                <w:sz w:val="15"/>
                <w:szCs w:val="15"/>
              </w:rPr>
              <w:t xml:space="preserve">open</w:t>
            </w:r>
          </w:p>
        </w:tc>
        <w:tc>
          <w:tcPr>
            <w:tcW w:w="3517" w:type="dxa"/>
          </w:tcPr>
          <w:p>
            <w:pPr>
              <w:pStyle w:val="Compact"/>
              <w:jc w:val="left"/>
              <w:spacing w:before="20" w:after="20" w:line="220" w:lineRule="auto"/>
            </w:pPr>
            <w:r>
              <w:rPr>
                <w:sz w:val="15"/>
                <w:szCs w:val="15"/>
              </w:rPr>
              <w:t xml:space="preserve">Management basis</w:t>
            </w:r>
          </w:p>
        </w:tc>
        <w:tc>
          <w:tcPr>
            <w:tcW w:w="1153" w:type="dxa"/>
          </w:tcPr>
          <w:p>
            <w:pPr>
              <w:pStyle w:val="Compact"/>
              <w:jc w:val="left"/>
              <w:spacing w:before="20" w:after="20" w:line="220" w:lineRule="auto"/>
            </w:pPr>
            <w:r>
              <w:rPr>
                <w:sz w:val="15"/>
                <w:szCs w:val="15"/>
              </w:rPr>
              <w:t xml:space="preserve">FY2025 (Dec)</w:t>
            </w:r>
          </w:p>
        </w:tc>
        <w:tc>
          <w:tcPr>
            <w:tcW w:w="576" w:type="dxa"/>
          </w:tcPr>
          <w:p>
            <w:pPr>
              <w:pStyle w:val="Compact"/>
              <w:jc w:val="left"/>
              <w:spacing w:before="20" w:after="20" w:line="220" w:lineRule="auto"/>
            </w:pPr>
            <w:r>
              <w:rPr>
                <w:sz w:val="15"/>
                <w:szCs w:val="15"/>
              </w:rPr>
              <w:t xml:space="preserve">88.7%</w:t>
            </w:r>
          </w:p>
        </w:tc>
        <w:tc>
          <w:tcPr>
            <w:tcW w:w="961" w:type="dxa"/>
          </w:tcPr>
          <w:p>
            <w:pPr>
              <w:pStyle w:val="Compact"/>
              <w:jc w:val="left"/>
              <w:spacing w:before="20" w:after="20" w:line="220" w:lineRule="auto"/>
            </w:pPr>
            <w:r>
              <w:rPr>
                <w:sz w:val="15"/>
                <w:szCs w:val="15"/>
              </w:rPr>
              <w:t xml:space="preserve">88.7%</w:t>
            </w:r>
          </w:p>
        </w:tc>
        <w:tc>
          <w:tcPr>
            <w:tcW w:w="961" w:type="dxa"/>
          </w:tcPr>
          <w:p>
            <w:pPr>
              <w:pStyle w:val="Compact"/>
              <w:jc w:val="left"/>
              <w:spacing w:before="20" w:after="20" w:line="220" w:lineRule="auto"/>
            </w:pPr>
            <w:r>
              <w:rPr>
                <w:sz w:val="15"/>
                <w:szCs w:val="15"/>
              </w:rPr>
              <w:t xml:space="preserve">yes</w:t>
            </w:r>
          </w:p>
        </w:tc>
      </w:tr>
    </w:tbl>
    <w:bookmarkEnd w:id="29"/>
    <w:bookmarkStart w:id="30" w:name="Xa223d833b01cef46d402eaaa3ab4d4a0aa637ba"/>
    <w:p>
      <w:pPr>
        <w:pStyle w:val="Heading4"/>
      </w:pPr>
      <w:r>
        <w:t xml:space="preserve">M6: Operating cost per in-force policy or contract (ZAR)</w:t>
      </w:r>
    </w:p>
    <w:tbl>
      <w:tblPr>
        <w:tblStyle w:val="Table"/>
        <w:tblLook w:firstRow="1" w:lastRow="0" w:firstColumn="0" w:lastColumn="0" w:noHBand="0" w:noVBand="0" w:val="0020"/>
        <w:jc w:val="start"/>
        <w:tblW w:w="14565" w:type="dxa"/>
        <w:tblLayout w:type="fixed"/>
      </w:tblPr>
      <w:tblGrid>
        <w:gridCol w:w="4442"/>
        <w:gridCol w:w="762"/>
        <w:gridCol w:w="980"/>
        <w:gridCol w:w="1306"/>
        <w:gridCol w:w="2940"/>
        <w:gridCol w:w="1306"/>
        <w:gridCol w:w="653"/>
        <w:gridCol w:w="1088"/>
        <w:gridCol w:w="1088"/>
      </w:tblGrid>
      <w:tr>
        <w:trPr>
          <w:tblHeader w:val="true"/>
        </w:trPr>
        <w:tc>
          <w:tcPr>
            <w:tcW w:w="4442" w:type="dxa"/>
          </w:tcPr>
          <w:p>
            <w:pPr>
              <w:pStyle w:val="Compact"/>
              <w:jc w:val="left"/>
              <w:spacing w:before="20" w:after="20" w:line="220" w:lineRule="auto"/>
            </w:pPr>
            <w:r>
              <w:rPr>
                <w:sz w:val="15"/>
                <w:szCs w:val="15"/>
              </w:rPr>
              <w:t xml:space="preserve">Entity</w:t>
            </w:r>
          </w:p>
        </w:tc>
        <w:tc>
          <w:tcPr>
            <w:tcW w:w="762" w:type="dxa"/>
          </w:tcPr>
          <w:p>
            <w:pPr>
              <w:pStyle w:val="Compact"/>
              <w:jc w:val="left"/>
              <w:spacing w:before="20" w:after="20" w:line="220" w:lineRule="auto"/>
            </w:pPr>
            <w:r>
              <w:rPr>
                <w:sz w:val="15"/>
                <w:szCs w:val="15"/>
              </w:rPr>
              <w:t xml:space="preserve">Cluster</w:t>
            </w:r>
          </w:p>
        </w:tc>
        <w:tc>
          <w:tcPr>
            <w:tcW w:w="980" w:type="dxa"/>
          </w:tcPr>
          <w:p>
            <w:pPr>
              <w:pStyle w:val="Compact"/>
              <w:jc w:val="left"/>
              <w:spacing w:before="20" w:after="20" w:line="220" w:lineRule="auto"/>
            </w:pPr>
            <w:r>
              <w:rPr>
                <w:sz w:val="15"/>
                <w:szCs w:val="15"/>
              </w:rPr>
              <w:t xml:space="preserve">Mix</w:t>
            </w:r>
          </w:p>
        </w:tc>
        <w:tc>
          <w:tcPr>
            <w:tcW w:w="1306" w:type="dxa"/>
          </w:tcPr>
          <w:p>
            <w:pPr>
              <w:pStyle w:val="Compact"/>
              <w:jc w:val="left"/>
              <w:spacing w:before="20" w:after="20" w:line="220" w:lineRule="auto"/>
            </w:pPr>
            <w:r>
              <w:rPr>
                <w:sz w:val="15"/>
                <w:szCs w:val="15"/>
              </w:rPr>
              <w:t xml:space="preserve">Distribution</w:t>
            </w:r>
          </w:p>
        </w:tc>
        <w:tc>
          <w:tcPr>
            <w:tcW w:w="2940" w:type="dxa"/>
          </w:tcPr>
          <w:p>
            <w:pPr>
              <w:pStyle w:val="Compact"/>
              <w:jc w:val="left"/>
              <w:spacing w:before="20" w:after="20" w:line="220" w:lineRule="auto"/>
            </w:pPr>
            <w:r>
              <w:rPr>
                <w:sz w:val="15"/>
                <w:szCs w:val="15"/>
              </w:rPr>
              <w:t xml:space="preserve">Basis</w:t>
            </w:r>
          </w:p>
        </w:tc>
        <w:tc>
          <w:tcPr>
            <w:tcW w:w="1306" w:type="dxa"/>
          </w:tcPr>
          <w:p>
            <w:pPr>
              <w:pStyle w:val="Compact"/>
              <w:jc w:val="left"/>
              <w:spacing w:before="20" w:after="20" w:line="220" w:lineRule="auto"/>
            </w:pPr>
            <w:r>
              <w:rPr>
                <w:sz w:val="15"/>
                <w:szCs w:val="15"/>
              </w:rPr>
              <w:t xml:space="preserve">Period</w:t>
            </w:r>
          </w:p>
        </w:tc>
        <w:tc>
          <w:tcPr>
            <w:tcW w:w="653" w:type="dxa"/>
          </w:tcPr>
          <w:p>
            <w:pPr>
              <w:pStyle w:val="Compact"/>
              <w:jc w:val="left"/>
              <w:spacing w:before="20" w:after="20" w:line="220" w:lineRule="auto"/>
            </w:pPr>
            <w:r>
              <w:rPr>
                <w:sz w:val="15"/>
                <w:szCs w:val="15"/>
              </w:rPr>
              <w:t xml:space="preserve">Raw</w:t>
            </w:r>
          </w:p>
        </w:tc>
        <w:tc>
          <w:tcPr>
            <w:tcW w:w="1088" w:type="dxa"/>
          </w:tcPr>
          <w:p>
            <w:pPr>
              <w:pStyle w:val="Compact"/>
              <w:jc w:val="left"/>
              <w:spacing w:before="20" w:after="20" w:line="220" w:lineRule="auto"/>
            </w:pPr>
            <w:r>
              <w:rPr>
                <w:sz w:val="15"/>
                <w:szCs w:val="15"/>
              </w:rPr>
              <w:t xml:space="preserve">Normalised</w:t>
            </w:r>
          </w:p>
        </w:tc>
        <w:tc>
          <w:tcPr>
            <w:tcW w:w="1088" w:type="dxa"/>
          </w:tcPr>
          <w:p>
            <w:pPr>
              <w:pStyle w:val="Compact"/>
              <w:jc w:val="left"/>
              <w:spacing w:before="20" w:after="20" w:line="220" w:lineRule="auto"/>
            </w:pPr>
            <w:r>
              <w:rPr>
                <w:sz w:val="15"/>
                <w:szCs w:val="15"/>
              </w:rPr>
              <w:t xml:space="preserve">In medians</w:t>
            </w:r>
          </w:p>
        </w:tc>
      </w:tr>
      <w:tr>
        <w:tc>
          <w:tcPr>
            <w:tcW w:w="4442" w:type="dxa"/>
          </w:tcPr>
          <w:p>
            <w:pPr>
              <w:pStyle w:val="Compact"/>
              <w:jc w:val="left"/>
              <w:spacing w:before="20" w:after="20" w:line="220" w:lineRule="auto"/>
            </w:pPr>
            <w:r>
              <w:rPr>
                <w:sz w:val="15"/>
                <w:szCs w:val="15"/>
              </w:rPr>
              <w:t xml:space="preserve">Capitec Life (Capitec)</w:t>
            </w:r>
          </w:p>
        </w:tc>
        <w:tc>
          <w:tcPr>
            <w:tcW w:w="762" w:type="dxa"/>
          </w:tcPr>
          <w:p>
            <w:pPr>
              <w:pStyle w:val="Compact"/>
              <w:jc w:val="left"/>
              <w:spacing w:before="20" w:after="20" w:line="220" w:lineRule="auto"/>
            </w:pPr>
            <w:r>
              <w:rPr>
                <w:sz w:val="15"/>
                <w:szCs w:val="15"/>
              </w:rPr>
              <w:t xml:space="preserve">LB</w:t>
            </w:r>
          </w:p>
        </w:tc>
        <w:tc>
          <w:tcPr>
            <w:tcW w:w="980" w:type="dxa"/>
          </w:tcPr>
          <w:p>
            <w:pPr>
              <w:pStyle w:val="Compact"/>
              <w:jc w:val="left"/>
              <w:spacing w:before="20" w:after="20" w:line="220" w:lineRule="auto"/>
            </w:pPr>
            <w:r>
              <w:rPr>
                <w:sz w:val="15"/>
                <w:szCs w:val="15"/>
              </w:rPr>
              <w:t xml:space="preserve">life</w:t>
            </w:r>
          </w:p>
        </w:tc>
        <w:tc>
          <w:tcPr>
            <w:tcW w:w="1306" w:type="dxa"/>
          </w:tcPr>
          <w:p>
            <w:pPr>
              <w:pStyle w:val="Compact"/>
              <w:jc w:val="left"/>
              <w:spacing w:before="20" w:after="20" w:line="220" w:lineRule="auto"/>
            </w:pPr>
            <w:r>
              <w:rPr>
                <w:sz w:val="15"/>
                <w:szCs w:val="15"/>
              </w:rPr>
              <w:t xml:space="preserve">bank captive</w:t>
            </w:r>
          </w:p>
        </w:tc>
        <w:tc>
          <w:tcPr>
            <w:tcW w:w="2940" w:type="dxa"/>
          </w:tcPr>
          <w:p>
            <w:pPr>
              <w:pStyle w:val="Compact"/>
              <w:jc w:val="left"/>
              <w:spacing w:before="20" w:after="20" w:line="220" w:lineRule="auto"/>
            </w:pPr>
            <w:r>
              <w:rPr>
                <w:sz w:val="15"/>
                <w:szCs w:val="15"/>
              </w:rPr>
              <w:t xml:space="preserve">IFRS 17 / policy counts</w:t>
            </w:r>
          </w:p>
        </w:tc>
        <w:tc>
          <w:tcPr>
            <w:tcW w:w="1306" w:type="dxa"/>
          </w:tcPr>
          <w:p>
            <w:pPr>
              <w:pStyle w:val="Compact"/>
              <w:jc w:val="left"/>
              <w:spacing w:before="20" w:after="20" w:line="220" w:lineRule="auto"/>
            </w:pPr>
            <w:r>
              <w:rPr>
                <w:sz w:val="15"/>
                <w:szCs w:val="15"/>
              </w:rPr>
              <w:t xml:space="preserve">FY2026 (Feb)</w:t>
            </w:r>
          </w:p>
        </w:tc>
        <w:tc>
          <w:tcPr>
            <w:tcW w:w="653" w:type="dxa"/>
          </w:tcPr>
          <w:p>
            <w:pPr>
              <w:pStyle w:val="Compact"/>
              <w:jc w:val="left"/>
              <w:spacing w:before="20" w:after="20" w:line="220" w:lineRule="auto"/>
            </w:pPr>
            <w:r>
              <w:rPr>
                <w:sz w:val="15"/>
                <w:szCs w:val="15"/>
              </w:rPr>
              <w:t xml:space="preserve">R93</w:t>
            </w:r>
          </w:p>
        </w:tc>
        <w:tc>
          <w:tcPr>
            <w:tcW w:w="1088" w:type="dxa"/>
          </w:tcPr>
          <w:p>
            <w:pPr>
              <w:pStyle w:val="Compact"/>
              <w:jc w:val="left"/>
              <w:spacing w:before="20" w:after="20" w:line="220" w:lineRule="auto"/>
            </w:pPr>
            <w:r>
              <w:rPr>
                <w:sz w:val="15"/>
                <w:szCs w:val="15"/>
              </w:rPr>
              <w:t xml:space="preserve">R93</w:t>
            </w:r>
          </w:p>
        </w:tc>
        <w:tc>
          <w:tcPr>
            <w:tcW w:w="1088" w:type="dxa"/>
          </w:tcPr>
          <w:p>
            <w:pPr>
              <w:pStyle w:val="Compact"/>
              <w:jc w:val="left"/>
              <w:spacing w:before="20" w:after="20" w:line="220" w:lineRule="auto"/>
            </w:pPr>
            <w:r>
              <w:rPr>
                <w:sz w:val="15"/>
                <w:szCs w:val="15"/>
              </w:rPr>
              <w:t xml:space="preserve">yes</w:t>
            </w:r>
          </w:p>
        </w:tc>
      </w:tr>
      <w:tr>
        <w:tc>
          <w:tcPr>
            <w:tcW w:w="4442" w:type="dxa"/>
          </w:tcPr>
          <w:p>
            <w:pPr>
              <w:pStyle w:val="Compact"/>
              <w:jc w:val="left"/>
              <w:spacing w:before="20" w:after="20" w:line="220" w:lineRule="auto"/>
            </w:pPr>
            <w:r>
              <w:rPr>
                <w:sz w:val="15"/>
                <w:szCs w:val="15"/>
              </w:rPr>
              <w:t xml:space="preserve">SBI Life (opex per in-force life)</w:t>
            </w:r>
          </w:p>
        </w:tc>
        <w:tc>
          <w:tcPr>
            <w:tcW w:w="762" w:type="dxa"/>
          </w:tcPr>
          <w:p>
            <w:pPr>
              <w:pStyle w:val="Compact"/>
              <w:jc w:val="left"/>
              <w:spacing w:before="20" w:after="20" w:line="220" w:lineRule="auto"/>
            </w:pPr>
            <w:r>
              <w:rPr>
                <w:sz w:val="15"/>
                <w:szCs w:val="15"/>
              </w:rPr>
              <w:t xml:space="preserve">EM</w:t>
            </w:r>
          </w:p>
        </w:tc>
        <w:tc>
          <w:tcPr>
            <w:tcW w:w="980" w:type="dxa"/>
          </w:tcPr>
          <w:p>
            <w:pPr>
              <w:pStyle w:val="Compact"/>
              <w:jc w:val="left"/>
              <w:spacing w:before="20" w:after="20" w:line="220" w:lineRule="auto"/>
            </w:pPr>
            <w:r>
              <w:rPr>
                <w:sz w:val="15"/>
                <w:szCs w:val="15"/>
              </w:rPr>
              <w:t xml:space="preserve">life</w:t>
            </w:r>
          </w:p>
        </w:tc>
        <w:tc>
          <w:tcPr>
            <w:tcW w:w="1306" w:type="dxa"/>
          </w:tcPr>
          <w:p>
            <w:pPr>
              <w:pStyle w:val="Compact"/>
              <w:jc w:val="left"/>
              <w:spacing w:before="20" w:after="20" w:line="220" w:lineRule="auto"/>
            </w:pPr>
            <w:r>
              <w:rPr>
                <w:sz w:val="15"/>
                <w:szCs w:val="15"/>
              </w:rPr>
              <w:t xml:space="preserve">bank-led</w:t>
            </w:r>
          </w:p>
        </w:tc>
        <w:tc>
          <w:tcPr>
            <w:tcW w:w="2940" w:type="dxa"/>
          </w:tcPr>
          <w:p>
            <w:pPr>
              <w:pStyle w:val="Compact"/>
              <w:jc w:val="left"/>
              <w:spacing w:before="20" w:after="20" w:line="220" w:lineRule="auto"/>
            </w:pPr>
            <w:r>
              <w:rPr>
                <w:sz w:val="15"/>
                <w:szCs w:val="15"/>
              </w:rPr>
              <w:t xml:space="preserve">IRDAI GAAP / lives</w:t>
            </w:r>
          </w:p>
        </w:tc>
        <w:tc>
          <w:tcPr>
            <w:tcW w:w="1306" w:type="dxa"/>
          </w:tcPr>
          <w:p>
            <w:pPr>
              <w:pStyle w:val="Compact"/>
              <w:jc w:val="left"/>
              <w:spacing w:before="20" w:after="20" w:line="220" w:lineRule="auto"/>
            </w:pPr>
            <w:r>
              <w:rPr>
                <w:sz w:val="15"/>
                <w:szCs w:val="15"/>
              </w:rPr>
              <w:t xml:space="preserve">FY2026 (Mar)</w:t>
            </w:r>
          </w:p>
        </w:tc>
        <w:tc>
          <w:tcPr>
            <w:tcW w:w="653" w:type="dxa"/>
          </w:tcPr>
          <w:p>
            <w:pPr>
              <w:pStyle w:val="Compact"/>
              <w:jc w:val="left"/>
              <w:spacing w:before="20" w:after="20" w:line="220" w:lineRule="auto"/>
            </w:pPr>
            <w:r>
              <w:rPr>
                <w:sz w:val="15"/>
                <w:szCs w:val="15"/>
              </w:rPr>
              <w:t xml:space="preserve">R150</w:t>
            </w:r>
          </w:p>
        </w:tc>
        <w:tc>
          <w:tcPr>
            <w:tcW w:w="1088" w:type="dxa"/>
          </w:tcPr>
          <w:p>
            <w:pPr>
              <w:pStyle w:val="Compact"/>
              <w:jc w:val="left"/>
              <w:spacing w:before="20" w:after="20" w:line="220" w:lineRule="auto"/>
            </w:pPr>
            <w:r>
              <w:rPr>
                <w:sz w:val="15"/>
                <w:szCs w:val="15"/>
              </w:rPr>
              <w:t xml:space="preserve">R150</w:t>
            </w:r>
          </w:p>
        </w:tc>
        <w:tc>
          <w:tcPr>
            <w:tcW w:w="1088" w:type="dxa"/>
          </w:tcPr>
          <w:p>
            <w:pPr>
              <w:pStyle w:val="Compact"/>
              <w:jc w:val="left"/>
              <w:spacing w:before="20" w:after="20" w:line="220" w:lineRule="auto"/>
            </w:pPr>
            <w:r>
              <w:rPr>
                <w:sz w:val="15"/>
                <w:szCs w:val="15"/>
              </w:rPr>
              <w:t xml:space="preserve">yes</w:t>
            </w:r>
          </w:p>
        </w:tc>
      </w:tr>
      <w:tr>
        <w:tc>
          <w:tcPr>
            <w:tcW w:w="4442" w:type="dxa"/>
          </w:tcPr>
          <w:p>
            <w:pPr>
              <w:pStyle w:val="Compact"/>
              <w:jc w:val="left"/>
              <w:spacing w:before="20" w:after="20" w:line="220" w:lineRule="auto"/>
            </w:pPr>
            <w:r>
              <w:rPr>
                <w:sz w:val="15"/>
                <w:szCs w:val="15"/>
              </w:rPr>
              <w:t xml:space="preserve">Credit Agricole Assurances (P&amp;C, Solvency II expenses incl. commission)</w:t>
            </w:r>
          </w:p>
        </w:tc>
        <w:tc>
          <w:tcPr>
            <w:tcW w:w="762" w:type="dxa"/>
          </w:tcPr>
          <w:p>
            <w:pPr>
              <w:pStyle w:val="Compact"/>
              <w:jc w:val="left"/>
              <w:spacing w:before="20" w:after="20" w:line="220" w:lineRule="auto"/>
            </w:pPr>
            <w:r>
              <w:rPr>
                <w:sz w:val="15"/>
                <w:szCs w:val="15"/>
              </w:rPr>
              <w:t xml:space="preserve">EU</w:t>
            </w:r>
          </w:p>
        </w:tc>
        <w:tc>
          <w:tcPr>
            <w:tcW w:w="980" w:type="dxa"/>
          </w:tcPr>
          <w:p>
            <w:pPr>
              <w:pStyle w:val="Compact"/>
              <w:jc w:val="left"/>
              <w:spacing w:before="20" w:after="20" w:line="220" w:lineRule="auto"/>
            </w:pPr>
            <w:r>
              <w:rPr>
                <w:sz w:val="15"/>
                <w:szCs w:val="15"/>
              </w:rPr>
              <w:t xml:space="preserve">nonlife</w:t>
            </w:r>
          </w:p>
        </w:tc>
        <w:tc>
          <w:tcPr>
            <w:tcW w:w="1306" w:type="dxa"/>
          </w:tcPr>
          <w:p>
            <w:pPr>
              <w:pStyle w:val="Compact"/>
              <w:jc w:val="left"/>
              <w:spacing w:before="20" w:after="20" w:line="220" w:lineRule="auto"/>
            </w:pPr>
            <w:r>
              <w:rPr>
                <w:sz w:val="15"/>
                <w:szCs w:val="15"/>
              </w:rPr>
              <w:t xml:space="preserve">bank captive</w:t>
            </w:r>
          </w:p>
        </w:tc>
        <w:tc>
          <w:tcPr>
            <w:tcW w:w="2940" w:type="dxa"/>
          </w:tcPr>
          <w:p>
            <w:pPr>
              <w:pStyle w:val="Compact"/>
              <w:jc w:val="left"/>
              <w:spacing w:before="20" w:after="20" w:line="220" w:lineRule="auto"/>
            </w:pPr>
            <w:r>
              <w:rPr>
                <w:sz w:val="15"/>
                <w:szCs w:val="15"/>
              </w:rPr>
              <w:t xml:space="preserve">Solvency II expenses / contract count</w:t>
            </w:r>
          </w:p>
        </w:tc>
        <w:tc>
          <w:tcPr>
            <w:tcW w:w="1306" w:type="dxa"/>
          </w:tcPr>
          <w:p>
            <w:pPr>
              <w:pStyle w:val="Compact"/>
              <w:jc w:val="left"/>
              <w:spacing w:before="20" w:after="20" w:line="220" w:lineRule="auto"/>
            </w:pPr>
            <w:r>
              <w:rPr>
                <w:sz w:val="15"/>
                <w:szCs w:val="15"/>
              </w:rPr>
              <w:t xml:space="preserve">FY2025 (Dec)</w:t>
            </w:r>
          </w:p>
        </w:tc>
        <w:tc>
          <w:tcPr>
            <w:tcW w:w="653" w:type="dxa"/>
          </w:tcPr>
          <w:p>
            <w:pPr>
              <w:pStyle w:val="Compact"/>
              <w:jc w:val="left"/>
              <w:spacing w:before="20" w:after="20" w:line="220" w:lineRule="auto"/>
            </w:pPr>
            <w:r>
              <w:rPr>
                <w:sz w:val="15"/>
                <w:szCs w:val="15"/>
              </w:rPr>
              <w:t xml:space="preserve">R2,613</w:t>
            </w:r>
          </w:p>
        </w:tc>
        <w:tc>
          <w:tcPr>
            <w:tcW w:w="1088" w:type="dxa"/>
          </w:tcPr>
          <w:p>
            <w:pPr>
              <w:pStyle w:val="Compact"/>
              <w:jc w:val="left"/>
              <w:spacing w:before="20" w:after="20" w:line="220" w:lineRule="auto"/>
            </w:pPr>
            <w:r>
              <w:rPr>
                <w:sz w:val="15"/>
                <w:szCs w:val="15"/>
              </w:rPr>
              <w:t xml:space="preserve">R2,613</w:t>
            </w:r>
          </w:p>
        </w:tc>
        <w:tc>
          <w:tcPr>
            <w:tcW w:w="1088" w:type="dxa"/>
          </w:tcPr>
          <w:p>
            <w:pPr>
              <w:pStyle w:val="Compact"/>
              <w:jc w:val="left"/>
              <w:spacing w:before="20" w:after="20" w:line="220" w:lineRule="auto"/>
            </w:pPr>
            <w:r>
              <w:rPr>
                <w:sz w:val="15"/>
                <w:szCs w:val="15"/>
              </w:rPr>
              <w:t xml:space="preserve">yes</w:t>
            </w:r>
          </w:p>
        </w:tc>
      </w:tr>
      <w:tr>
        <w:tc>
          <w:tcPr>
            <w:tcW w:w="4442" w:type="dxa"/>
          </w:tcPr>
          <w:p>
            <w:pPr>
              <w:pStyle w:val="Compact"/>
              <w:jc w:val="left"/>
              <w:spacing w:before="20" w:after="20" w:line="220" w:lineRule="auto"/>
            </w:pPr>
            <w:r>
              <w:rPr>
                <w:sz w:val="15"/>
                <w:szCs w:val="15"/>
              </w:rPr>
              <w:t xml:space="preserve">OUTsurance Group (SA, Australia, Ireland)</w:t>
            </w:r>
          </w:p>
        </w:tc>
        <w:tc>
          <w:tcPr>
            <w:tcW w:w="762" w:type="dxa"/>
          </w:tcPr>
          <w:p>
            <w:pPr>
              <w:pStyle w:val="Compact"/>
              <w:jc w:val="left"/>
              <w:spacing w:before="20" w:after="20" w:line="220" w:lineRule="auto"/>
            </w:pPr>
            <w:r>
              <w:rPr>
                <w:sz w:val="15"/>
                <w:szCs w:val="15"/>
              </w:rPr>
              <w:t xml:space="preserve">LN</w:t>
            </w:r>
          </w:p>
        </w:tc>
        <w:tc>
          <w:tcPr>
            <w:tcW w:w="980" w:type="dxa"/>
          </w:tcPr>
          <w:p>
            <w:pPr>
              <w:pStyle w:val="Compact"/>
              <w:jc w:val="left"/>
              <w:spacing w:before="20" w:after="20" w:line="220" w:lineRule="auto"/>
            </w:pPr>
            <w:r>
              <w:rPr>
                <w:sz w:val="15"/>
                <w:szCs w:val="15"/>
              </w:rPr>
              <w:t xml:space="preserve">nonlife</w:t>
            </w:r>
          </w:p>
        </w:tc>
        <w:tc>
          <w:tcPr>
            <w:tcW w:w="1306" w:type="dxa"/>
          </w:tcPr>
          <w:p>
            <w:pPr>
              <w:pStyle w:val="Compact"/>
              <w:jc w:val="left"/>
              <w:spacing w:before="20" w:after="20" w:line="220" w:lineRule="auto"/>
            </w:pPr>
            <w:r>
              <w:rPr>
                <w:sz w:val="15"/>
                <w:szCs w:val="15"/>
              </w:rPr>
              <w:t xml:space="preserve">direct</w:t>
            </w:r>
          </w:p>
        </w:tc>
        <w:tc>
          <w:tcPr>
            <w:tcW w:w="2940" w:type="dxa"/>
          </w:tcPr>
          <w:p>
            <w:pPr>
              <w:pStyle w:val="Compact"/>
              <w:jc w:val="left"/>
              <w:spacing w:before="20" w:after="20" w:line="220" w:lineRule="auto"/>
            </w:pPr>
            <w:r>
              <w:rPr>
                <w:sz w:val="15"/>
                <w:szCs w:val="15"/>
              </w:rPr>
              <w:t xml:space="preserve">IFRS 17 / policy counts</w:t>
            </w:r>
          </w:p>
        </w:tc>
        <w:tc>
          <w:tcPr>
            <w:tcW w:w="1306" w:type="dxa"/>
          </w:tcPr>
          <w:p>
            <w:pPr>
              <w:pStyle w:val="Compact"/>
              <w:jc w:val="left"/>
              <w:spacing w:before="20" w:after="20" w:line="220" w:lineRule="auto"/>
            </w:pPr>
            <w:r>
              <w:rPr>
                <w:sz w:val="15"/>
                <w:szCs w:val="15"/>
              </w:rPr>
              <w:t xml:space="preserve">FY2026 (Jun)</w:t>
            </w:r>
          </w:p>
        </w:tc>
        <w:tc>
          <w:tcPr>
            <w:tcW w:w="653" w:type="dxa"/>
          </w:tcPr>
          <w:p>
            <w:pPr>
              <w:pStyle w:val="Compact"/>
              <w:jc w:val="left"/>
              <w:spacing w:before="20" w:after="20" w:line="220" w:lineRule="auto"/>
            </w:pPr>
            <w:r>
              <w:rPr>
                <w:sz w:val="15"/>
                <w:szCs w:val="15"/>
              </w:rPr>
              <w:t xml:space="preserve">R2,634</w:t>
            </w:r>
          </w:p>
        </w:tc>
        <w:tc>
          <w:tcPr>
            <w:tcW w:w="1088" w:type="dxa"/>
          </w:tcPr>
          <w:p>
            <w:pPr>
              <w:pStyle w:val="Compact"/>
              <w:jc w:val="left"/>
              <w:spacing w:before="20" w:after="20" w:line="220" w:lineRule="auto"/>
            </w:pPr>
            <w:r>
              <w:rPr>
                <w:sz w:val="15"/>
                <w:szCs w:val="15"/>
              </w:rPr>
              <w:t xml:space="preserve">R2,634</w:t>
            </w:r>
          </w:p>
        </w:tc>
        <w:tc>
          <w:tcPr>
            <w:tcW w:w="1088" w:type="dxa"/>
          </w:tcPr>
          <w:p>
            <w:pPr>
              <w:pStyle w:val="Compact"/>
              <w:jc w:val="left"/>
              <w:spacing w:before="20" w:after="20" w:line="220" w:lineRule="auto"/>
            </w:pPr>
            <w:r>
              <w:rPr>
                <w:sz w:val="15"/>
                <w:szCs w:val="15"/>
              </w:rPr>
              <w:t xml:space="preserve">yes</w:t>
            </w:r>
          </w:p>
        </w:tc>
      </w:tr>
      <w:tr>
        <w:tc>
          <w:tcPr>
            <w:tcW w:w="4442" w:type="dxa"/>
          </w:tcPr>
          <w:p>
            <w:pPr>
              <w:pStyle w:val="Compact"/>
              <w:jc w:val="left"/>
              <w:spacing w:before="20" w:after="20" w:line="220" w:lineRule="auto"/>
            </w:pPr>
            <w:r>
              <w:rPr>
                <w:sz w:val="15"/>
                <w:szCs w:val="15"/>
              </w:rPr>
              <w:t xml:space="preserve">Bradesco Seguros</w:t>
            </w:r>
          </w:p>
        </w:tc>
        <w:tc>
          <w:tcPr>
            <w:tcW w:w="762" w:type="dxa"/>
          </w:tcPr>
          <w:p>
            <w:pPr>
              <w:pStyle w:val="Compact"/>
              <w:jc w:val="left"/>
              <w:spacing w:before="20" w:after="20" w:line="220" w:lineRule="auto"/>
            </w:pPr>
            <w:r>
              <w:rPr>
                <w:sz w:val="15"/>
                <w:szCs w:val="15"/>
              </w:rPr>
              <w:t xml:space="preserve">EM</w:t>
            </w:r>
          </w:p>
        </w:tc>
        <w:tc>
          <w:tcPr>
            <w:tcW w:w="980" w:type="dxa"/>
          </w:tcPr>
          <w:p>
            <w:pPr>
              <w:pStyle w:val="Compact"/>
              <w:jc w:val="left"/>
              <w:spacing w:before="20" w:after="20" w:line="220" w:lineRule="auto"/>
            </w:pPr>
            <w:r>
              <w:rPr>
                <w:sz w:val="15"/>
                <w:szCs w:val="15"/>
              </w:rPr>
              <w:t xml:space="preserve">composite</w:t>
            </w:r>
          </w:p>
        </w:tc>
        <w:tc>
          <w:tcPr>
            <w:tcW w:w="1306" w:type="dxa"/>
          </w:tcPr>
          <w:p>
            <w:pPr>
              <w:pStyle w:val="Compact"/>
              <w:jc w:val="left"/>
              <w:spacing w:before="20" w:after="20" w:line="220" w:lineRule="auto"/>
            </w:pPr>
            <w:r>
              <w:rPr>
                <w:sz w:val="15"/>
                <w:szCs w:val="15"/>
              </w:rPr>
              <w:t xml:space="preserve">bank captive</w:t>
            </w:r>
          </w:p>
        </w:tc>
        <w:tc>
          <w:tcPr>
            <w:tcW w:w="2940" w:type="dxa"/>
          </w:tcPr>
          <w:p>
            <w:pPr>
              <w:pStyle w:val="Compact"/>
              <w:jc w:val="left"/>
              <w:spacing w:before="20" w:after="20" w:line="220" w:lineRule="auto"/>
            </w:pPr>
            <w:r>
              <w:rPr>
                <w:sz w:val="15"/>
                <w:szCs w:val="15"/>
              </w:rPr>
              <w:t xml:space="preserve">Brazilian GAAP / contract counts</w:t>
            </w:r>
          </w:p>
        </w:tc>
        <w:tc>
          <w:tcPr>
            <w:tcW w:w="1306" w:type="dxa"/>
          </w:tcPr>
          <w:p>
            <w:pPr>
              <w:pStyle w:val="Compact"/>
              <w:jc w:val="left"/>
              <w:spacing w:before="20" w:after="20" w:line="220" w:lineRule="auto"/>
            </w:pPr>
            <w:r>
              <w:rPr>
                <w:sz w:val="15"/>
                <w:szCs w:val="15"/>
              </w:rPr>
              <w:t xml:space="preserve">FY2025 (Dec)</w:t>
            </w:r>
          </w:p>
        </w:tc>
        <w:tc>
          <w:tcPr>
            <w:tcW w:w="653" w:type="dxa"/>
          </w:tcPr>
          <w:p>
            <w:pPr>
              <w:pStyle w:val="Compact"/>
              <w:jc w:val="left"/>
              <w:spacing w:before="20" w:after="20" w:line="220" w:lineRule="auto"/>
            </w:pPr>
            <w:r>
              <w:rPr>
                <w:sz w:val="15"/>
                <w:szCs w:val="15"/>
              </w:rPr>
              <w:t xml:space="preserve">R495</w:t>
            </w:r>
          </w:p>
        </w:tc>
        <w:tc>
          <w:tcPr>
            <w:tcW w:w="1088" w:type="dxa"/>
          </w:tcPr>
          <w:p>
            <w:pPr>
              <w:pStyle w:val="Compact"/>
              <w:jc w:val="left"/>
              <w:spacing w:before="20" w:after="20" w:line="220" w:lineRule="auto"/>
            </w:pPr>
            <w:r>
              <w:rPr>
                <w:sz w:val="15"/>
                <w:szCs w:val="15"/>
              </w:rPr>
              <w:t xml:space="preserve">R495</w:t>
            </w:r>
          </w:p>
        </w:tc>
        <w:tc>
          <w:tcPr>
            <w:tcW w:w="1088" w:type="dxa"/>
          </w:tcPr>
          <w:p>
            <w:pPr>
              <w:pStyle w:val="Compact"/>
              <w:jc w:val="left"/>
              <w:spacing w:before="20" w:after="20" w:line="220" w:lineRule="auto"/>
            </w:pPr>
            <w:r>
              <w:rPr>
                <w:sz w:val="15"/>
                <w:szCs w:val="15"/>
              </w:rPr>
              <w:t xml:space="preserve">yes</w:t>
            </w:r>
          </w:p>
        </w:tc>
      </w:tr>
      <w:tr>
        <w:tc>
          <w:tcPr>
            <w:tcW w:w="4442" w:type="dxa"/>
          </w:tcPr>
          <w:p>
            <w:pPr>
              <w:pStyle w:val="Compact"/>
              <w:jc w:val="left"/>
              <w:spacing w:before="20" w:after="20" w:line="220" w:lineRule="auto"/>
            </w:pPr>
            <w:r>
              <w:rPr>
                <w:sz w:val="15"/>
                <w:szCs w:val="15"/>
              </w:rPr>
              <w:t xml:space="preserve">Intesa Sanpaolo Assicurazioni (Solvency II expenses incl. commission, all contracts)</w:t>
            </w:r>
          </w:p>
        </w:tc>
        <w:tc>
          <w:tcPr>
            <w:tcW w:w="762" w:type="dxa"/>
          </w:tcPr>
          <w:p>
            <w:pPr>
              <w:pStyle w:val="Compact"/>
              <w:jc w:val="left"/>
              <w:spacing w:before="20" w:after="20" w:line="220" w:lineRule="auto"/>
            </w:pPr>
            <w:r>
              <w:rPr>
                <w:sz w:val="15"/>
                <w:szCs w:val="15"/>
              </w:rPr>
              <w:t xml:space="preserve">EU</w:t>
            </w:r>
          </w:p>
        </w:tc>
        <w:tc>
          <w:tcPr>
            <w:tcW w:w="980" w:type="dxa"/>
          </w:tcPr>
          <w:p>
            <w:pPr>
              <w:pStyle w:val="Compact"/>
              <w:jc w:val="left"/>
              <w:spacing w:before="20" w:after="20" w:line="220" w:lineRule="auto"/>
            </w:pPr>
            <w:r>
              <w:rPr>
                <w:sz w:val="15"/>
                <w:szCs w:val="15"/>
              </w:rPr>
              <w:t xml:space="preserve">composite</w:t>
            </w:r>
          </w:p>
        </w:tc>
        <w:tc>
          <w:tcPr>
            <w:tcW w:w="1306" w:type="dxa"/>
          </w:tcPr>
          <w:p>
            <w:pPr>
              <w:pStyle w:val="Compact"/>
              <w:jc w:val="left"/>
              <w:spacing w:before="20" w:after="20" w:line="220" w:lineRule="auto"/>
            </w:pPr>
            <w:r>
              <w:rPr>
                <w:sz w:val="15"/>
                <w:szCs w:val="15"/>
              </w:rPr>
              <w:t xml:space="preserve">bank captive</w:t>
            </w:r>
          </w:p>
        </w:tc>
        <w:tc>
          <w:tcPr>
            <w:tcW w:w="2940" w:type="dxa"/>
          </w:tcPr>
          <w:p>
            <w:pPr>
              <w:pStyle w:val="Compact"/>
              <w:jc w:val="left"/>
              <w:spacing w:before="20" w:after="20" w:line="220" w:lineRule="auto"/>
            </w:pPr>
            <w:r>
              <w:rPr>
                <w:sz w:val="15"/>
                <w:szCs w:val="15"/>
              </w:rPr>
              <w:t xml:space="preserve">Solvency II expenses / contracts</w:t>
            </w:r>
          </w:p>
        </w:tc>
        <w:tc>
          <w:tcPr>
            <w:tcW w:w="1306" w:type="dxa"/>
          </w:tcPr>
          <w:p>
            <w:pPr>
              <w:pStyle w:val="Compact"/>
              <w:jc w:val="left"/>
              <w:spacing w:before="20" w:after="20" w:line="220" w:lineRule="auto"/>
            </w:pPr>
            <w:r>
              <w:rPr>
                <w:sz w:val="15"/>
                <w:szCs w:val="15"/>
              </w:rPr>
              <w:t xml:space="preserve">FY2025 (Dec)</w:t>
            </w:r>
          </w:p>
        </w:tc>
        <w:tc>
          <w:tcPr>
            <w:tcW w:w="653" w:type="dxa"/>
          </w:tcPr>
          <w:p>
            <w:pPr>
              <w:pStyle w:val="Compact"/>
              <w:jc w:val="left"/>
              <w:spacing w:before="20" w:after="20" w:line="220" w:lineRule="auto"/>
            </w:pPr>
            <w:r>
              <w:rPr>
                <w:sz w:val="15"/>
                <w:szCs w:val="15"/>
              </w:rPr>
              <w:t xml:space="preserve">R2,349</w:t>
            </w:r>
          </w:p>
        </w:tc>
        <w:tc>
          <w:tcPr>
            <w:tcW w:w="1088" w:type="dxa"/>
          </w:tcPr>
          <w:p>
            <w:pPr>
              <w:pStyle w:val="Compact"/>
              <w:jc w:val="left"/>
              <w:spacing w:before="20" w:after="20" w:line="220" w:lineRule="auto"/>
            </w:pPr>
            <w:r>
              <w:rPr>
                <w:sz w:val="15"/>
                <w:szCs w:val="15"/>
              </w:rPr>
              <w:t xml:space="preserve">R2,349</w:t>
            </w:r>
          </w:p>
        </w:tc>
        <w:tc>
          <w:tcPr>
            <w:tcW w:w="1088" w:type="dxa"/>
          </w:tcPr>
          <w:p>
            <w:pPr>
              <w:pStyle w:val="Compact"/>
              <w:jc w:val="left"/>
              <w:spacing w:before="20" w:after="20" w:line="220" w:lineRule="auto"/>
            </w:pPr>
            <w:r>
              <w:rPr>
                <w:sz w:val="15"/>
                <w:szCs w:val="15"/>
              </w:rPr>
              <w:t xml:space="preserve">yes</w:t>
            </w:r>
          </w:p>
        </w:tc>
      </w:tr>
    </w:tbl>
    <w:bookmarkEnd w:id="30"/>
    <w:bookmarkStart w:id="31" w:name="m7-operating-cost-per-employee-zar-m"/>
    <w:p>
      <w:pPr>
        <w:pStyle w:val="Heading4"/>
      </w:pPr>
      <w:r>
        <w:t xml:space="preserve">M7: Operating cost per employee (ZAR m)</w:t>
      </w:r>
    </w:p>
    <w:tbl>
      <w:tblPr>
        <w:tblStyle w:val="Table"/>
        <w:tblLook w:firstRow="1" w:lastRow="0" w:firstColumn="0" w:lastColumn="0" w:noHBand="0" w:noVBand="0" w:val="0020"/>
        <w:jc w:val="start"/>
        <w:tblW w:w="14564" w:type="dxa"/>
        <w:tblLayout w:type="fixed"/>
      </w:tblPr>
      <w:tblGrid>
        <w:gridCol w:w="2706"/>
        <w:gridCol w:w="928"/>
        <w:gridCol w:w="1194"/>
        <w:gridCol w:w="2945"/>
        <w:gridCol w:w="1751"/>
        <w:gridCol w:w="1592"/>
        <w:gridCol w:w="796"/>
        <w:gridCol w:w="1326"/>
        <w:gridCol w:w="1326"/>
      </w:tblGrid>
      <w:tr>
        <w:trPr>
          <w:tblHeader w:val="true"/>
        </w:trPr>
        <w:tc>
          <w:tcPr>
            <w:tcW w:w="2706" w:type="dxa"/>
          </w:tcPr>
          <w:p>
            <w:pPr>
              <w:pStyle w:val="Compact"/>
              <w:jc w:val="left"/>
              <w:spacing w:before="20" w:after="20" w:line="220" w:lineRule="auto"/>
            </w:pPr>
            <w:r>
              <w:rPr>
                <w:sz w:val="15"/>
                <w:szCs w:val="15"/>
              </w:rPr>
              <w:t xml:space="preserve">Entity</w:t>
            </w:r>
          </w:p>
        </w:tc>
        <w:tc>
          <w:tcPr>
            <w:tcW w:w="928" w:type="dxa"/>
          </w:tcPr>
          <w:p>
            <w:pPr>
              <w:pStyle w:val="Compact"/>
              <w:jc w:val="left"/>
              <w:spacing w:before="20" w:after="20" w:line="220" w:lineRule="auto"/>
            </w:pPr>
            <w:r>
              <w:rPr>
                <w:sz w:val="15"/>
                <w:szCs w:val="15"/>
              </w:rPr>
              <w:t xml:space="preserve">Cluster</w:t>
            </w:r>
          </w:p>
        </w:tc>
        <w:tc>
          <w:tcPr>
            <w:tcW w:w="1194" w:type="dxa"/>
          </w:tcPr>
          <w:p>
            <w:pPr>
              <w:pStyle w:val="Compact"/>
              <w:jc w:val="left"/>
              <w:spacing w:before="20" w:after="20" w:line="220" w:lineRule="auto"/>
            </w:pPr>
            <w:r>
              <w:rPr>
                <w:sz w:val="15"/>
                <w:szCs w:val="15"/>
              </w:rPr>
              <w:t xml:space="preserve">Mix</w:t>
            </w:r>
          </w:p>
        </w:tc>
        <w:tc>
          <w:tcPr>
            <w:tcW w:w="2945" w:type="dxa"/>
          </w:tcPr>
          <w:p>
            <w:pPr>
              <w:pStyle w:val="Compact"/>
              <w:jc w:val="left"/>
              <w:spacing w:before="20" w:after="20" w:line="220" w:lineRule="auto"/>
            </w:pPr>
            <w:r>
              <w:rPr>
                <w:sz w:val="15"/>
                <w:szCs w:val="15"/>
              </w:rPr>
              <w:t xml:space="preserve">Distribution</w:t>
            </w:r>
          </w:p>
        </w:tc>
        <w:tc>
          <w:tcPr>
            <w:tcW w:w="1751" w:type="dxa"/>
          </w:tcPr>
          <w:p>
            <w:pPr>
              <w:pStyle w:val="Compact"/>
              <w:jc w:val="left"/>
              <w:spacing w:before="20" w:after="20" w:line="220" w:lineRule="auto"/>
            </w:pPr>
            <w:r>
              <w:rPr>
                <w:sz w:val="15"/>
                <w:szCs w:val="15"/>
              </w:rPr>
              <w:t xml:space="preserve">Basis</w:t>
            </w:r>
          </w:p>
        </w:tc>
        <w:tc>
          <w:tcPr>
            <w:tcW w:w="1592" w:type="dxa"/>
          </w:tcPr>
          <w:p>
            <w:pPr>
              <w:pStyle w:val="Compact"/>
              <w:jc w:val="left"/>
              <w:spacing w:before="20" w:after="20" w:line="220" w:lineRule="auto"/>
            </w:pPr>
            <w:r>
              <w:rPr>
                <w:sz w:val="15"/>
                <w:szCs w:val="15"/>
              </w:rPr>
              <w:t xml:space="preserve">Period</w:t>
            </w:r>
          </w:p>
        </w:tc>
        <w:tc>
          <w:tcPr>
            <w:tcW w:w="796" w:type="dxa"/>
          </w:tcPr>
          <w:p>
            <w:pPr>
              <w:pStyle w:val="Compact"/>
              <w:jc w:val="left"/>
              <w:spacing w:before="20" w:after="20" w:line="220" w:lineRule="auto"/>
            </w:pPr>
            <w:r>
              <w:rPr>
                <w:sz w:val="15"/>
                <w:szCs w:val="15"/>
              </w:rPr>
              <w:t xml:space="preserve">Raw</w:t>
            </w:r>
          </w:p>
        </w:tc>
        <w:tc>
          <w:tcPr>
            <w:tcW w:w="1326" w:type="dxa"/>
          </w:tcPr>
          <w:p>
            <w:pPr>
              <w:pStyle w:val="Compact"/>
              <w:jc w:val="left"/>
              <w:spacing w:before="20" w:after="20" w:line="220" w:lineRule="auto"/>
            </w:pPr>
            <w:r>
              <w:rPr>
                <w:sz w:val="15"/>
                <w:szCs w:val="15"/>
              </w:rPr>
              <w:t xml:space="preserve">Normalised</w:t>
            </w:r>
          </w:p>
        </w:tc>
        <w:tc>
          <w:tcPr>
            <w:tcW w:w="1326" w:type="dxa"/>
          </w:tcPr>
          <w:p>
            <w:pPr>
              <w:pStyle w:val="Compact"/>
              <w:jc w:val="left"/>
              <w:spacing w:before="20" w:after="20" w:line="220" w:lineRule="auto"/>
            </w:pPr>
            <w:r>
              <w:rPr>
                <w:sz w:val="15"/>
                <w:szCs w:val="15"/>
              </w:rPr>
              <w:t xml:space="preserve">In medians</w:t>
            </w:r>
          </w:p>
        </w:tc>
      </w:tr>
      <w:tr>
        <w:tc>
          <w:tcPr>
            <w:tcW w:w="2706" w:type="dxa"/>
          </w:tcPr>
          <w:p>
            <w:pPr>
              <w:pStyle w:val="Compact"/>
              <w:jc w:val="left"/>
              <w:spacing w:before="20" w:after="20" w:line="220" w:lineRule="auto"/>
            </w:pPr>
            <w:r>
              <w:rPr>
                <w:sz w:val="15"/>
                <w:szCs w:val="15"/>
              </w:rPr>
              <w:t xml:space="preserve">SBI Life</w:t>
            </w:r>
          </w:p>
        </w:tc>
        <w:tc>
          <w:tcPr>
            <w:tcW w:w="928" w:type="dxa"/>
          </w:tcPr>
          <w:p>
            <w:pPr>
              <w:pStyle w:val="Compact"/>
              <w:jc w:val="left"/>
              <w:spacing w:before="20" w:after="20" w:line="220" w:lineRule="auto"/>
            </w:pPr>
            <w:r>
              <w:rPr>
                <w:sz w:val="15"/>
                <w:szCs w:val="15"/>
              </w:rPr>
              <w:t xml:space="preserve">EM</w:t>
            </w:r>
          </w:p>
        </w:tc>
        <w:tc>
          <w:tcPr>
            <w:tcW w:w="1194" w:type="dxa"/>
          </w:tcPr>
          <w:p>
            <w:pPr>
              <w:pStyle w:val="Compact"/>
              <w:jc w:val="left"/>
              <w:spacing w:before="20" w:after="20" w:line="220" w:lineRule="auto"/>
            </w:pPr>
            <w:r>
              <w:rPr>
                <w:sz w:val="15"/>
                <w:szCs w:val="15"/>
              </w:rPr>
              <w:t xml:space="preserve">life</w:t>
            </w:r>
          </w:p>
        </w:tc>
        <w:tc>
          <w:tcPr>
            <w:tcW w:w="2945" w:type="dxa"/>
          </w:tcPr>
          <w:p>
            <w:pPr>
              <w:pStyle w:val="Compact"/>
              <w:jc w:val="left"/>
              <w:spacing w:before="20" w:after="20" w:line="220" w:lineRule="auto"/>
            </w:pPr>
            <w:r>
              <w:rPr>
                <w:sz w:val="15"/>
                <w:szCs w:val="15"/>
              </w:rPr>
              <w:t xml:space="preserve">bank-led</w:t>
            </w:r>
          </w:p>
        </w:tc>
        <w:tc>
          <w:tcPr>
            <w:tcW w:w="1751" w:type="dxa"/>
          </w:tcPr>
          <w:p>
            <w:pPr>
              <w:pStyle w:val="Compact"/>
              <w:jc w:val="left"/>
              <w:spacing w:before="20" w:after="20" w:line="220" w:lineRule="auto"/>
            </w:pPr>
            <w:r>
              <w:rPr>
                <w:sz w:val="15"/>
                <w:szCs w:val="15"/>
              </w:rPr>
              <w:t xml:space="preserve">IRDAI GAAP</w:t>
            </w:r>
          </w:p>
        </w:tc>
        <w:tc>
          <w:tcPr>
            <w:tcW w:w="1592" w:type="dxa"/>
          </w:tcPr>
          <w:p>
            <w:pPr>
              <w:pStyle w:val="Compact"/>
              <w:jc w:val="left"/>
              <w:spacing w:before="20" w:after="20" w:line="220" w:lineRule="auto"/>
            </w:pPr>
            <w:r>
              <w:rPr>
                <w:sz w:val="15"/>
                <w:szCs w:val="15"/>
              </w:rPr>
              <w:t xml:space="preserve">FY2026 (Mar)</w:t>
            </w:r>
          </w:p>
        </w:tc>
        <w:tc>
          <w:tcPr>
            <w:tcW w:w="796" w:type="dxa"/>
          </w:tcPr>
          <w:p>
            <w:pPr>
              <w:pStyle w:val="Compact"/>
              <w:jc w:val="left"/>
              <w:spacing w:before="20" w:after="20" w:line="220" w:lineRule="auto"/>
            </w:pPr>
            <w:r>
              <w:rPr>
                <w:sz w:val="15"/>
                <w:szCs w:val="15"/>
              </w:rPr>
              <w:t xml:space="preserve">R0.43m</w:t>
            </w:r>
          </w:p>
        </w:tc>
        <w:tc>
          <w:tcPr>
            <w:tcW w:w="1326" w:type="dxa"/>
          </w:tcPr>
          <w:p>
            <w:pPr>
              <w:pStyle w:val="Compact"/>
              <w:jc w:val="left"/>
              <w:spacing w:before="20" w:after="20" w:line="220" w:lineRule="auto"/>
            </w:pPr>
            <w:r>
              <w:rPr>
                <w:sz w:val="15"/>
                <w:szCs w:val="15"/>
              </w:rPr>
              <w:t xml:space="preserve">R0.43m</w:t>
            </w:r>
          </w:p>
        </w:tc>
        <w:tc>
          <w:tcPr>
            <w:tcW w:w="1326" w:type="dxa"/>
          </w:tcPr>
          <w:p>
            <w:pPr>
              <w:pStyle w:val="Compact"/>
              <w:jc w:val="left"/>
              <w:spacing w:before="20" w:after="20" w:line="220" w:lineRule="auto"/>
            </w:pPr>
            <w:r>
              <w:rPr>
                <w:sz w:val="15"/>
                <w:szCs w:val="15"/>
              </w:rPr>
              <w:t xml:space="preserve">yes</w:t>
            </w:r>
          </w:p>
        </w:tc>
      </w:tr>
      <w:tr>
        <w:tc>
          <w:tcPr>
            <w:tcW w:w="2706" w:type="dxa"/>
          </w:tcPr>
          <w:p>
            <w:pPr>
              <w:pStyle w:val="Compact"/>
              <w:jc w:val="left"/>
              <w:spacing w:before="20" w:after="20" w:line="220" w:lineRule="auto"/>
            </w:pPr>
            <w:r>
              <w:rPr>
                <w:sz w:val="15"/>
                <w:szCs w:val="15"/>
              </w:rPr>
              <w:t xml:space="preserve">OUTsurance Group</w:t>
            </w:r>
          </w:p>
        </w:tc>
        <w:tc>
          <w:tcPr>
            <w:tcW w:w="928" w:type="dxa"/>
          </w:tcPr>
          <w:p>
            <w:pPr>
              <w:pStyle w:val="Compact"/>
              <w:jc w:val="left"/>
              <w:spacing w:before="20" w:after="20" w:line="220" w:lineRule="auto"/>
            </w:pPr>
            <w:r>
              <w:rPr>
                <w:sz w:val="15"/>
                <w:szCs w:val="15"/>
              </w:rPr>
              <w:t xml:space="preserve">LN</w:t>
            </w:r>
          </w:p>
        </w:tc>
        <w:tc>
          <w:tcPr>
            <w:tcW w:w="1194" w:type="dxa"/>
          </w:tcPr>
          <w:p>
            <w:pPr>
              <w:pStyle w:val="Compact"/>
              <w:jc w:val="left"/>
              <w:spacing w:before="20" w:after="20" w:line="220" w:lineRule="auto"/>
            </w:pPr>
            <w:r>
              <w:rPr>
                <w:sz w:val="15"/>
                <w:szCs w:val="15"/>
              </w:rPr>
              <w:t xml:space="preserve">nonlife</w:t>
            </w:r>
          </w:p>
        </w:tc>
        <w:tc>
          <w:tcPr>
            <w:tcW w:w="2945" w:type="dxa"/>
          </w:tcPr>
          <w:p>
            <w:pPr>
              <w:pStyle w:val="Compact"/>
              <w:jc w:val="left"/>
              <w:spacing w:before="20" w:after="20" w:line="220" w:lineRule="auto"/>
            </w:pPr>
            <w:r>
              <w:rPr>
                <w:sz w:val="15"/>
                <w:szCs w:val="15"/>
              </w:rPr>
              <w:t xml:space="preserve">direct</w:t>
            </w:r>
          </w:p>
        </w:tc>
        <w:tc>
          <w:tcPr>
            <w:tcW w:w="1751" w:type="dxa"/>
          </w:tcPr>
          <w:p>
            <w:pPr>
              <w:pStyle w:val="Compact"/>
              <w:jc w:val="left"/>
              <w:spacing w:before="20" w:after="20" w:line="220" w:lineRule="auto"/>
            </w:pPr>
            <w:r>
              <w:rPr>
                <w:sz w:val="15"/>
                <w:szCs w:val="15"/>
              </w:rPr>
              <w:t xml:space="preserve">IFRS 17</w:t>
            </w:r>
          </w:p>
        </w:tc>
        <w:tc>
          <w:tcPr>
            <w:tcW w:w="1592" w:type="dxa"/>
          </w:tcPr>
          <w:p>
            <w:pPr>
              <w:pStyle w:val="Compact"/>
              <w:jc w:val="left"/>
              <w:spacing w:before="20" w:after="20" w:line="220" w:lineRule="auto"/>
            </w:pPr>
            <w:r>
              <w:rPr>
                <w:sz w:val="15"/>
                <w:szCs w:val="15"/>
              </w:rPr>
              <w:t xml:space="preserve">FY2026 (Jun)</w:t>
            </w:r>
          </w:p>
        </w:tc>
        <w:tc>
          <w:tcPr>
            <w:tcW w:w="796" w:type="dxa"/>
          </w:tcPr>
          <w:p>
            <w:pPr>
              <w:pStyle w:val="Compact"/>
              <w:jc w:val="left"/>
              <w:spacing w:before="20" w:after="20" w:line="220" w:lineRule="auto"/>
            </w:pPr>
            <w:r>
              <w:rPr>
                <w:sz w:val="15"/>
                <w:szCs w:val="15"/>
              </w:rPr>
              <w:t xml:space="preserve">R1.41m</w:t>
            </w:r>
          </w:p>
        </w:tc>
        <w:tc>
          <w:tcPr>
            <w:tcW w:w="1326" w:type="dxa"/>
          </w:tcPr>
          <w:p>
            <w:pPr>
              <w:pStyle w:val="Compact"/>
              <w:jc w:val="left"/>
              <w:spacing w:before="20" w:after="20" w:line="220" w:lineRule="auto"/>
            </w:pPr>
            <w:r>
              <w:rPr>
                <w:sz w:val="15"/>
                <w:szCs w:val="15"/>
              </w:rPr>
              <w:t xml:space="preserve">R1.41m</w:t>
            </w:r>
          </w:p>
        </w:tc>
        <w:tc>
          <w:tcPr>
            <w:tcW w:w="1326" w:type="dxa"/>
          </w:tcPr>
          <w:p>
            <w:pPr>
              <w:pStyle w:val="Compact"/>
              <w:jc w:val="left"/>
              <w:spacing w:before="20" w:after="20" w:line="220" w:lineRule="auto"/>
            </w:pPr>
            <w:r>
              <w:rPr>
                <w:sz w:val="15"/>
                <w:szCs w:val="15"/>
              </w:rPr>
              <w:t xml:space="preserve">yes</w:t>
            </w:r>
          </w:p>
        </w:tc>
      </w:tr>
      <w:tr>
        <w:tc>
          <w:tcPr>
            <w:tcW w:w="2706" w:type="dxa"/>
          </w:tcPr>
          <w:p>
            <w:pPr>
              <w:pStyle w:val="Compact"/>
              <w:jc w:val="left"/>
              <w:spacing w:before="20" w:after="20" w:line="220" w:lineRule="auto"/>
            </w:pPr>
            <w:r>
              <w:rPr>
                <w:sz w:val="15"/>
                <w:szCs w:val="15"/>
              </w:rPr>
              <w:t xml:space="preserve">Santam Group</w:t>
            </w:r>
          </w:p>
        </w:tc>
        <w:tc>
          <w:tcPr>
            <w:tcW w:w="928" w:type="dxa"/>
          </w:tcPr>
          <w:p>
            <w:pPr>
              <w:pStyle w:val="Compact"/>
              <w:jc w:val="left"/>
              <w:spacing w:before="20" w:after="20" w:line="220" w:lineRule="auto"/>
            </w:pPr>
            <w:r>
              <w:rPr>
                <w:sz w:val="15"/>
                <w:szCs w:val="15"/>
              </w:rPr>
              <w:t xml:space="preserve">LN</w:t>
            </w:r>
          </w:p>
        </w:tc>
        <w:tc>
          <w:tcPr>
            <w:tcW w:w="1194" w:type="dxa"/>
          </w:tcPr>
          <w:p>
            <w:pPr>
              <w:pStyle w:val="Compact"/>
              <w:jc w:val="left"/>
              <w:spacing w:before="20" w:after="20" w:line="220" w:lineRule="auto"/>
            </w:pPr>
            <w:r>
              <w:rPr>
                <w:sz w:val="15"/>
                <w:szCs w:val="15"/>
              </w:rPr>
              <w:t xml:space="preserve">nonlife</w:t>
            </w:r>
          </w:p>
        </w:tc>
        <w:tc>
          <w:tcPr>
            <w:tcW w:w="2945" w:type="dxa"/>
          </w:tcPr>
          <w:p>
            <w:pPr>
              <w:pStyle w:val="Compact"/>
              <w:jc w:val="left"/>
              <w:spacing w:before="20" w:after="20" w:line="220" w:lineRule="auto"/>
            </w:pPr>
            <w:r>
              <w:rPr>
                <w:sz w:val="15"/>
                <w:szCs w:val="15"/>
              </w:rPr>
              <w:t xml:space="preserve">open</w:t>
            </w:r>
          </w:p>
        </w:tc>
        <w:tc>
          <w:tcPr>
            <w:tcW w:w="1751" w:type="dxa"/>
          </w:tcPr>
          <w:p>
            <w:pPr>
              <w:pStyle w:val="Compact"/>
              <w:jc w:val="left"/>
              <w:spacing w:before="20" w:after="20" w:line="220" w:lineRule="auto"/>
            </w:pPr>
            <w:r>
              <w:rPr>
                <w:sz w:val="15"/>
                <w:szCs w:val="15"/>
              </w:rPr>
              <w:t xml:space="preserve">IFRS 17</w:t>
            </w:r>
          </w:p>
        </w:tc>
        <w:tc>
          <w:tcPr>
            <w:tcW w:w="1592" w:type="dxa"/>
          </w:tcPr>
          <w:p>
            <w:pPr>
              <w:pStyle w:val="Compact"/>
              <w:jc w:val="left"/>
              <w:spacing w:before="20" w:after="20" w:line="220" w:lineRule="auto"/>
            </w:pPr>
            <w:r>
              <w:rPr>
                <w:sz w:val="15"/>
                <w:szCs w:val="15"/>
              </w:rPr>
              <w:t xml:space="preserve">FY2025 (Dec)</w:t>
            </w:r>
          </w:p>
        </w:tc>
        <w:tc>
          <w:tcPr>
            <w:tcW w:w="796" w:type="dxa"/>
          </w:tcPr>
          <w:p>
            <w:pPr>
              <w:pStyle w:val="Compact"/>
              <w:jc w:val="left"/>
              <w:spacing w:before="20" w:after="20" w:line="220" w:lineRule="auto"/>
            </w:pPr>
            <w:r>
              <w:rPr>
                <w:sz w:val="15"/>
                <w:szCs w:val="15"/>
              </w:rPr>
              <w:t xml:space="preserve">R1.20m</w:t>
            </w:r>
          </w:p>
        </w:tc>
        <w:tc>
          <w:tcPr>
            <w:tcW w:w="1326" w:type="dxa"/>
          </w:tcPr>
          <w:p>
            <w:pPr>
              <w:pStyle w:val="Compact"/>
              <w:jc w:val="left"/>
              <w:spacing w:before="20" w:after="20" w:line="220" w:lineRule="auto"/>
            </w:pPr>
            <w:r>
              <w:rPr>
                <w:sz w:val="15"/>
                <w:szCs w:val="15"/>
              </w:rPr>
              <w:t xml:space="preserve">R1.20m</w:t>
            </w:r>
          </w:p>
        </w:tc>
        <w:tc>
          <w:tcPr>
            <w:tcW w:w="1326" w:type="dxa"/>
          </w:tcPr>
          <w:p>
            <w:pPr>
              <w:pStyle w:val="Compact"/>
              <w:jc w:val="left"/>
              <w:spacing w:before="20" w:after="20" w:line="220" w:lineRule="auto"/>
            </w:pPr>
            <w:r>
              <w:rPr>
                <w:sz w:val="15"/>
                <w:szCs w:val="15"/>
              </w:rPr>
              <w:t xml:space="preserve">yes</w:t>
            </w:r>
          </w:p>
        </w:tc>
      </w:tr>
      <w:tr>
        <w:tc>
          <w:tcPr>
            <w:tcW w:w="2706" w:type="dxa"/>
          </w:tcPr>
          <w:p>
            <w:pPr>
              <w:pStyle w:val="Compact"/>
              <w:jc w:val="left"/>
              <w:spacing w:before="20" w:after="20" w:line="220" w:lineRule="auto"/>
            </w:pPr>
            <w:r>
              <w:rPr>
                <w:sz w:val="15"/>
                <w:szCs w:val="15"/>
              </w:rPr>
              <w:t xml:space="preserve">BNP Paribas Cardif</w:t>
            </w:r>
          </w:p>
        </w:tc>
        <w:tc>
          <w:tcPr>
            <w:tcW w:w="928" w:type="dxa"/>
          </w:tcPr>
          <w:p>
            <w:pPr>
              <w:pStyle w:val="Compact"/>
              <w:jc w:val="left"/>
              <w:spacing w:before="20" w:after="20" w:line="220" w:lineRule="auto"/>
            </w:pPr>
            <w:r>
              <w:rPr>
                <w:sz w:val="15"/>
                <w:szCs w:val="15"/>
              </w:rPr>
              <w:t xml:space="preserve">EU</w:t>
            </w:r>
          </w:p>
        </w:tc>
        <w:tc>
          <w:tcPr>
            <w:tcW w:w="1194" w:type="dxa"/>
          </w:tcPr>
          <w:p>
            <w:pPr>
              <w:pStyle w:val="Compact"/>
              <w:jc w:val="left"/>
              <w:spacing w:before="20" w:after="20" w:line="220" w:lineRule="auto"/>
            </w:pPr>
            <w:r>
              <w:rPr>
                <w:sz w:val="15"/>
                <w:szCs w:val="15"/>
              </w:rPr>
              <w:t xml:space="preserve">composite</w:t>
            </w:r>
          </w:p>
        </w:tc>
        <w:tc>
          <w:tcPr>
            <w:tcW w:w="2945" w:type="dxa"/>
          </w:tcPr>
          <w:p>
            <w:pPr>
              <w:pStyle w:val="Compact"/>
              <w:jc w:val="left"/>
              <w:spacing w:before="20" w:after="20" w:line="220" w:lineRule="auto"/>
            </w:pPr>
            <w:r>
              <w:rPr>
                <w:sz w:val="15"/>
                <w:szCs w:val="15"/>
              </w:rPr>
              <w:t xml:space="preserve">partly captive</w:t>
            </w:r>
          </w:p>
        </w:tc>
        <w:tc>
          <w:tcPr>
            <w:tcW w:w="1751" w:type="dxa"/>
          </w:tcPr>
          <w:p>
            <w:pPr>
              <w:pStyle w:val="Compact"/>
              <w:jc w:val="left"/>
              <w:spacing w:before="20" w:after="20" w:line="220" w:lineRule="auto"/>
            </w:pPr>
            <w:r>
              <w:rPr>
                <w:sz w:val="15"/>
                <w:szCs w:val="15"/>
              </w:rPr>
              <w:t xml:space="preserve">IFRS 17</w:t>
            </w:r>
          </w:p>
        </w:tc>
        <w:tc>
          <w:tcPr>
            <w:tcW w:w="1592" w:type="dxa"/>
          </w:tcPr>
          <w:p>
            <w:pPr>
              <w:pStyle w:val="Compact"/>
              <w:jc w:val="left"/>
              <w:spacing w:before="20" w:after="20" w:line="220" w:lineRule="auto"/>
            </w:pPr>
            <w:r>
              <w:rPr>
                <w:sz w:val="15"/>
                <w:szCs w:val="15"/>
              </w:rPr>
              <w:t xml:space="preserve">FY2025 (Dec)</w:t>
            </w:r>
          </w:p>
        </w:tc>
        <w:tc>
          <w:tcPr>
            <w:tcW w:w="796" w:type="dxa"/>
          </w:tcPr>
          <w:p>
            <w:pPr>
              <w:pStyle w:val="Compact"/>
              <w:jc w:val="left"/>
              <w:spacing w:before="20" w:after="20" w:line="220" w:lineRule="auto"/>
            </w:pPr>
            <w:r>
              <w:rPr>
                <w:sz w:val="15"/>
                <w:szCs w:val="15"/>
              </w:rPr>
              <w:t xml:space="preserve">R2.56m</w:t>
            </w:r>
          </w:p>
        </w:tc>
        <w:tc>
          <w:tcPr>
            <w:tcW w:w="1326" w:type="dxa"/>
          </w:tcPr>
          <w:p>
            <w:pPr>
              <w:pStyle w:val="Compact"/>
              <w:jc w:val="left"/>
              <w:spacing w:before="20" w:after="20" w:line="220" w:lineRule="auto"/>
            </w:pPr>
            <w:r>
              <w:rPr>
                <w:sz w:val="15"/>
                <w:szCs w:val="15"/>
              </w:rPr>
              <w:t xml:space="preserve">R2.56m</w:t>
            </w:r>
          </w:p>
        </w:tc>
        <w:tc>
          <w:tcPr>
            <w:tcW w:w="1326" w:type="dxa"/>
          </w:tcPr>
          <w:p>
            <w:pPr>
              <w:pStyle w:val="Compact"/>
              <w:jc w:val="left"/>
              <w:spacing w:before="20" w:after="20" w:line="220" w:lineRule="auto"/>
            </w:pPr>
            <w:r>
              <w:rPr>
                <w:sz w:val="15"/>
                <w:szCs w:val="15"/>
              </w:rPr>
              <w:t xml:space="preserve">yes</w:t>
            </w:r>
          </w:p>
        </w:tc>
      </w:tr>
      <w:tr>
        <w:tc>
          <w:tcPr>
            <w:tcW w:w="2706" w:type="dxa"/>
          </w:tcPr>
          <w:p>
            <w:pPr>
              <w:pStyle w:val="Compact"/>
              <w:jc w:val="left"/>
              <w:spacing w:before="20" w:after="20" w:line="220" w:lineRule="auto"/>
            </w:pPr>
            <w:r>
              <w:rPr>
                <w:sz w:val="15"/>
                <w:szCs w:val="15"/>
              </w:rPr>
              <w:t xml:space="preserve">Bradesco Seguros</w:t>
            </w:r>
          </w:p>
        </w:tc>
        <w:tc>
          <w:tcPr>
            <w:tcW w:w="928" w:type="dxa"/>
          </w:tcPr>
          <w:p>
            <w:pPr>
              <w:pStyle w:val="Compact"/>
              <w:jc w:val="left"/>
              <w:spacing w:before="20" w:after="20" w:line="220" w:lineRule="auto"/>
            </w:pPr>
            <w:r>
              <w:rPr>
                <w:sz w:val="15"/>
                <w:szCs w:val="15"/>
              </w:rPr>
              <w:t xml:space="preserve">EM</w:t>
            </w:r>
          </w:p>
        </w:tc>
        <w:tc>
          <w:tcPr>
            <w:tcW w:w="1194" w:type="dxa"/>
          </w:tcPr>
          <w:p>
            <w:pPr>
              <w:pStyle w:val="Compact"/>
              <w:jc w:val="left"/>
              <w:spacing w:before="20" w:after="20" w:line="220" w:lineRule="auto"/>
            </w:pPr>
            <w:r>
              <w:rPr>
                <w:sz w:val="15"/>
                <w:szCs w:val="15"/>
              </w:rPr>
              <w:t xml:space="preserve">composite</w:t>
            </w:r>
          </w:p>
        </w:tc>
        <w:tc>
          <w:tcPr>
            <w:tcW w:w="2945" w:type="dxa"/>
          </w:tcPr>
          <w:p>
            <w:pPr>
              <w:pStyle w:val="Compact"/>
              <w:jc w:val="left"/>
              <w:spacing w:before="20" w:after="20" w:line="220" w:lineRule="auto"/>
            </w:pPr>
            <w:r>
              <w:rPr>
                <w:sz w:val="15"/>
                <w:szCs w:val="15"/>
              </w:rPr>
              <w:t xml:space="preserve">bank captive</w:t>
            </w:r>
          </w:p>
        </w:tc>
        <w:tc>
          <w:tcPr>
            <w:tcW w:w="1751" w:type="dxa"/>
          </w:tcPr>
          <w:p>
            <w:pPr>
              <w:pStyle w:val="Compact"/>
              <w:jc w:val="left"/>
              <w:spacing w:before="20" w:after="20" w:line="220" w:lineRule="auto"/>
            </w:pPr>
            <w:r>
              <w:rPr>
                <w:sz w:val="15"/>
                <w:szCs w:val="15"/>
              </w:rPr>
              <w:t xml:space="preserve">Brazilian GAAP</w:t>
            </w:r>
          </w:p>
        </w:tc>
        <w:tc>
          <w:tcPr>
            <w:tcW w:w="1592" w:type="dxa"/>
          </w:tcPr>
          <w:p>
            <w:pPr>
              <w:pStyle w:val="Compact"/>
              <w:jc w:val="left"/>
              <w:spacing w:before="20" w:after="20" w:line="220" w:lineRule="auto"/>
            </w:pPr>
            <w:r>
              <w:rPr>
                <w:sz w:val="15"/>
                <w:szCs w:val="15"/>
              </w:rPr>
              <w:t xml:space="preserve">FY2025 (Dec)</w:t>
            </w:r>
          </w:p>
        </w:tc>
        <w:tc>
          <w:tcPr>
            <w:tcW w:w="796" w:type="dxa"/>
          </w:tcPr>
          <w:p>
            <w:pPr>
              <w:pStyle w:val="Compact"/>
              <w:jc w:val="left"/>
              <w:spacing w:before="20" w:after="20" w:line="220" w:lineRule="auto"/>
            </w:pPr>
            <w:r>
              <w:rPr>
                <w:sz w:val="15"/>
                <w:szCs w:val="15"/>
              </w:rPr>
              <w:t xml:space="preserve">R1.92m</w:t>
            </w:r>
          </w:p>
        </w:tc>
        <w:tc>
          <w:tcPr>
            <w:tcW w:w="1326" w:type="dxa"/>
          </w:tcPr>
          <w:p>
            <w:pPr>
              <w:pStyle w:val="Compact"/>
              <w:jc w:val="left"/>
              <w:spacing w:before="20" w:after="20" w:line="220" w:lineRule="auto"/>
            </w:pPr>
            <w:r>
              <w:rPr>
                <w:sz w:val="15"/>
                <w:szCs w:val="15"/>
              </w:rPr>
              <w:t xml:space="preserve">R1.92m</w:t>
            </w:r>
          </w:p>
        </w:tc>
        <w:tc>
          <w:tcPr>
            <w:tcW w:w="1326" w:type="dxa"/>
          </w:tcPr>
          <w:p>
            <w:pPr>
              <w:pStyle w:val="Compact"/>
              <w:jc w:val="left"/>
              <w:spacing w:before="20" w:after="20" w:line="220" w:lineRule="auto"/>
            </w:pPr>
            <w:r>
              <w:rPr>
                <w:sz w:val="15"/>
                <w:szCs w:val="15"/>
              </w:rPr>
              <w:t xml:space="preserve">yes</w:t>
            </w:r>
          </w:p>
        </w:tc>
      </w:tr>
      <w:tr>
        <w:tc>
          <w:tcPr>
            <w:tcW w:w="2706" w:type="dxa"/>
          </w:tcPr>
          <w:p>
            <w:pPr>
              <w:pStyle w:val="Compact"/>
              <w:jc w:val="left"/>
              <w:spacing w:before="20" w:after="20" w:line="220" w:lineRule="auto"/>
            </w:pPr>
            <w:r>
              <w:rPr>
                <w:sz w:val="15"/>
                <w:szCs w:val="15"/>
              </w:rPr>
              <w:t xml:space="preserve">Credit Agricole Assurances</w:t>
            </w:r>
          </w:p>
        </w:tc>
        <w:tc>
          <w:tcPr>
            <w:tcW w:w="928" w:type="dxa"/>
          </w:tcPr>
          <w:p>
            <w:pPr>
              <w:pStyle w:val="Compact"/>
              <w:jc w:val="left"/>
              <w:spacing w:before="20" w:after="20" w:line="220" w:lineRule="auto"/>
            </w:pPr>
            <w:r>
              <w:rPr>
                <w:sz w:val="15"/>
                <w:szCs w:val="15"/>
              </w:rPr>
              <w:t xml:space="preserve">EU</w:t>
            </w:r>
          </w:p>
        </w:tc>
        <w:tc>
          <w:tcPr>
            <w:tcW w:w="1194" w:type="dxa"/>
          </w:tcPr>
          <w:p>
            <w:pPr>
              <w:pStyle w:val="Compact"/>
              <w:jc w:val="left"/>
              <w:spacing w:before="20" w:after="20" w:line="220" w:lineRule="auto"/>
            </w:pPr>
            <w:r>
              <w:rPr>
                <w:sz w:val="15"/>
                <w:szCs w:val="15"/>
              </w:rPr>
              <w:t xml:space="preserve">composite</w:t>
            </w:r>
          </w:p>
        </w:tc>
        <w:tc>
          <w:tcPr>
            <w:tcW w:w="2945" w:type="dxa"/>
          </w:tcPr>
          <w:p>
            <w:pPr>
              <w:pStyle w:val="Compact"/>
              <w:jc w:val="left"/>
              <w:spacing w:before="20" w:after="20" w:line="220" w:lineRule="auto"/>
            </w:pPr>
            <w:r>
              <w:rPr>
                <w:sz w:val="15"/>
                <w:szCs w:val="15"/>
              </w:rPr>
              <w:t xml:space="preserve">bank captive</w:t>
            </w:r>
          </w:p>
        </w:tc>
        <w:tc>
          <w:tcPr>
            <w:tcW w:w="1751" w:type="dxa"/>
          </w:tcPr>
          <w:p>
            <w:pPr>
              <w:pStyle w:val="Compact"/>
              <w:jc w:val="left"/>
              <w:spacing w:before="20" w:after="20" w:line="220" w:lineRule="auto"/>
            </w:pPr>
            <w:r>
              <w:rPr>
                <w:sz w:val="15"/>
                <w:szCs w:val="15"/>
              </w:rPr>
              <w:t xml:space="preserve">IFRS 17</w:t>
            </w:r>
          </w:p>
        </w:tc>
        <w:tc>
          <w:tcPr>
            <w:tcW w:w="1592" w:type="dxa"/>
          </w:tcPr>
          <w:p>
            <w:pPr>
              <w:pStyle w:val="Compact"/>
              <w:jc w:val="left"/>
              <w:spacing w:before="20" w:after="20" w:line="220" w:lineRule="auto"/>
            </w:pPr>
            <w:r>
              <w:rPr>
                <w:sz w:val="15"/>
                <w:szCs w:val="15"/>
              </w:rPr>
              <w:t xml:space="preserve">FY2025 (Dec)</w:t>
            </w:r>
          </w:p>
        </w:tc>
        <w:tc>
          <w:tcPr>
            <w:tcW w:w="796" w:type="dxa"/>
          </w:tcPr>
          <w:p>
            <w:pPr>
              <w:pStyle w:val="Compact"/>
              <w:jc w:val="left"/>
              <w:spacing w:before="20" w:after="20" w:line="220" w:lineRule="auto"/>
            </w:pPr>
            <w:r>
              <w:rPr>
                <w:sz w:val="15"/>
                <w:szCs w:val="15"/>
              </w:rPr>
              <w:t xml:space="preserve">R6.65m</w:t>
            </w:r>
          </w:p>
        </w:tc>
        <w:tc>
          <w:tcPr>
            <w:tcW w:w="1326" w:type="dxa"/>
          </w:tcPr>
          <w:p>
            <w:pPr>
              <w:pStyle w:val="Compact"/>
              <w:jc w:val="left"/>
              <w:spacing w:before="20" w:after="20" w:line="220" w:lineRule="auto"/>
            </w:pPr>
            <w:r>
              <w:rPr>
                <w:sz w:val="15"/>
                <w:szCs w:val="15"/>
              </w:rPr>
              <w:t xml:space="preserve">R6.65m</w:t>
            </w:r>
          </w:p>
        </w:tc>
        <w:tc>
          <w:tcPr>
            <w:tcW w:w="1326" w:type="dxa"/>
          </w:tcPr>
          <w:p>
            <w:pPr>
              <w:pStyle w:val="Compact"/>
              <w:jc w:val="left"/>
              <w:spacing w:before="20" w:after="20" w:line="220" w:lineRule="auto"/>
            </w:pPr>
            <w:r>
              <w:rPr>
                <w:sz w:val="15"/>
                <w:szCs w:val="15"/>
              </w:rPr>
              <w:t xml:space="preserve">yes</w:t>
            </w:r>
          </w:p>
        </w:tc>
      </w:tr>
      <w:tr>
        <w:tc>
          <w:tcPr>
            <w:tcW w:w="2706" w:type="dxa"/>
          </w:tcPr>
          <w:p>
            <w:pPr>
              <w:pStyle w:val="Compact"/>
              <w:jc w:val="left"/>
              <w:spacing w:before="20" w:after="20" w:line="220" w:lineRule="auto"/>
            </w:pPr>
            <w:r>
              <w:rPr>
                <w:sz w:val="15"/>
                <w:szCs w:val="15"/>
              </w:rPr>
              <w:t xml:space="preserve">KBC Insurance</w:t>
            </w:r>
          </w:p>
        </w:tc>
        <w:tc>
          <w:tcPr>
            <w:tcW w:w="928" w:type="dxa"/>
          </w:tcPr>
          <w:p>
            <w:pPr>
              <w:pStyle w:val="Compact"/>
              <w:jc w:val="left"/>
              <w:spacing w:before="20" w:after="20" w:line="220" w:lineRule="auto"/>
            </w:pPr>
            <w:r>
              <w:rPr>
                <w:sz w:val="15"/>
                <w:szCs w:val="15"/>
              </w:rPr>
              <w:t xml:space="preserve">EU</w:t>
            </w:r>
          </w:p>
        </w:tc>
        <w:tc>
          <w:tcPr>
            <w:tcW w:w="1194" w:type="dxa"/>
          </w:tcPr>
          <w:p>
            <w:pPr>
              <w:pStyle w:val="Compact"/>
              <w:jc w:val="left"/>
              <w:spacing w:before="20" w:after="20" w:line="220" w:lineRule="auto"/>
            </w:pPr>
            <w:r>
              <w:rPr>
                <w:sz w:val="15"/>
                <w:szCs w:val="15"/>
              </w:rPr>
              <w:t xml:space="preserve">composite</w:t>
            </w:r>
          </w:p>
        </w:tc>
        <w:tc>
          <w:tcPr>
            <w:tcW w:w="2945" w:type="dxa"/>
          </w:tcPr>
          <w:p>
            <w:pPr>
              <w:pStyle w:val="Compact"/>
              <w:jc w:val="left"/>
              <w:spacing w:before="20" w:after="20" w:line="220" w:lineRule="auto"/>
            </w:pPr>
            <w:r>
              <w:rPr>
                <w:sz w:val="15"/>
                <w:szCs w:val="15"/>
              </w:rPr>
              <w:t xml:space="preserve">bank branches and tied agents</w:t>
            </w:r>
          </w:p>
        </w:tc>
        <w:tc>
          <w:tcPr>
            <w:tcW w:w="1751" w:type="dxa"/>
          </w:tcPr>
          <w:p>
            <w:pPr>
              <w:pStyle w:val="Compact"/>
              <w:jc w:val="left"/>
              <w:spacing w:before="20" w:after="20" w:line="220" w:lineRule="auto"/>
            </w:pPr>
            <w:r>
              <w:rPr>
                <w:sz w:val="15"/>
                <w:szCs w:val="15"/>
              </w:rPr>
              <w:t xml:space="preserve">IFRS 17</w:t>
            </w:r>
          </w:p>
        </w:tc>
        <w:tc>
          <w:tcPr>
            <w:tcW w:w="1592" w:type="dxa"/>
          </w:tcPr>
          <w:p>
            <w:pPr>
              <w:pStyle w:val="Compact"/>
              <w:jc w:val="left"/>
              <w:spacing w:before="20" w:after="20" w:line="220" w:lineRule="auto"/>
            </w:pPr>
            <w:r>
              <w:rPr>
                <w:sz w:val="15"/>
                <w:szCs w:val="15"/>
              </w:rPr>
              <w:t xml:space="preserve">FY2025 (Dec)</w:t>
            </w:r>
          </w:p>
        </w:tc>
        <w:tc>
          <w:tcPr>
            <w:tcW w:w="796" w:type="dxa"/>
          </w:tcPr>
          <w:p>
            <w:pPr>
              <w:pStyle w:val="Compact"/>
              <w:jc w:val="left"/>
              <w:spacing w:before="20" w:after="20" w:line="220" w:lineRule="auto"/>
            </w:pPr>
            <w:r>
              <w:rPr>
                <w:sz w:val="15"/>
                <w:szCs w:val="15"/>
              </w:rPr>
              <w:t xml:space="preserve">R3.80m</w:t>
            </w:r>
          </w:p>
        </w:tc>
        <w:tc>
          <w:tcPr>
            <w:tcW w:w="1326" w:type="dxa"/>
          </w:tcPr>
          <w:p>
            <w:pPr>
              <w:pStyle w:val="Compact"/>
              <w:jc w:val="left"/>
              <w:spacing w:before="20" w:after="20" w:line="220" w:lineRule="auto"/>
            </w:pPr>
            <w:r>
              <w:rPr>
                <w:sz w:val="15"/>
                <w:szCs w:val="15"/>
              </w:rPr>
              <w:t xml:space="preserve">R3.80m</w:t>
            </w:r>
          </w:p>
        </w:tc>
        <w:tc>
          <w:tcPr>
            <w:tcW w:w="1326" w:type="dxa"/>
          </w:tcPr>
          <w:p>
            <w:pPr>
              <w:pStyle w:val="Compact"/>
              <w:jc w:val="left"/>
              <w:spacing w:before="20" w:after="20" w:line="220" w:lineRule="auto"/>
            </w:pPr>
            <w:r>
              <w:rPr>
                <w:sz w:val="15"/>
                <w:szCs w:val="15"/>
              </w:rPr>
              <w:t xml:space="preserve">yes</w:t>
            </w:r>
          </w:p>
        </w:tc>
      </w:tr>
      <w:tr>
        <w:tc>
          <w:tcPr>
            <w:tcW w:w="2706" w:type="dxa"/>
          </w:tcPr>
          <w:p>
            <w:pPr>
              <w:pStyle w:val="Compact"/>
              <w:jc w:val="left"/>
              <w:spacing w:before="20" w:after="20" w:line="220" w:lineRule="auto"/>
            </w:pPr>
            <w:r>
              <w:rPr>
                <w:sz w:val="15"/>
                <w:szCs w:val="15"/>
              </w:rPr>
              <w:t xml:space="preserve">Momentum Group</w:t>
            </w:r>
          </w:p>
        </w:tc>
        <w:tc>
          <w:tcPr>
            <w:tcW w:w="928" w:type="dxa"/>
          </w:tcPr>
          <w:p>
            <w:pPr>
              <w:pStyle w:val="Compact"/>
              <w:jc w:val="left"/>
              <w:spacing w:before="20" w:after="20" w:line="220" w:lineRule="auto"/>
            </w:pPr>
            <w:r>
              <w:rPr>
                <w:sz w:val="15"/>
                <w:szCs w:val="15"/>
              </w:rPr>
              <w:t xml:space="preserve">LN</w:t>
            </w:r>
          </w:p>
        </w:tc>
        <w:tc>
          <w:tcPr>
            <w:tcW w:w="1194" w:type="dxa"/>
          </w:tcPr>
          <w:p>
            <w:pPr>
              <w:pStyle w:val="Compact"/>
              <w:jc w:val="left"/>
              <w:spacing w:before="20" w:after="20" w:line="220" w:lineRule="auto"/>
            </w:pPr>
            <w:r>
              <w:rPr>
                <w:sz w:val="15"/>
                <w:szCs w:val="15"/>
              </w:rPr>
              <w:t xml:space="preserve">composite</w:t>
            </w:r>
          </w:p>
        </w:tc>
        <w:tc>
          <w:tcPr>
            <w:tcW w:w="2945" w:type="dxa"/>
          </w:tcPr>
          <w:p>
            <w:pPr>
              <w:pStyle w:val="Compact"/>
              <w:jc w:val="left"/>
              <w:spacing w:before="20" w:after="20" w:line="220" w:lineRule="auto"/>
            </w:pPr>
            <w:r>
              <w:rPr>
                <w:sz w:val="15"/>
                <w:szCs w:val="15"/>
              </w:rPr>
              <w:t xml:space="preserve">open</w:t>
            </w:r>
          </w:p>
        </w:tc>
        <w:tc>
          <w:tcPr>
            <w:tcW w:w="1751" w:type="dxa"/>
          </w:tcPr>
          <w:p>
            <w:pPr>
              <w:pStyle w:val="Compact"/>
              <w:jc w:val="left"/>
              <w:spacing w:before="20" w:after="20" w:line="220" w:lineRule="auto"/>
            </w:pPr>
            <w:r>
              <w:rPr>
                <w:sz w:val="15"/>
                <w:szCs w:val="15"/>
              </w:rPr>
              <w:t xml:space="preserve">IFRS 17</w:t>
            </w:r>
          </w:p>
        </w:tc>
        <w:tc>
          <w:tcPr>
            <w:tcW w:w="1592" w:type="dxa"/>
          </w:tcPr>
          <w:p>
            <w:pPr>
              <w:pStyle w:val="Compact"/>
              <w:jc w:val="left"/>
              <w:spacing w:before="20" w:after="20" w:line="220" w:lineRule="auto"/>
            </w:pPr>
            <w:r>
              <w:rPr>
                <w:sz w:val="15"/>
                <w:szCs w:val="15"/>
              </w:rPr>
              <w:t xml:space="preserve">FY2026 (Jun)</w:t>
            </w:r>
          </w:p>
        </w:tc>
        <w:tc>
          <w:tcPr>
            <w:tcW w:w="796" w:type="dxa"/>
          </w:tcPr>
          <w:p>
            <w:pPr>
              <w:pStyle w:val="Compact"/>
              <w:jc w:val="left"/>
              <w:spacing w:before="20" w:after="20" w:line="220" w:lineRule="auto"/>
            </w:pPr>
            <w:r>
              <w:rPr>
                <w:sz w:val="15"/>
                <w:szCs w:val="15"/>
              </w:rPr>
              <w:t xml:space="preserve">R0.99m</w:t>
            </w:r>
          </w:p>
        </w:tc>
        <w:tc>
          <w:tcPr>
            <w:tcW w:w="1326" w:type="dxa"/>
          </w:tcPr>
          <w:p>
            <w:pPr>
              <w:pStyle w:val="Compact"/>
              <w:jc w:val="left"/>
              <w:spacing w:before="20" w:after="20" w:line="220" w:lineRule="auto"/>
            </w:pPr>
            <w:r>
              <w:rPr>
                <w:sz w:val="15"/>
                <w:szCs w:val="15"/>
              </w:rPr>
              <w:t xml:space="preserve">R0.99m</w:t>
            </w:r>
          </w:p>
        </w:tc>
        <w:tc>
          <w:tcPr>
            <w:tcW w:w="1326" w:type="dxa"/>
          </w:tcPr>
          <w:p>
            <w:pPr>
              <w:pStyle w:val="Compact"/>
              <w:jc w:val="left"/>
              <w:spacing w:before="20" w:after="20" w:line="220" w:lineRule="auto"/>
            </w:pPr>
            <w:r>
              <w:rPr>
                <w:sz w:val="15"/>
                <w:szCs w:val="15"/>
              </w:rPr>
              <w:t xml:space="preserve">yes</w:t>
            </w:r>
          </w:p>
        </w:tc>
      </w:tr>
      <w:tr>
        <w:tc>
          <w:tcPr>
            <w:tcW w:w="2706" w:type="dxa"/>
          </w:tcPr>
          <w:p>
            <w:pPr>
              <w:pStyle w:val="Compact"/>
              <w:jc w:val="left"/>
              <w:spacing w:before="20" w:after="20" w:line="220" w:lineRule="auto"/>
            </w:pPr>
            <w:r>
              <w:rPr>
                <w:sz w:val="15"/>
                <w:szCs w:val="15"/>
              </w:rPr>
              <w:t xml:space="preserve">Old Mutual Group</w:t>
            </w:r>
          </w:p>
        </w:tc>
        <w:tc>
          <w:tcPr>
            <w:tcW w:w="928" w:type="dxa"/>
          </w:tcPr>
          <w:p>
            <w:pPr>
              <w:pStyle w:val="Compact"/>
              <w:jc w:val="left"/>
              <w:spacing w:before="20" w:after="20" w:line="220" w:lineRule="auto"/>
            </w:pPr>
            <w:r>
              <w:rPr>
                <w:sz w:val="15"/>
                <w:szCs w:val="15"/>
              </w:rPr>
              <w:t xml:space="preserve">LN</w:t>
            </w:r>
          </w:p>
        </w:tc>
        <w:tc>
          <w:tcPr>
            <w:tcW w:w="1194" w:type="dxa"/>
          </w:tcPr>
          <w:p>
            <w:pPr>
              <w:pStyle w:val="Compact"/>
              <w:jc w:val="left"/>
              <w:spacing w:before="20" w:after="20" w:line="220" w:lineRule="auto"/>
            </w:pPr>
            <w:r>
              <w:rPr>
                <w:sz w:val="15"/>
                <w:szCs w:val="15"/>
              </w:rPr>
              <w:t xml:space="preserve">composite</w:t>
            </w:r>
          </w:p>
        </w:tc>
        <w:tc>
          <w:tcPr>
            <w:tcW w:w="2945" w:type="dxa"/>
          </w:tcPr>
          <w:p>
            <w:pPr>
              <w:pStyle w:val="Compact"/>
              <w:jc w:val="left"/>
              <w:spacing w:before="20" w:after="20" w:line="220" w:lineRule="auto"/>
            </w:pPr>
            <w:r>
              <w:rPr>
                <w:sz w:val="15"/>
                <w:szCs w:val="15"/>
              </w:rPr>
              <w:t xml:space="preserve">open</w:t>
            </w:r>
          </w:p>
        </w:tc>
        <w:tc>
          <w:tcPr>
            <w:tcW w:w="1751" w:type="dxa"/>
          </w:tcPr>
          <w:p>
            <w:pPr>
              <w:pStyle w:val="Compact"/>
              <w:jc w:val="left"/>
              <w:spacing w:before="20" w:after="20" w:line="220" w:lineRule="auto"/>
            </w:pPr>
            <w:r>
              <w:rPr>
                <w:sz w:val="15"/>
                <w:szCs w:val="15"/>
              </w:rPr>
              <w:t xml:space="preserve">IFRS 17</w:t>
            </w:r>
          </w:p>
        </w:tc>
        <w:tc>
          <w:tcPr>
            <w:tcW w:w="1592" w:type="dxa"/>
          </w:tcPr>
          <w:p>
            <w:pPr>
              <w:pStyle w:val="Compact"/>
              <w:jc w:val="left"/>
              <w:spacing w:before="20" w:after="20" w:line="220" w:lineRule="auto"/>
            </w:pPr>
            <w:r>
              <w:rPr>
                <w:sz w:val="15"/>
                <w:szCs w:val="15"/>
              </w:rPr>
              <w:t xml:space="preserve">FY2025 (Dec)</w:t>
            </w:r>
          </w:p>
        </w:tc>
        <w:tc>
          <w:tcPr>
            <w:tcW w:w="796" w:type="dxa"/>
          </w:tcPr>
          <w:p>
            <w:pPr>
              <w:pStyle w:val="Compact"/>
              <w:jc w:val="left"/>
              <w:spacing w:before="20" w:after="20" w:line="220" w:lineRule="auto"/>
            </w:pPr>
            <w:r>
              <w:rPr>
                <w:sz w:val="15"/>
                <w:szCs w:val="15"/>
              </w:rPr>
              <w:t xml:space="preserve">R0.89m</w:t>
            </w:r>
          </w:p>
        </w:tc>
        <w:tc>
          <w:tcPr>
            <w:tcW w:w="1326" w:type="dxa"/>
          </w:tcPr>
          <w:p>
            <w:pPr>
              <w:pStyle w:val="Compact"/>
              <w:jc w:val="left"/>
              <w:spacing w:before="20" w:after="20" w:line="220" w:lineRule="auto"/>
            </w:pPr>
            <w:r>
              <w:rPr>
                <w:sz w:val="15"/>
                <w:szCs w:val="15"/>
              </w:rPr>
              <w:t xml:space="preserve">R0.89m</w:t>
            </w:r>
          </w:p>
        </w:tc>
        <w:tc>
          <w:tcPr>
            <w:tcW w:w="1326" w:type="dxa"/>
          </w:tcPr>
          <w:p>
            <w:pPr>
              <w:pStyle w:val="Compact"/>
              <w:jc w:val="left"/>
              <w:spacing w:before="20" w:after="20" w:line="220" w:lineRule="auto"/>
            </w:pPr>
            <w:r>
              <w:rPr>
                <w:sz w:val="15"/>
                <w:szCs w:val="15"/>
              </w:rPr>
              <w:t xml:space="preserve">yes</w:t>
            </w:r>
          </w:p>
        </w:tc>
      </w:tr>
      <w:tr>
        <w:tc>
          <w:tcPr>
            <w:tcW w:w="2706" w:type="dxa"/>
          </w:tcPr>
          <w:p>
            <w:pPr>
              <w:pStyle w:val="Compact"/>
              <w:jc w:val="left"/>
              <w:spacing w:before="20" w:after="20" w:line="220" w:lineRule="auto"/>
            </w:pPr>
            <w:r>
              <w:rPr>
                <w:sz w:val="15"/>
                <w:szCs w:val="15"/>
              </w:rPr>
              <w:t xml:space="preserve">Sanlam Group</w:t>
            </w:r>
          </w:p>
        </w:tc>
        <w:tc>
          <w:tcPr>
            <w:tcW w:w="928" w:type="dxa"/>
          </w:tcPr>
          <w:p>
            <w:pPr>
              <w:pStyle w:val="Compact"/>
              <w:jc w:val="left"/>
              <w:spacing w:before="20" w:after="20" w:line="220" w:lineRule="auto"/>
            </w:pPr>
            <w:r>
              <w:rPr>
                <w:sz w:val="15"/>
                <w:szCs w:val="15"/>
              </w:rPr>
              <w:t xml:space="preserve">LN</w:t>
            </w:r>
          </w:p>
        </w:tc>
        <w:tc>
          <w:tcPr>
            <w:tcW w:w="1194" w:type="dxa"/>
          </w:tcPr>
          <w:p>
            <w:pPr>
              <w:pStyle w:val="Compact"/>
              <w:jc w:val="left"/>
              <w:spacing w:before="20" w:after="20" w:line="220" w:lineRule="auto"/>
            </w:pPr>
            <w:r>
              <w:rPr>
                <w:sz w:val="15"/>
                <w:szCs w:val="15"/>
              </w:rPr>
              <w:t xml:space="preserve">composite</w:t>
            </w:r>
          </w:p>
        </w:tc>
        <w:tc>
          <w:tcPr>
            <w:tcW w:w="2945" w:type="dxa"/>
          </w:tcPr>
          <w:p>
            <w:pPr>
              <w:pStyle w:val="Compact"/>
              <w:jc w:val="left"/>
              <w:spacing w:before="20" w:after="20" w:line="220" w:lineRule="auto"/>
            </w:pPr>
            <w:r>
              <w:rPr>
                <w:sz w:val="15"/>
                <w:szCs w:val="15"/>
              </w:rPr>
              <w:t xml:space="preserve">open</w:t>
            </w:r>
          </w:p>
        </w:tc>
        <w:tc>
          <w:tcPr>
            <w:tcW w:w="1751" w:type="dxa"/>
          </w:tcPr>
          <w:p>
            <w:pPr>
              <w:pStyle w:val="Compact"/>
              <w:jc w:val="left"/>
              <w:spacing w:before="20" w:after="20" w:line="220" w:lineRule="auto"/>
            </w:pPr>
            <w:r>
              <w:rPr>
                <w:sz w:val="15"/>
                <w:szCs w:val="15"/>
              </w:rPr>
              <w:t xml:space="preserve">IFRS 17</w:t>
            </w:r>
          </w:p>
        </w:tc>
        <w:tc>
          <w:tcPr>
            <w:tcW w:w="1592" w:type="dxa"/>
          </w:tcPr>
          <w:p>
            <w:pPr>
              <w:pStyle w:val="Compact"/>
              <w:jc w:val="left"/>
              <w:spacing w:before="20" w:after="20" w:line="220" w:lineRule="auto"/>
            </w:pPr>
            <w:r>
              <w:rPr>
                <w:sz w:val="15"/>
                <w:szCs w:val="15"/>
              </w:rPr>
              <w:t xml:space="preserve">FY2025 (Dec)</w:t>
            </w:r>
          </w:p>
        </w:tc>
        <w:tc>
          <w:tcPr>
            <w:tcW w:w="796" w:type="dxa"/>
          </w:tcPr>
          <w:p>
            <w:pPr>
              <w:pStyle w:val="Compact"/>
              <w:jc w:val="left"/>
              <w:spacing w:before="20" w:after="20" w:line="220" w:lineRule="auto"/>
            </w:pPr>
            <w:r>
              <w:rPr>
                <w:sz w:val="15"/>
                <w:szCs w:val="15"/>
              </w:rPr>
              <w:t xml:space="preserve">R1.68m</w:t>
            </w:r>
          </w:p>
        </w:tc>
        <w:tc>
          <w:tcPr>
            <w:tcW w:w="1326" w:type="dxa"/>
          </w:tcPr>
          <w:p>
            <w:pPr>
              <w:pStyle w:val="Compact"/>
              <w:jc w:val="left"/>
              <w:spacing w:before="20" w:after="20" w:line="220" w:lineRule="auto"/>
            </w:pPr>
            <w:r>
              <w:rPr>
                <w:sz w:val="15"/>
                <w:szCs w:val="15"/>
              </w:rPr>
              <w:t xml:space="preserve">R1.68m</w:t>
            </w:r>
          </w:p>
        </w:tc>
        <w:tc>
          <w:tcPr>
            <w:tcW w:w="1326" w:type="dxa"/>
          </w:tcPr>
          <w:p>
            <w:pPr>
              <w:pStyle w:val="Compact"/>
              <w:jc w:val="left"/>
              <w:spacing w:before="20" w:after="20" w:line="220" w:lineRule="auto"/>
            </w:pPr>
            <w:r>
              <w:rPr>
                <w:sz w:val="15"/>
                <w:szCs w:val="15"/>
              </w:rPr>
              <w:t xml:space="preserve">yes</w:t>
            </w:r>
          </w:p>
        </w:tc>
      </w:tr>
    </w:tbl>
    <w:bookmarkEnd w:id="31"/>
    <w:bookmarkStart w:id="32" w:name="X1e9356108ff32700ca9d1b3c3f3882a1c843670"/>
    <w:p>
      <w:pPr>
        <w:pStyle w:val="Heading4"/>
      </w:pPr>
      <w:r>
        <w:t xml:space="preserve">M8: Insurance revenue or gross premium per employee (ZAR m)</w:t>
      </w:r>
    </w:p>
    <w:tbl>
      <w:tblPr>
        <w:tblStyle w:val="Table"/>
        <w:tblLook w:firstRow="1" w:lastRow="0" w:firstColumn="0" w:lastColumn="0" w:noHBand="0" w:noVBand="0" w:val="0020"/>
        <w:jc w:val="start"/>
        <w:tblW w:w="14565" w:type="dxa"/>
        <w:tblLayout w:type="fixed"/>
      </w:tblPr>
      <w:tblGrid>
        <w:gridCol w:w="4278"/>
        <w:gridCol w:w="767"/>
        <w:gridCol w:w="987"/>
        <w:gridCol w:w="2435"/>
        <w:gridCol w:w="1711"/>
        <w:gridCol w:w="1316"/>
        <w:gridCol w:w="877"/>
        <w:gridCol w:w="1097"/>
        <w:gridCol w:w="1097"/>
      </w:tblGrid>
      <w:tr>
        <w:trPr>
          <w:tblHeader w:val="true"/>
        </w:trPr>
        <w:tc>
          <w:tcPr>
            <w:tcW w:w="4278" w:type="dxa"/>
          </w:tcPr>
          <w:p>
            <w:pPr>
              <w:pStyle w:val="Compact"/>
              <w:jc w:val="left"/>
              <w:spacing w:before="20" w:after="20" w:line="220" w:lineRule="auto"/>
            </w:pPr>
            <w:r>
              <w:rPr>
                <w:sz w:val="15"/>
                <w:szCs w:val="15"/>
              </w:rPr>
              <w:t xml:space="preserve">Entity</w:t>
            </w:r>
          </w:p>
        </w:tc>
        <w:tc>
          <w:tcPr>
            <w:tcW w:w="767" w:type="dxa"/>
          </w:tcPr>
          <w:p>
            <w:pPr>
              <w:pStyle w:val="Compact"/>
              <w:jc w:val="left"/>
              <w:spacing w:before="20" w:after="20" w:line="220" w:lineRule="auto"/>
            </w:pPr>
            <w:r>
              <w:rPr>
                <w:sz w:val="15"/>
                <w:szCs w:val="15"/>
              </w:rPr>
              <w:t xml:space="preserve">Cluster</w:t>
            </w:r>
          </w:p>
        </w:tc>
        <w:tc>
          <w:tcPr>
            <w:tcW w:w="987" w:type="dxa"/>
          </w:tcPr>
          <w:p>
            <w:pPr>
              <w:pStyle w:val="Compact"/>
              <w:jc w:val="left"/>
              <w:spacing w:before="20" w:after="20" w:line="220" w:lineRule="auto"/>
            </w:pPr>
            <w:r>
              <w:rPr>
                <w:sz w:val="15"/>
                <w:szCs w:val="15"/>
              </w:rPr>
              <w:t xml:space="preserve">Mix</w:t>
            </w:r>
          </w:p>
        </w:tc>
        <w:tc>
          <w:tcPr>
            <w:tcW w:w="2435" w:type="dxa"/>
          </w:tcPr>
          <w:p>
            <w:pPr>
              <w:pStyle w:val="Compact"/>
              <w:jc w:val="left"/>
              <w:spacing w:before="20" w:after="20" w:line="220" w:lineRule="auto"/>
            </w:pPr>
            <w:r>
              <w:rPr>
                <w:sz w:val="15"/>
                <w:szCs w:val="15"/>
              </w:rPr>
              <w:t xml:space="preserve">Distribution</w:t>
            </w:r>
          </w:p>
        </w:tc>
        <w:tc>
          <w:tcPr>
            <w:tcW w:w="1711" w:type="dxa"/>
          </w:tcPr>
          <w:p>
            <w:pPr>
              <w:pStyle w:val="Compact"/>
              <w:jc w:val="left"/>
              <w:spacing w:before="20" w:after="20" w:line="220" w:lineRule="auto"/>
            </w:pPr>
            <w:r>
              <w:rPr>
                <w:sz w:val="15"/>
                <w:szCs w:val="15"/>
              </w:rPr>
              <w:t xml:space="preserve">Basis</w:t>
            </w:r>
          </w:p>
        </w:tc>
        <w:tc>
          <w:tcPr>
            <w:tcW w:w="1316" w:type="dxa"/>
          </w:tcPr>
          <w:p>
            <w:pPr>
              <w:pStyle w:val="Compact"/>
              <w:jc w:val="left"/>
              <w:spacing w:before="20" w:after="20" w:line="220" w:lineRule="auto"/>
            </w:pPr>
            <w:r>
              <w:rPr>
                <w:sz w:val="15"/>
                <w:szCs w:val="15"/>
              </w:rPr>
              <w:t xml:space="preserve">Period</w:t>
            </w:r>
          </w:p>
        </w:tc>
        <w:tc>
          <w:tcPr>
            <w:tcW w:w="877" w:type="dxa"/>
          </w:tcPr>
          <w:p>
            <w:pPr>
              <w:pStyle w:val="Compact"/>
              <w:jc w:val="left"/>
              <w:spacing w:before="20" w:after="20" w:line="220" w:lineRule="auto"/>
            </w:pPr>
            <w:r>
              <w:rPr>
                <w:sz w:val="15"/>
                <w:szCs w:val="15"/>
              </w:rPr>
              <w:t xml:space="preserve">Raw</w:t>
            </w:r>
          </w:p>
        </w:tc>
        <w:tc>
          <w:tcPr>
            <w:tcW w:w="1097" w:type="dxa"/>
          </w:tcPr>
          <w:p>
            <w:pPr>
              <w:pStyle w:val="Compact"/>
              <w:jc w:val="left"/>
              <w:spacing w:before="20" w:after="20" w:line="220" w:lineRule="auto"/>
            </w:pPr>
            <w:r>
              <w:rPr>
                <w:sz w:val="15"/>
                <w:szCs w:val="15"/>
              </w:rPr>
              <w:t xml:space="preserve">Normalised</w:t>
            </w:r>
          </w:p>
        </w:tc>
        <w:tc>
          <w:tcPr>
            <w:tcW w:w="1097" w:type="dxa"/>
          </w:tcPr>
          <w:p>
            <w:pPr>
              <w:pStyle w:val="Compact"/>
              <w:jc w:val="left"/>
              <w:spacing w:before="20" w:after="20" w:line="220" w:lineRule="auto"/>
            </w:pPr>
            <w:r>
              <w:rPr>
                <w:sz w:val="15"/>
                <w:szCs w:val="15"/>
              </w:rPr>
              <w:t xml:space="preserve">In medians</w:t>
            </w:r>
          </w:p>
        </w:tc>
      </w:tr>
      <w:tr>
        <w:tc>
          <w:tcPr>
            <w:tcW w:w="4278" w:type="dxa"/>
          </w:tcPr>
          <w:p>
            <w:pPr>
              <w:pStyle w:val="Compact"/>
              <w:jc w:val="left"/>
              <w:spacing w:before="20" w:after="20" w:line="220" w:lineRule="auto"/>
            </w:pPr>
            <w:r>
              <w:rPr>
                <w:sz w:val="15"/>
                <w:szCs w:val="15"/>
              </w:rPr>
              <w:t xml:space="preserve">SBI Life (GWP per employee)</w:t>
            </w:r>
          </w:p>
        </w:tc>
        <w:tc>
          <w:tcPr>
            <w:tcW w:w="767" w:type="dxa"/>
          </w:tcPr>
          <w:p>
            <w:pPr>
              <w:pStyle w:val="Compact"/>
              <w:jc w:val="left"/>
              <w:spacing w:before="20" w:after="20" w:line="220" w:lineRule="auto"/>
            </w:pPr>
            <w:r>
              <w:rPr>
                <w:sz w:val="15"/>
                <w:szCs w:val="15"/>
              </w:rPr>
              <w:t xml:space="preserve">EM</w:t>
            </w:r>
          </w:p>
        </w:tc>
        <w:tc>
          <w:tcPr>
            <w:tcW w:w="987" w:type="dxa"/>
          </w:tcPr>
          <w:p>
            <w:pPr>
              <w:pStyle w:val="Compact"/>
              <w:jc w:val="left"/>
              <w:spacing w:before="20" w:after="20" w:line="220" w:lineRule="auto"/>
            </w:pPr>
            <w:r>
              <w:rPr>
                <w:sz w:val="15"/>
                <w:szCs w:val="15"/>
              </w:rPr>
              <w:t xml:space="preserve">life</w:t>
            </w:r>
          </w:p>
        </w:tc>
        <w:tc>
          <w:tcPr>
            <w:tcW w:w="2435" w:type="dxa"/>
          </w:tcPr>
          <w:p>
            <w:pPr>
              <w:pStyle w:val="Compact"/>
              <w:jc w:val="left"/>
              <w:spacing w:before="20" w:after="20" w:line="220" w:lineRule="auto"/>
            </w:pPr>
            <w:r>
              <w:rPr>
                <w:sz w:val="15"/>
                <w:szCs w:val="15"/>
              </w:rPr>
              <w:t xml:space="preserve">bank-led</w:t>
            </w:r>
          </w:p>
        </w:tc>
        <w:tc>
          <w:tcPr>
            <w:tcW w:w="1711" w:type="dxa"/>
          </w:tcPr>
          <w:p>
            <w:pPr>
              <w:pStyle w:val="Compact"/>
              <w:jc w:val="left"/>
              <w:spacing w:before="20" w:after="20" w:line="220" w:lineRule="auto"/>
            </w:pPr>
            <w:r>
              <w:rPr>
                <w:sz w:val="15"/>
                <w:szCs w:val="15"/>
              </w:rPr>
              <w:t xml:space="preserve">IRDAI GAAP</w:t>
            </w:r>
          </w:p>
        </w:tc>
        <w:tc>
          <w:tcPr>
            <w:tcW w:w="1316" w:type="dxa"/>
          </w:tcPr>
          <w:p>
            <w:pPr>
              <w:pStyle w:val="Compact"/>
              <w:jc w:val="left"/>
              <w:spacing w:before="20" w:after="20" w:line="220" w:lineRule="auto"/>
            </w:pPr>
            <w:r>
              <w:rPr>
                <w:sz w:val="15"/>
                <w:szCs w:val="15"/>
              </w:rPr>
              <w:t xml:space="preserve">FY2026 (Mar)</w:t>
            </w:r>
          </w:p>
        </w:tc>
        <w:tc>
          <w:tcPr>
            <w:tcW w:w="877" w:type="dxa"/>
          </w:tcPr>
          <w:p>
            <w:pPr>
              <w:pStyle w:val="Compact"/>
              <w:jc w:val="left"/>
              <w:spacing w:before="20" w:after="20" w:line="220" w:lineRule="auto"/>
            </w:pPr>
            <w:r>
              <w:rPr>
                <w:sz w:val="15"/>
                <w:szCs w:val="15"/>
              </w:rPr>
              <w:t xml:space="preserve">R7.07m</w:t>
            </w:r>
          </w:p>
        </w:tc>
        <w:tc>
          <w:tcPr>
            <w:tcW w:w="1097" w:type="dxa"/>
          </w:tcPr>
          <w:p>
            <w:pPr>
              <w:pStyle w:val="Compact"/>
              <w:jc w:val="left"/>
              <w:spacing w:before="20" w:after="20" w:line="220" w:lineRule="auto"/>
            </w:pPr>
            <w:r>
              <w:rPr>
                <w:sz w:val="15"/>
                <w:szCs w:val="15"/>
              </w:rPr>
              <w:t xml:space="preserve">R7.07m</w:t>
            </w:r>
          </w:p>
        </w:tc>
        <w:tc>
          <w:tcPr>
            <w:tcW w:w="1097" w:type="dxa"/>
          </w:tcPr>
          <w:p>
            <w:pPr>
              <w:pStyle w:val="Compact"/>
              <w:jc w:val="left"/>
              <w:spacing w:before="20" w:after="20" w:line="220" w:lineRule="auto"/>
            </w:pPr>
            <w:r>
              <w:rPr>
                <w:sz w:val="15"/>
                <w:szCs w:val="15"/>
              </w:rPr>
              <w:t xml:space="preserve">yes</w:t>
            </w:r>
          </w:p>
        </w:tc>
      </w:tr>
      <w:tr>
        <w:tc>
          <w:tcPr>
            <w:tcW w:w="4278" w:type="dxa"/>
          </w:tcPr>
          <w:p>
            <w:pPr>
              <w:pStyle w:val="Compact"/>
              <w:jc w:val="left"/>
              <w:spacing w:before="20" w:after="20" w:line="220" w:lineRule="auto"/>
            </w:pPr>
            <w:r>
              <w:rPr>
                <w:sz w:val="15"/>
                <w:szCs w:val="15"/>
              </w:rPr>
              <w:t xml:space="preserve">VidaCaixa (GWP per employee)</w:t>
            </w:r>
          </w:p>
        </w:tc>
        <w:tc>
          <w:tcPr>
            <w:tcW w:w="767" w:type="dxa"/>
          </w:tcPr>
          <w:p>
            <w:pPr>
              <w:pStyle w:val="Compact"/>
              <w:jc w:val="left"/>
              <w:spacing w:before="20" w:after="20" w:line="220" w:lineRule="auto"/>
            </w:pPr>
            <w:r>
              <w:rPr>
                <w:sz w:val="15"/>
                <w:szCs w:val="15"/>
              </w:rPr>
              <w:t xml:space="preserve">EU</w:t>
            </w:r>
          </w:p>
        </w:tc>
        <w:tc>
          <w:tcPr>
            <w:tcW w:w="987" w:type="dxa"/>
          </w:tcPr>
          <w:p>
            <w:pPr>
              <w:pStyle w:val="Compact"/>
              <w:jc w:val="left"/>
              <w:spacing w:before="20" w:after="20" w:line="220" w:lineRule="auto"/>
            </w:pPr>
            <w:r>
              <w:rPr>
                <w:sz w:val="15"/>
                <w:szCs w:val="15"/>
              </w:rPr>
              <w:t xml:space="preserve">life</w:t>
            </w:r>
          </w:p>
        </w:tc>
        <w:tc>
          <w:tcPr>
            <w:tcW w:w="2435" w:type="dxa"/>
          </w:tcPr>
          <w:p>
            <w:pPr>
              <w:pStyle w:val="Compact"/>
              <w:jc w:val="left"/>
              <w:spacing w:before="20" w:after="20" w:line="220" w:lineRule="auto"/>
            </w:pPr>
            <w:r>
              <w:rPr>
                <w:sz w:val="15"/>
                <w:szCs w:val="15"/>
              </w:rPr>
              <w:t xml:space="preserve">bank captive</w:t>
            </w:r>
          </w:p>
        </w:tc>
        <w:tc>
          <w:tcPr>
            <w:tcW w:w="1711" w:type="dxa"/>
          </w:tcPr>
          <w:p>
            <w:pPr>
              <w:pStyle w:val="Compact"/>
              <w:jc w:val="left"/>
              <w:spacing w:before="20" w:after="20" w:line="220" w:lineRule="auto"/>
            </w:pPr>
            <w:r>
              <w:rPr>
                <w:sz w:val="15"/>
                <w:szCs w:val="15"/>
              </w:rPr>
              <w:t xml:space="preserve">Solvency II GWP</w:t>
            </w:r>
          </w:p>
        </w:tc>
        <w:tc>
          <w:tcPr>
            <w:tcW w:w="1316" w:type="dxa"/>
          </w:tcPr>
          <w:p>
            <w:pPr>
              <w:pStyle w:val="Compact"/>
              <w:jc w:val="left"/>
              <w:spacing w:before="20" w:after="20" w:line="220" w:lineRule="auto"/>
            </w:pPr>
            <w:r>
              <w:rPr>
                <w:sz w:val="15"/>
                <w:szCs w:val="15"/>
              </w:rPr>
              <w:t xml:space="preserve">FY2025 (Dec)</w:t>
            </w:r>
          </w:p>
        </w:tc>
        <w:tc>
          <w:tcPr>
            <w:tcW w:w="877" w:type="dxa"/>
          </w:tcPr>
          <w:p>
            <w:pPr>
              <w:pStyle w:val="Compact"/>
              <w:jc w:val="left"/>
              <w:spacing w:before="20" w:after="20" w:line="220" w:lineRule="auto"/>
            </w:pPr>
            <w:r>
              <w:rPr>
                <w:sz w:val="15"/>
                <w:szCs w:val="15"/>
              </w:rPr>
              <w:t xml:space="preserve">R235.83m</w:t>
            </w:r>
          </w:p>
        </w:tc>
        <w:tc>
          <w:tcPr>
            <w:tcW w:w="1097" w:type="dxa"/>
          </w:tcPr>
          <w:p>
            <w:pPr>
              <w:pStyle w:val="Compact"/>
              <w:jc w:val="left"/>
              <w:spacing w:before="20" w:after="20" w:line="220" w:lineRule="auto"/>
            </w:pPr>
            <w:r>
              <w:rPr>
                <w:sz w:val="15"/>
                <w:szCs w:val="15"/>
              </w:rPr>
              <w:t xml:space="preserve">R235.83m</w:t>
            </w:r>
          </w:p>
        </w:tc>
        <w:tc>
          <w:tcPr>
            <w:tcW w:w="1097" w:type="dxa"/>
          </w:tcPr>
          <w:p>
            <w:pPr>
              <w:pStyle w:val="Compact"/>
              <w:jc w:val="left"/>
              <w:spacing w:before="20" w:after="20" w:line="220" w:lineRule="auto"/>
            </w:pPr>
            <w:r>
              <w:rPr>
                <w:sz w:val="15"/>
                <w:szCs w:val="15"/>
              </w:rPr>
              <w:t xml:space="preserve">yes</w:t>
            </w:r>
          </w:p>
        </w:tc>
      </w:tr>
      <w:tr>
        <w:tc>
          <w:tcPr>
            <w:tcW w:w="4278" w:type="dxa"/>
          </w:tcPr>
          <w:p>
            <w:pPr>
              <w:pStyle w:val="Compact"/>
              <w:jc w:val="left"/>
              <w:spacing w:before="20" w:after="20" w:line="220" w:lineRule="auto"/>
            </w:pPr>
            <w:r>
              <w:rPr>
                <w:sz w:val="15"/>
                <w:szCs w:val="15"/>
              </w:rPr>
              <w:t xml:space="preserve">OUTsurance Group</w:t>
            </w:r>
          </w:p>
        </w:tc>
        <w:tc>
          <w:tcPr>
            <w:tcW w:w="767" w:type="dxa"/>
          </w:tcPr>
          <w:p>
            <w:pPr>
              <w:pStyle w:val="Compact"/>
              <w:jc w:val="left"/>
              <w:spacing w:before="20" w:after="20" w:line="220" w:lineRule="auto"/>
            </w:pPr>
            <w:r>
              <w:rPr>
                <w:sz w:val="15"/>
                <w:szCs w:val="15"/>
              </w:rPr>
              <w:t xml:space="preserve">LN</w:t>
            </w:r>
          </w:p>
        </w:tc>
        <w:tc>
          <w:tcPr>
            <w:tcW w:w="987" w:type="dxa"/>
          </w:tcPr>
          <w:p>
            <w:pPr>
              <w:pStyle w:val="Compact"/>
              <w:jc w:val="left"/>
              <w:spacing w:before="20" w:after="20" w:line="220" w:lineRule="auto"/>
            </w:pPr>
            <w:r>
              <w:rPr>
                <w:sz w:val="15"/>
                <w:szCs w:val="15"/>
              </w:rPr>
              <w:t xml:space="preserve">nonlife</w:t>
            </w:r>
          </w:p>
        </w:tc>
        <w:tc>
          <w:tcPr>
            <w:tcW w:w="2435" w:type="dxa"/>
          </w:tcPr>
          <w:p>
            <w:pPr>
              <w:pStyle w:val="Compact"/>
              <w:jc w:val="left"/>
              <w:spacing w:before="20" w:after="20" w:line="220" w:lineRule="auto"/>
            </w:pPr>
            <w:r>
              <w:rPr>
                <w:sz w:val="15"/>
                <w:szCs w:val="15"/>
              </w:rPr>
              <w:t xml:space="preserve">direct</w:t>
            </w:r>
          </w:p>
        </w:tc>
        <w:tc>
          <w:tcPr>
            <w:tcW w:w="1711" w:type="dxa"/>
          </w:tcPr>
          <w:p>
            <w:pPr>
              <w:pStyle w:val="Compact"/>
              <w:jc w:val="left"/>
              <w:spacing w:before="20" w:after="20" w:line="220" w:lineRule="auto"/>
            </w:pPr>
            <w:r>
              <w:rPr>
                <w:sz w:val="15"/>
                <w:szCs w:val="15"/>
              </w:rPr>
              <w:t xml:space="preserve">IFRS 17</w:t>
            </w:r>
          </w:p>
        </w:tc>
        <w:tc>
          <w:tcPr>
            <w:tcW w:w="1316" w:type="dxa"/>
          </w:tcPr>
          <w:p>
            <w:pPr>
              <w:pStyle w:val="Compact"/>
              <w:jc w:val="left"/>
              <w:spacing w:before="20" w:after="20" w:line="220" w:lineRule="auto"/>
            </w:pPr>
            <w:r>
              <w:rPr>
                <w:sz w:val="15"/>
                <w:szCs w:val="15"/>
              </w:rPr>
              <w:t xml:space="preserve">FY2026 (Jun)</w:t>
            </w:r>
          </w:p>
        </w:tc>
        <w:tc>
          <w:tcPr>
            <w:tcW w:w="877" w:type="dxa"/>
          </w:tcPr>
          <w:p>
            <w:pPr>
              <w:pStyle w:val="Compact"/>
              <w:jc w:val="left"/>
              <w:spacing w:before="20" w:after="20" w:line="220" w:lineRule="auto"/>
            </w:pPr>
            <w:r>
              <w:rPr>
                <w:sz w:val="15"/>
                <w:szCs w:val="15"/>
              </w:rPr>
              <w:t xml:space="preserve">R5.15m</w:t>
            </w:r>
          </w:p>
        </w:tc>
        <w:tc>
          <w:tcPr>
            <w:tcW w:w="1097" w:type="dxa"/>
          </w:tcPr>
          <w:p>
            <w:pPr>
              <w:pStyle w:val="Compact"/>
              <w:jc w:val="left"/>
              <w:spacing w:before="20" w:after="20" w:line="220" w:lineRule="auto"/>
            </w:pPr>
            <w:r>
              <w:rPr>
                <w:sz w:val="15"/>
                <w:szCs w:val="15"/>
              </w:rPr>
              <w:t xml:space="preserve">R5.15m</w:t>
            </w:r>
          </w:p>
        </w:tc>
        <w:tc>
          <w:tcPr>
            <w:tcW w:w="1097" w:type="dxa"/>
          </w:tcPr>
          <w:p>
            <w:pPr>
              <w:pStyle w:val="Compact"/>
              <w:jc w:val="left"/>
              <w:spacing w:before="20" w:after="20" w:line="220" w:lineRule="auto"/>
            </w:pPr>
            <w:r>
              <w:rPr>
                <w:sz w:val="15"/>
                <w:szCs w:val="15"/>
              </w:rPr>
              <w:t xml:space="preserve">yes</w:t>
            </w:r>
          </w:p>
        </w:tc>
      </w:tr>
      <w:tr>
        <w:tc>
          <w:tcPr>
            <w:tcW w:w="4278" w:type="dxa"/>
          </w:tcPr>
          <w:p>
            <w:pPr>
              <w:pStyle w:val="Compact"/>
              <w:jc w:val="left"/>
              <w:spacing w:before="20" w:after="20" w:line="220" w:lineRule="auto"/>
            </w:pPr>
            <w:r>
              <w:rPr>
                <w:sz w:val="15"/>
                <w:szCs w:val="15"/>
              </w:rPr>
              <w:t xml:space="preserve">Santam Group</w:t>
            </w:r>
          </w:p>
        </w:tc>
        <w:tc>
          <w:tcPr>
            <w:tcW w:w="767" w:type="dxa"/>
          </w:tcPr>
          <w:p>
            <w:pPr>
              <w:pStyle w:val="Compact"/>
              <w:jc w:val="left"/>
              <w:spacing w:before="20" w:after="20" w:line="220" w:lineRule="auto"/>
            </w:pPr>
            <w:r>
              <w:rPr>
                <w:sz w:val="15"/>
                <w:szCs w:val="15"/>
              </w:rPr>
              <w:t xml:space="preserve">LN</w:t>
            </w:r>
          </w:p>
        </w:tc>
        <w:tc>
          <w:tcPr>
            <w:tcW w:w="987" w:type="dxa"/>
          </w:tcPr>
          <w:p>
            <w:pPr>
              <w:pStyle w:val="Compact"/>
              <w:jc w:val="left"/>
              <w:spacing w:before="20" w:after="20" w:line="220" w:lineRule="auto"/>
            </w:pPr>
            <w:r>
              <w:rPr>
                <w:sz w:val="15"/>
                <w:szCs w:val="15"/>
              </w:rPr>
              <w:t xml:space="preserve">nonlife</w:t>
            </w:r>
          </w:p>
        </w:tc>
        <w:tc>
          <w:tcPr>
            <w:tcW w:w="2435" w:type="dxa"/>
          </w:tcPr>
          <w:p>
            <w:pPr>
              <w:pStyle w:val="Compact"/>
              <w:jc w:val="left"/>
              <w:spacing w:before="20" w:after="20" w:line="220" w:lineRule="auto"/>
            </w:pPr>
            <w:r>
              <w:rPr>
                <w:sz w:val="15"/>
                <w:szCs w:val="15"/>
              </w:rPr>
              <w:t xml:space="preserve">open</w:t>
            </w:r>
          </w:p>
        </w:tc>
        <w:tc>
          <w:tcPr>
            <w:tcW w:w="1711" w:type="dxa"/>
          </w:tcPr>
          <w:p>
            <w:pPr>
              <w:pStyle w:val="Compact"/>
              <w:jc w:val="left"/>
              <w:spacing w:before="20" w:after="20" w:line="220" w:lineRule="auto"/>
            </w:pPr>
            <w:r>
              <w:rPr>
                <w:sz w:val="15"/>
                <w:szCs w:val="15"/>
              </w:rPr>
              <w:t xml:space="preserve">IFRS 17</w:t>
            </w:r>
          </w:p>
        </w:tc>
        <w:tc>
          <w:tcPr>
            <w:tcW w:w="1316" w:type="dxa"/>
          </w:tcPr>
          <w:p>
            <w:pPr>
              <w:pStyle w:val="Compact"/>
              <w:jc w:val="left"/>
              <w:spacing w:before="20" w:after="20" w:line="220" w:lineRule="auto"/>
            </w:pPr>
            <w:r>
              <w:rPr>
                <w:sz w:val="15"/>
                <w:szCs w:val="15"/>
              </w:rPr>
              <w:t xml:space="preserve">FY2025 (Dec)</w:t>
            </w:r>
          </w:p>
        </w:tc>
        <w:tc>
          <w:tcPr>
            <w:tcW w:w="877" w:type="dxa"/>
          </w:tcPr>
          <w:p>
            <w:pPr>
              <w:pStyle w:val="Compact"/>
              <w:jc w:val="left"/>
              <w:spacing w:before="20" w:after="20" w:line="220" w:lineRule="auto"/>
            </w:pPr>
            <w:r>
              <w:rPr>
                <w:sz w:val="15"/>
                <w:szCs w:val="15"/>
              </w:rPr>
              <w:t xml:space="preserve">R8.07m</w:t>
            </w:r>
          </w:p>
        </w:tc>
        <w:tc>
          <w:tcPr>
            <w:tcW w:w="1097" w:type="dxa"/>
          </w:tcPr>
          <w:p>
            <w:pPr>
              <w:pStyle w:val="Compact"/>
              <w:jc w:val="left"/>
              <w:spacing w:before="20" w:after="20" w:line="220" w:lineRule="auto"/>
            </w:pPr>
            <w:r>
              <w:rPr>
                <w:sz w:val="15"/>
                <w:szCs w:val="15"/>
              </w:rPr>
              <w:t xml:space="preserve">R8.07m</w:t>
            </w:r>
          </w:p>
        </w:tc>
        <w:tc>
          <w:tcPr>
            <w:tcW w:w="1097" w:type="dxa"/>
          </w:tcPr>
          <w:p>
            <w:pPr>
              <w:pStyle w:val="Compact"/>
              <w:jc w:val="left"/>
              <w:spacing w:before="20" w:after="20" w:line="220" w:lineRule="auto"/>
            </w:pPr>
            <w:r>
              <w:rPr>
                <w:sz w:val="15"/>
                <w:szCs w:val="15"/>
              </w:rPr>
              <w:t xml:space="preserve">yes</w:t>
            </w:r>
          </w:p>
        </w:tc>
      </w:tr>
      <w:tr>
        <w:tc>
          <w:tcPr>
            <w:tcW w:w="4278" w:type="dxa"/>
          </w:tcPr>
          <w:p>
            <w:pPr>
              <w:pStyle w:val="Compact"/>
              <w:jc w:val="left"/>
              <w:spacing w:before="20" w:after="20" w:line="220" w:lineRule="auto"/>
            </w:pPr>
            <w:r>
              <w:rPr>
                <w:sz w:val="15"/>
                <w:szCs w:val="15"/>
              </w:rPr>
              <w:t xml:space="preserve">BNP Paribas Cardif (GWP per employee)</w:t>
            </w:r>
          </w:p>
        </w:tc>
        <w:tc>
          <w:tcPr>
            <w:tcW w:w="767" w:type="dxa"/>
          </w:tcPr>
          <w:p>
            <w:pPr>
              <w:pStyle w:val="Compact"/>
              <w:jc w:val="left"/>
              <w:spacing w:before="20" w:after="20" w:line="220" w:lineRule="auto"/>
            </w:pPr>
            <w:r>
              <w:rPr>
                <w:sz w:val="15"/>
                <w:szCs w:val="15"/>
              </w:rPr>
              <w:t xml:space="preserve">EU</w:t>
            </w:r>
          </w:p>
        </w:tc>
        <w:tc>
          <w:tcPr>
            <w:tcW w:w="987" w:type="dxa"/>
          </w:tcPr>
          <w:p>
            <w:pPr>
              <w:pStyle w:val="Compact"/>
              <w:jc w:val="left"/>
              <w:spacing w:before="20" w:after="20" w:line="220" w:lineRule="auto"/>
            </w:pPr>
            <w:r>
              <w:rPr>
                <w:sz w:val="15"/>
                <w:szCs w:val="15"/>
              </w:rPr>
              <w:t xml:space="preserve">composite</w:t>
            </w:r>
          </w:p>
        </w:tc>
        <w:tc>
          <w:tcPr>
            <w:tcW w:w="2435" w:type="dxa"/>
          </w:tcPr>
          <w:p>
            <w:pPr>
              <w:pStyle w:val="Compact"/>
              <w:jc w:val="left"/>
              <w:spacing w:before="20" w:after="20" w:line="220" w:lineRule="auto"/>
            </w:pPr>
            <w:r>
              <w:rPr>
                <w:sz w:val="15"/>
                <w:szCs w:val="15"/>
              </w:rPr>
              <w:t xml:space="preserve">partly captive</w:t>
            </w:r>
          </w:p>
        </w:tc>
        <w:tc>
          <w:tcPr>
            <w:tcW w:w="1711" w:type="dxa"/>
          </w:tcPr>
          <w:p>
            <w:pPr>
              <w:pStyle w:val="Compact"/>
              <w:jc w:val="left"/>
              <w:spacing w:before="20" w:after="20" w:line="220" w:lineRule="auto"/>
            </w:pPr>
            <w:r>
              <w:rPr>
                <w:sz w:val="15"/>
                <w:szCs w:val="15"/>
              </w:rPr>
              <w:t xml:space="preserve">GWP KPI</w:t>
            </w:r>
          </w:p>
        </w:tc>
        <w:tc>
          <w:tcPr>
            <w:tcW w:w="1316" w:type="dxa"/>
          </w:tcPr>
          <w:p>
            <w:pPr>
              <w:pStyle w:val="Compact"/>
              <w:jc w:val="left"/>
              <w:spacing w:before="20" w:after="20" w:line="220" w:lineRule="auto"/>
            </w:pPr>
            <w:r>
              <w:rPr>
                <w:sz w:val="15"/>
                <w:szCs w:val="15"/>
              </w:rPr>
              <w:t xml:space="preserve">FY2025 (Dec)</w:t>
            </w:r>
          </w:p>
        </w:tc>
        <w:tc>
          <w:tcPr>
            <w:tcW w:w="877" w:type="dxa"/>
          </w:tcPr>
          <w:p>
            <w:pPr>
              <w:pStyle w:val="Compact"/>
              <w:jc w:val="left"/>
              <w:spacing w:before="20" w:after="20" w:line="220" w:lineRule="auto"/>
            </w:pPr>
            <w:r>
              <w:rPr>
                <w:sz w:val="15"/>
                <w:szCs w:val="15"/>
              </w:rPr>
              <w:t xml:space="preserve">R86.54m</w:t>
            </w:r>
          </w:p>
        </w:tc>
        <w:tc>
          <w:tcPr>
            <w:tcW w:w="1097" w:type="dxa"/>
          </w:tcPr>
          <w:p>
            <w:pPr>
              <w:pStyle w:val="Compact"/>
              <w:jc w:val="left"/>
              <w:spacing w:before="20" w:after="20" w:line="220" w:lineRule="auto"/>
            </w:pPr>
            <w:r>
              <w:rPr>
                <w:sz w:val="15"/>
                <w:szCs w:val="15"/>
              </w:rPr>
              <w:t xml:space="preserve">R86.54m</w:t>
            </w:r>
          </w:p>
        </w:tc>
        <w:tc>
          <w:tcPr>
            <w:tcW w:w="1097" w:type="dxa"/>
          </w:tcPr>
          <w:p>
            <w:pPr>
              <w:pStyle w:val="Compact"/>
              <w:jc w:val="left"/>
              <w:spacing w:before="20" w:after="20" w:line="220" w:lineRule="auto"/>
            </w:pPr>
            <w:r>
              <w:rPr>
                <w:sz w:val="15"/>
                <w:szCs w:val="15"/>
              </w:rPr>
              <w:t xml:space="preserve">yes</w:t>
            </w:r>
          </w:p>
        </w:tc>
      </w:tr>
      <w:tr>
        <w:tc>
          <w:tcPr>
            <w:tcW w:w="4278" w:type="dxa"/>
          </w:tcPr>
          <w:p>
            <w:pPr>
              <w:pStyle w:val="Compact"/>
              <w:jc w:val="left"/>
              <w:spacing w:before="20" w:after="20" w:line="220" w:lineRule="auto"/>
            </w:pPr>
            <w:r>
              <w:rPr>
                <w:sz w:val="15"/>
                <w:szCs w:val="15"/>
              </w:rPr>
              <w:t xml:space="preserve">Bradesco Seguros (premiums earned per employee)</w:t>
            </w:r>
          </w:p>
        </w:tc>
        <w:tc>
          <w:tcPr>
            <w:tcW w:w="767" w:type="dxa"/>
          </w:tcPr>
          <w:p>
            <w:pPr>
              <w:pStyle w:val="Compact"/>
              <w:jc w:val="left"/>
              <w:spacing w:before="20" w:after="20" w:line="220" w:lineRule="auto"/>
            </w:pPr>
            <w:r>
              <w:rPr>
                <w:sz w:val="15"/>
                <w:szCs w:val="15"/>
              </w:rPr>
              <w:t xml:space="preserve">EM</w:t>
            </w:r>
          </w:p>
        </w:tc>
        <w:tc>
          <w:tcPr>
            <w:tcW w:w="987" w:type="dxa"/>
          </w:tcPr>
          <w:p>
            <w:pPr>
              <w:pStyle w:val="Compact"/>
              <w:jc w:val="left"/>
              <w:spacing w:before="20" w:after="20" w:line="220" w:lineRule="auto"/>
            </w:pPr>
            <w:r>
              <w:rPr>
                <w:sz w:val="15"/>
                <w:szCs w:val="15"/>
              </w:rPr>
              <w:t xml:space="preserve">composite</w:t>
            </w:r>
          </w:p>
        </w:tc>
        <w:tc>
          <w:tcPr>
            <w:tcW w:w="2435" w:type="dxa"/>
          </w:tcPr>
          <w:p>
            <w:pPr>
              <w:pStyle w:val="Compact"/>
              <w:jc w:val="left"/>
              <w:spacing w:before="20" w:after="20" w:line="220" w:lineRule="auto"/>
            </w:pPr>
            <w:r>
              <w:rPr>
                <w:sz w:val="15"/>
                <w:szCs w:val="15"/>
              </w:rPr>
              <w:t xml:space="preserve">bank captive</w:t>
            </w:r>
          </w:p>
        </w:tc>
        <w:tc>
          <w:tcPr>
            <w:tcW w:w="1711" w:type="dxa"/>
          </w:tcPr>
          <w:p>
            <w:pPr>
              <w:pStyle w:val="Compact"/>
              <w:jc w:val="left"/>
              <w:spacing w:before="20" w:after="20" w:line="220" w:lineRule="auto"/>
            </w:pPr>
            <w:r>
              <w:rPr>
                <w:sz w:val="15"/>
                <w:szCs w:val="15"/>
              </w:rPr>
              <w:t xml:space="preserve">Brazilian GAAP</w:t>
            </w:r>
          </w:p>
        </w:tc>
        <w:tc>
          <w:tcPr>
            <w:tcW w:w="1316" w:type="dxa"/>
          </w:tcPr>
          <w:p>
            <w:pPr>
              <w:pStyle w:val="Compact"/>
              <w:jc w:val="left"/>
              <w:spacing w:before="20" w:after="20" w:line="220" w:lineRule="auto"/>
            </w:pPr>
            <w:r>
              <w:rPr>
                <w:sz w:val="15"/>
                <w:szCs w:val="15"/>
              </w:rPr>
              <w:t xml:space="preserve">FY2025 (Dec)</w:t>
            </w:r>
          </w:p>
        </w:tc>
        <w:tc>
          <w:tcPr>
            <w:tcW w:w="877" w:type="dxa"/>
          </w:tcPr>
          <w:p>
            <w:pPr>
              <w:pStyle w:val="Compact"/>
              <w:jc w:val="left"/>
              <w:spacing w:before="20" w:after="20" w:line="220" w:lineRule="auto"/>
            </w:pPr>
            <w:r>
              <w:rPr>
                <w:sz w:val="15"/>
                <w:szCs w:val="15"/>
              </w:rPr>
              <w:t xml:space="preserve">R28.94m</w:t>
            </w:r>
          </w:p>
        </w:tc>
        <w:tc>
          <w:tcPr>
            <w:tcW w:w="1097" w:type="dxa"/>
          </w:tcPr>
          <w:p>
            <w:pPr>
              <w:pStyle w:val="Compact"/>
              <w:jc w:val="left"/>
              <w:spacing w:before="20" w:after="20" w:line="220" w:lineRule="auto"/>
            </w:pPr>
            <w:r>
              <w:rPr>
                <w:sz w:val="15"/>
                <w:szCs w:val="15"/>
              </w:rPr>
              <w:t xml:space="preserve">R28.94m</w:t>
            </w:r>
          </w:p>
        </w:tc>
        <w:tc>
          <w:tcPr>
            <w:tcW w:w="1097" w:type="dxa"/>
          </w:tcPr>
          <w:p>
            <w:pPr>
              <w:pStyle w:val="Compact"/>
              <w:jc w:val="left"/>
              <w:spacing w:before="20" w:after="20" w:line="220" w:lineRule="auto"/>
            </w:pPr>
            <w:r>
              <w:rPr>
                <w:sz w:val="15"/>
                <w:szCs w:val="15"/>
              </w:rPr>
              <w:t xml:space="preserve">yes</w:t>
            </w:r>
          </w:p>
        </w:tc>
      </w:tr>
      <w:tr>
        <w:tc>
          <w:tcPr>
            <w:tcW w:w="4278" w:type="dxa"/>
          </w:tcPr>
          <w:p>
            <w:pPr>
              <w:pStyle w:val="Compact"/>
              <w:jc w:val="left"/>
              <w:spacing w:before="20" w:after="20" w:line="220" w:lineRule="auto"/>
            </w:pPr>
            <w:r>
              <w:rPr>
                <w:sz w:val="15"/>
                <w:szCs w:val="15"/>
              </w:rPr>
              <w:t xml:space="preserve">Brasilseg (premiums written per employee, 2024 headcount)</w:t>
            </w:r>
          </w:p>
        </w:tc>
        <w:tc>
          <w:tcPr>
            <w:tcW w:w="767" w:type="dxa"/>
          </w:tcPr>
          <w:p>
            <w:pPr>
              <w:pStyle w:val="Compact"/>
              <w:jc w:val="left"/>
              <w:spacing w:before="20" w:after="20" w:line="220" w:lineRule="auto"/>
            </w:pPr>
            <w:r>
              <w:rPr>
                <w:sz w:val="15"/>
                <w:szCs w:val="15"/>
              </w:rPr>
              <w:t xml:space="preserve">EM</w:t>
            </w:r>
          </w:p>
        </w:tc>
        <w:tc>
          <w:tcPr>
            <w:tcW w:w="987" w:type="dxa"/>
          </w:tcPr>
          <w:p>
            <w:pPr>
              <w:pStyle w:val="Compact"/>
              <w:jc w:val="left"/>
              <w:spacing w:before="20" w:after="20" w:line="220" w:lineRule="auto"/>
            </w:pPr>
            <w:r>
              <w:rPr>
                <w:sz w:val="15"/>
                <w:szCs w:val="15"/>
              </w:rPr>
              <w:t xml:space="preserve">composite</w:t>
            </w:r>
          </w:p>
        </w:tc>
        <w:tc>
          <w:tcPr>
            <w:tcW w:w="2435" w:type="dxa"/>
          </w:tcPr>
          <w:p>
            <w:pPr>
              <w:pStyle w:val="Compact"/>
              <w:jc w:val="left"/>
              <w:spacing w:before="20" w:after="20" w:line="220" w:lineRule="auto"/>
            </w:pPr>
            <w:r>
              <w:rPr>
                <w:sz w:val="15"/>
                <w:szCs w:val="15"/>
              </w:rPr>
              <w:t xml:space="preserve">bank captive</w:t>
            </w:r>
          </w:p>
        </w:tc>
        <w:tc>
          <w:tcPr>
            <w:tcW w:w="1711" w:type="dxa"/>
          </w:tcPr>
          <w:p>
            <w:pPr>
              <w:pStyle w:val="Compact"/>
              <w:jc w:val="left"/>
              <w:spacing w:before="20" w:after="20" w:line="220" w:lineRule="auto"/>
            </w:pPr>
            <w:r>
              <w:rPr>
                <w:sz w:val="15"/>
                <w:szCs w:val="15"/>
              </w:rPr>
              <w:t xml:space="preserve">SUSEP</w:t>
            </w:r>
          </w:p>
        </w:tc>
        <w:tc>
          <w:tcPr>
            <w:tcW w:w="1316" w:type="dxa"/>
          </w:tcPr>
          <w:p>
            <w:pPr>
              <w:pStyle w:val="Compact"/>
              <w:jc w:val="left"/>
              <w:spacing w:before="20" w:after="20" w:line="220" w:lineRule="auto"/>
            </w:pPr>
            <w:r>
              <w:rPr>
                <w:sz w:val="15"/>
                <w:szCs w:val="15"/>
              </w:rPr>
              <w:t xml:space="preserve">FY2025 (Dec)</w:t>
            </w:r>
          </w:p>
        </w:tc>
        <w:tc>
          <w:tcPr>
            <w:tcW w:w="877" w:type="dxa"/>
          </w:tcPr>
          <w:p>
            <w:pPr>
              <w:pStyle w:val="Compact"/>
              <w:jc w:val="left"/>
              <w:spacing w:before="20" w:after="20" w:line="220" w:lineRule="auto"/>
            </w:pPr>
            <w:r>
              <w:rPr>
                <w:sz w:val="15"/>
                <w:szCs w:val="15"/>
              </w:rPr>
              <w:t xml:space="preserve">R25.99m</w:t>
            </w:r>
          </w:p>
        </w:tc>
        <w:tc>
          <w:tcPr>
            <w:tcW w:w="1097" w:type="dxa"/>
          </w:tcPr>
          <w:p>
            <w:pPr>
              <w:pStyle w:val="Compact"/>
              <w:jc w:val="left"/>
              <w:spacing w:before="20" w:after="20" w:line="220" w:lineRule="auto"/>
            </w:pPr>
            <w:r>
              <w:rPr>
                <w:sz w:val="15"/>
                <w:szCs w:val="15"/>
              </w:rPr>
              <w:t xml:space="preserve">R25.99m</w:t>
            </w:r>
          </w:p>
        </w:tc>
        <w:tc>
          <w:tcPr>
            <w:tcW w:w="1097" w:type="dxa"/>
          </w:tcPr>
          <w:p>
            <w:pPr>
              <w:pStyle w:val="Compact"/>
              <w:jc w:val="left"/>
              <w:spacing w:before="20" w:after="20" w:line="220" w:lineRule="auto"/>
            </w:pPr>
            <w:r>
              <w:rPr>
                <w:sz w:val="15"/>
                <w:szCs w:val="15"/>
              </w:rPr>
              <w:t xml:space="preserve">yes</w:t>
            </w:r>
          </w:p>
        </w:tc>
      </w:tr>
      <w:tr>
        <w:tc>
          <w:tcPr>
            <w:tcW w:w="4278" w:type="dxa"/>
          </w:tcPr>
          <w:p>
            <w:pPr>
              <w:pStyle w:val="Compact"/>
              <w:jc w:val="left"/>
              <w:spacing w:before="20" w:after="20" w:line="220" w:lineRule="auto"/>
            </w:pPr>
            <w:r>
              <w:rPr>
                <w:sz w:val="15"/>
                <w:szCs w:val="15"/>
              </w:rPr>
              <w:t xml:space="preserve">Credit Agricole Assurances (premium income per employee)</w:t>
            </w:r>
          </w:p>
        </w:tc>
        <w:tc>
          <w:tcPr>
            <w:tcW w:w="767" w:type="dxa"/>
          </w:tcPr>
          <w:p>
            <w:pPr>
              <w:pStyle w:val="Compact"/>
              <w:jc w:val="left"/>
              <w:spacing w:before="20" w:after="20" w:line="220" w:lineRule="auto"/>
            </w:pPr>
            <w:r>
              <w:rPr>
                <w:sz w:val="15"/>
                <w:szCs w:val="15"/>
              </w:rPr>
              <w:t xml:space="preserve">EU</w:t>
            </w:r>
          </w:p>
        </w:tc>
        <w:tc>
          <w:tcPr>
            <w:tcW w:w="987" w:type="dxa"/>
          </w:tcPr>
          <w:p>
            <w:pPr>
              <w:pStyle w:val="Compact"/>
              <w:jc w:val="left"/>
              <w:spacing w:before="20" w:after="20" w:line="220" w:lineRule="auto"/>
            </w:pPr>
            <w:r>
              <w:rPr>
                <w:sz w:val="15"/>
                <w:szCs w:val="15"/>
              </w:rPr>
              <w:t xml:space="preserve">composite</w:t>
            </w:r>
          </w:p>
        </w:tc>
        <w:tc>
          <w:tcPr>
            <w:tcW w:w="2435" w:type="dxa"/>
          </w:tcPr>
          <w:p>
            <w:pPr>
              <w:pStyle w:val="Compact"/>
              <w:jc w:val="left"/>
              <w:spacing w:before="20" w:after="20" w:line="220" w:lineRule="auto"/>
            </w:pPr>
            <w:r>
              <w:rPr>
                <w:sz w:val="15"/>
                <w:szCs w:val="15"/>
              </w:rPr>
              <w:t xml:space="preserve">bank captive</w:t>
            </w:r>
          </w:p>
        </w:tc>
        <w:tc>
          <w:tcPr>
            <w:tcW w:w="1711" w:type="dxa"/>
          </w:tcPr>
          <w:p>
            <w:pPr>
              <w:pStyle w:val="Compact"/>
              <w:jc w:val="left"/>
              <w:spacing w:before="20" w:after="20" w:line="220" w:lineRule="auto"/>
            </w:pPr>
            <w:r>
              <w:rPr>
                <w:sz w:val="15"/>
                <w:szCs w:val="15"/>
              </w:rPr>
              <w:t xml:space="preserve">Premium income KPI</w:t>
            </w:r>
          </w:p>
        </w:tc>
        <w:tc>
          <w:tcPr>
            <w:tcW w:w="1316" w:type="dxa"/>
          </w:tcPr>
          <w:p>
            <w:pPr>
              <w:pStyle w:val="Compact"/>
              <w:jc w:val="left"/>
              <w:spacing w:before="20" w:after="20" w:line="220" w:lineRule="auto"/>
            </w:pPr>
            <w:r>
              <w:rPr>
                <w:sz w:val="15"/>
                <w:szCs w:val="15"/>
              </w:rPr>
              <w:t xml:space="preserve">FY2025 (Dec)</w:t>
            </w:r>
          </w:p>
        </w:tc>
        <w:tc>
          <w:tcPr>
            <w:tcW w:w="877" w:type="dxa"/>
          </w:tcPr>
          <w:p>
            <w:pPr>
              <w:pStyle w:val="Compact"/>
              <w:jc w:val="left"/>
              <w:spacing w:before="20" w:after="20" w:line="220" w:lineRule="auto"/>
            </w:pPr>
            <w:r>
              <w:rPr>
                <w:sz w:val="15"/>
                <w:szCs w:val="15"/>
              </w:rPr>
              <w:t xml:space="preserve">R261.40m</w:t>
            </w:r>
          </w:p>
        </w:tc>
        <w:tc>
          <w:tcPr>
            <w:tcW w:w="1097" w:type="dxa"/>
          </w:tcPr>
          <w:p>
            <w:pPr>
              <w:pStyle w:val="Compact"/>
              <w:jc w:val="left"/>
              <w:spacing w:before="20" w:after="20" w:line="220" w:lineRule="auto"/>
            </w:pPr>
            <w:r>
              <w:rPr>
                <w:sz w:val="15"/>
                <w:szCs w:val="15"/>
              </w:rPr>
              <w:t xml:space="preserve">R261.40m</w:t>
            </w:r>
          </w:p>
        </w:tc>
        <w:tc>
          <w:tcPr>
            <w:tcW w:w="1097" w:type="dxa"/>
          </w:tcPr>
          <w:p>
            <w:pPr>
              <w:pStyle w:val="Compact"/>
              <w:jc w:val="left"/>
              <w:spacing w:before="20" w:after="20" w:line="220" w:lineRule="auto"/>
            </w:pPr>
            <w:r>
              <w:rPr>
                <w:sz w:val="15"/>
                <w:szCs w:val="15"/>
              </w:rPr>
              <w:t xml:space="preserve">yes</w:t>
            </w:r>
          </w:p>
        </w:tc>
      </w:tr>
      <w:tr>
        <w:tc>
          <w:tcPr>
            <w:tcW w:w="4278" w:type="dxa"/>
          </w:tcPr>
          <w:p>
            <w:pPr>
              <w:pStyle w:val="Compact"/>
              <w:jc w:val="left"/>
              <w:spacing w:before="20" w:after="20" w:line="220" w:lineRule="auto"/>
            </w:pPr>
            <w:r>
              <w:rPr>
                <w:sz w:val="15"/>
                <w:szCs w:val="15"/>
              </w:rPr>
              <w:t xml:space="preserve">Intesa Sanpaolo Assicurazioni (GWP per employee)</w:t>
            </w:r>
          </w:p>
        </w:tc>
        <w:tc>
          <w:tcPr>
            <w:tcW w:w="767" w:type="dxa"/>
          </w:tcPr>
          <w:p>
            <w:pPr>
              <w:pStyle w:val="Compact"/>
              <w:jc w:val="left"/>
              <w:spacing w:before="20" w:after="20" w:line="220" w:lineRule="auto"/>
            </w:pPr>
            <w:r>
              <w:rPr>
                <w:sz w:val="15"/>
                <w:szCs w:val="15"/>
              </w:rPr>
              <w:t xml:space="preserve">EU</w:t>
            </w:r>
          </w:p>
        </w:tc>
        <w:tc>
          <w:tcPr>
            <w:tcW w:w="987" w:type="dxa"/>
          </w:tcPr>
          <w:p>
            <w:pPr>
              <w:pStyle w:val="Compact"/>
              <w:jc w:val="left"/>
              <w:spacing w:before="20" w:after="20" w:line="220" w:lineRule="auto"/>
            </w:pPr>
            <w:r>
              <w:rPr>
                <w:sz w:val="15"/>
                <w:szCs w:val="15"/>
              </w:rPr>
              <w:t xml:space="preserve">composite</w:t>
            </w:r>
          </w:p>
        </w:tc>
        <w:tc>
          <w:tcPr>
            <w:tcW w:w="2435" w:type="dxa"/>
          </w:tcPr>
          <w:p>
            <w:pPr>
              <w:pStyle w:val="Compact"/>
              <w:jc w:val="left"/>
              <w:spacing w:before="20" w:after="20" w:line="220" w:lineRule="auto"/>
            </w:pPr>
            <w:r>
              <w:rPr>
                <w:sz w:val="15"/>
                <w:szCs w:val="15"/>
              </w:rPr>
              <w:t xml:space="preserve">bank captive</w:t>
            </w:r>
          </w:p>
        </w:tc>
        <w:tc>
          <w:tcPr>
            <w:tcW w:w="1711" w:type="dxa"/>
          </w:tcPr>
          <w:p>
            <w:pPr>
              <w:pStyle w:val="Compact"/>
              <w:jc w:val="left"/>
              <w:spacing w:before="20" w:after="20" w:line="220" w:lineRule="auto"/>
            </w:pPr>
            <w:r>
              <w:rPr>
                <w:sz w:val="15"/>
                <w:szCs w:val="15"/>
              </w:rPr>
              <w:t xml:space="preserve">Premium KPI</w:t>
            </w:r>
          </w:p>
        </w:tc>
        <w:tc>
          <w:tcPr>
            <w:tcW w:w="1316" w:type="dxa"/>
          </w:tcPr>
          <w:p>
            <w:pPr>
              <w:pStyle w:val="Compact"/>
              <w:jc w:val="left"/>
              <w:spacing w:before="20" w:after="20" w:line="220" w:lineRule="auto"/>
            </w:pPr>
            <w:r>
              <w:rPr>
                <w:sz w:val="15"/>
                <w:szCs w:val="15"/>
              </w:rPr>
              <w:t xml:space="preserve">FY2025 (Dec)</w:t>
            </w:r>
          </w:p>
        </w:tc>
        <w:tc>
          <w:tcPr>
            <w:tcW w:w="877" w:type="dxa"/>
          </w:tcPr>
          <w:p>
            <w:pPr>
              <w:pStyle w:val="Compact"/>
              <w:jc w:val="left"/>
              <w:spacing w:before="20" w:after="20" w:line="220" w:lineRule="auto"/>
            </w:pPr>
            <w:r>
              <w:rPr>
                <w:sz w:val="15"/>
                <w:szCs w:val="15"/>
              </w:rPr>
              <w:t xml:space="preserve">R302.77m</w:t>
            </w:r>
          </w:p>
        </w:tc>
        <w:tc>
          <w:tcPr>
            <w:tcW w:w="1097" w:type="dxa"/>
          </w:tcPr>
          <w:p>
            <w:pPr>
              <w:pStyle w:val="Compact"/>
              <w:jc w:val="left"/>
              <w:spacing w:before="20" w:after="20" w:line="220" w:lineRule="auto"/>
            </w:pPr>
            <w:r>
              <w:rPr>
                <w:sz w:val="15"/>
                <w:szCs w:val="15"/>
              </w:rPr>
              <w:t xml:space="preserve">R302.77m</w:t>
            </w:r>
          </w:p>
        </w:tc>
        <w:tc>
          <w:tcPr>
            <w:tcW w:w="1097" w:type="dxa"/>
          </w:tcPr>
          <w:p>
            <w:pPr>
              <w:pStyle w:val="Compact"/>
              <w:jc w:val="left"/>
              <w:spacing w:before="20" w:after="20" w:line="220" w:lineRule="auto"/>
            </w:pPr>
            <w:r>
              <w:rPr>
                <w:sz w:val="15"/>
                <w:szCs w:val="15"/>
              </w:rPr>
              <w:t xml:space="preserve">yes</w:t>
            </w:r>
          </w:p>
        </w:tc>
      </w:tr>
      <w:tr>
        <w:tc>
          <w:tcPr>
            <w:tcW w:w="4278" w:type="dxa"/>
          </w:tcPr>
          <w:p>
            <w:pPr>
              <w:pStyle w:val="Compact"/>
              <w:jc w:val="left"/>
              <w:spacing w:before="20" w:after="20" w:line="220" w:lineRule="auto"/>
            </w:pPr>
            <w:r>
              <w:rPr>
                <w:sz w:val="15"/>
                <w:szCs w:val="15"/>
              </w:rPr>
              <w:t xml:space="preserve">KBC Insurance</w:t>
            </w:r>
          </w:p>
        </w:tc>
        <w:tc>
          <w:tcPr>
            <w:tcW w:w="767" w:type="dxa"/>
          </w:tcPr>
          <w:p>
            <w:pPr>
              <w:pStyle w:val="Compact"/>
              <w:jc w:val="left"/>
              <w:spacing w:before="20" w:after="20" w:line="220" w:lineRule="auto"/>
            </w:pPr>
            <w:r>
              <w:rPr>
                <w:sz w:val="15"/>
                <w:szCs w:val="15"/>
              </w:rPr>
              <w:t xml:space="preserve">EU</w:t>
            </w:r>
          </w:p>
        </w:tc>
        <w:tc>
          <w:tcPr>
            <w:tcW w:w="987" w:type="dxa"/>
          </w:tcPr>
          <w:p>
            <w:pPr>
              <w:pStyle w:val="Compact"/>
              <w:jc w:val="left"/>
              <w:spacing w:before="20" w:after="20" w:line="220" w:lineRule="auto"/>
            </w:pPr>
            <w:r>
              <w:rPr>
                <w:sz w:val="15"/>
                <w:szCs w:val="15"/>
              </w:rPr>
              <w:t xml:space="preserve">composite</w:t>
            </w:r>
          </w:p>
        </w:tc>
        <w:tc>
          <w:tcPr>
            <w:tcW w:w="2435" w:type="dxa"/>
          </w:tcPr>
          <w:p>
            <w:pPr>
              <w:pStyle w:val="Compact"/>
              <w:jc w:val="left"/>
              <w:spacing w:before="20" w:after="20" w:line="220" w:lineRule="auto"/>
            </w:pPr>
            <w:r>
              <w:rPr>
                <w:sz w:val="15"/>
                <w:szCs w:val="15"/>
              </w:rPr>
              <w:t xml:space="preserve">bank branches and tied agents</w:t>
            </w:r>
          </w:p>
        </w:tc>
        <w:tc>
          <w:tcPr>
            <w:tcW w:w="1711" w:type="dxa"/>
          </w:tcPr>
          <w:p>
            <w:pPr>
              <w:pStyle w:val="Compact"/>
              <w:jc w:val="left"/>
              <w:spacing w:before="20" w:after="20" w:line="220" w:lineRule="auto"/>
            </w:pPr>
            <w:r>
              <w:rPr>
                <w:sz w:val="15"/>
                <w:szCs w:val="15"/>
              </w:rPr>
              <w:t xml:space="preserve">IFRS 17</w:t>
            </w:r>
          </w:p>
        </w:tc>
        <w:tc>
          <w:tcPr>
            <w:tcW w:w="1316" w:type="dxa"/>
          </w:tcPr>
          <w:p>
            <w:pPr>
              <w:pStyle w:val="Compact"/>
              <w:jc w:val="left"/>
              <w:spacing w:before="20" w:after="20" w:line="220" w:lineRule="auto"/>
            </w:pPr>
            <w:r>
              <w:rPr>
                <w:sz w:val="15"/>
                <w:szCs w:val="15"/>
              </w:rPr>
              <w:t xml:space="preserve">FY2025 (Dec)</w:t>
            </w:r>
          </w:p>
        </w:tc>
        <w:tc>
          <w:tcPr>
            <w:tcW w:w="877" w:type="dxa"/>
          </w:tcPr>
          <w:p>
            <w:pPr>
              <w:pStyle w:val="Compact"/>
              <w:jc w:val="left"/>
              <w:spacing w:before="20" w:after="20" w:line="220" w:lineRule="auto"/>
            </w:pPr>
            <w:r>
              <w:rPr>
                <w:sz w:val="15"/>
                <w:szCs w:val="15"/>
              </w:rPr>
              <w:t xml:space="preserve">R16.29m</w:t>
            </w:r>
          </w:p>
        </w:tc>
        <w:tc>
          <w:tcPr>
            <w:tcW w:w="1097" w:type="dxa"/>
          </w:tcPr>
          <w:p>
            <w:pPr>
              <w:pStyle w:val="Compact"/>
              <w:jc w:val="left"/>
              <w:spacing w:before="20" w:after="20" w:line="220" w:lineRule="auto"/>
            </w:pPr>
            <w:r>
              <w:rPr>
                <w:sz w:val="15"/>
                <w:szCs w:val="15"/>
              </w:rPr>
              <w:t xml:space="preserve">R16.29m</w:t>
            </w:r>
          </w:p>
        </w:tc>
        <w:tc>
          <w:tcPr>
            <w:tcW w:w="1097" w:type="dxa"/>
          </w:tcPr>
          <w:p>
            <w:pPr>
              <w:pStyle w:val="Compact"/>
              <w:jc w:val="left"/>
              <w:spacing w:before="20" w:after="20" w:line="220" w:lineRule="auto"/>
            </w:pPr>
            <w:r>
              <w:rPr>
                <w:sz w:val="15"/>
                <w:szCs w:val="15"/>
              </w:rPr>
              <w:t xml:space="preserve">yes</w:t>
            </w:r>
          </w:p>
        </w:tc>
      </w:tr>
      <w:tr>
        <w:tc>
          <w:tcPr>
            <w:tcW w:w="4278" w:type="dxa"/>
          </w:tcPr>
          <w:p>
            <w:pPr>
              <w:pStyle w:val="Compact"/>
              <w:jc w:val="left"/>
              <w:spacing w:before="20" w:after="20" w:line="220" w:lineRule="auto"/>
            </w:pPr>
            <w:r>
              <w:rPr>
                <w:sz w:val="15"/>
                <w:szCs w:val="15"/>
              </w:rPr>
              <w:t xml:space="preserve">Momentum Group</w:t>
            </w:r>
          </w:p>
        </w:tc>
        <w:tc>
          <w:tcPr>
            <w:tcW w:w="767" w:type="dxa"/>
          </w:tcPr>
          <w:p>
            <w:pPr>
              <w:pStyle w:val="Compact"/>
              <w:jc w:val="left"/>
              <w:spacing w:before="20" w:after="20" w:line="220" w:lineRule="auto"/>
            </w:pPr>
            <w:r>
              <w:rPr>
                <w:sz w:val="15"/>
                <w:szCs w:val="15"/>
              </w:rPr>
              <w:t xml:space="preserve">LN</w:t>
            </w:r>
          </w:p>
        </w:tc>
        <w:tc>
          <w:tcPr>
            <w:tcW w:w="987" w:type="dxa"/>
          </w:tcPr>
          <w:p>
            <w:pPr>
              <w:pStyle w:val="Compact"/>
              <w:jc w:val="left"/>
              <w:spacing w:before="20" w:after="20" w:line="220" w:lineRule="auto"/>
            </w:pPr>
            <w:r>
              <w:rPr>
                <w:sz w:val="15"/>
                <w:szCs w:val="15"/>
              </w:rPr>
              <w:t xml:space="preserve">composite</w:t>
            </w:r>
          </w:p>
        </w:tc>
        <w:tc>
          <w:tcPr>
            <w:tcW w:w="2435" w:type="dxa"/>
          </w:tcPr>
          <w:p>
            <w:pPr>
              <w:pStyle w:val="Compact"/>
              <w:jc w:val="left"/>
              <w:spacing w:before="20" w:after="20" w:line="220" w:lineRule="auto"/>
            </w:pPr>
            <w:r>
              <w:rPr>
                <w:sz w:val="15"/>
                <w:szCs w:val="15"/>
              </w:rPr>
              <w:t xml:space="preserve">open</w:t>
            </w:r>
          </w:p>
        </w:tc>
        <w:tc>
          <w:tcPr>
            <w:tcW w:w="1711" w:type="dxa"/>
          </w:tcPr>
          <w:p>
            <w:pPr>
              <w:pStyle w:val="Compact"/>
              <w:jc w:val="left"/>
              <w:spacing w:before="20" w:after="20" w:line="220" w:lineRule="auto"/>
            </w:pPr>
            <w:r>
              <w:rPr>
                <w:sz w:val="15"/>
                <w:szCs w:val="15"/>
              </w:rPr>
              <w:t xml:space="preserve">IFRS 17</w:t>
            </w:r>
          </w:p>
        </w:tc>
        <w:tc>
          <w:tcPr>
            <w:tcW w:w="1316" w:type="dxa"/>
          </w:tcPr>
          <w:p>
            <w:pPr>
              <w:pStyle w:val="Compact"/>
              <w:jc w:val="left"/>
              <w:spacing w:before="20" w:after="20" w:line="220" w:lineRule="auto"/>
            </w:pPr>
            <w:r>
              <w:rPr>
                <w:sz w:val="15"/>
                <w:szCs w:val="15"/>
              </w:rPr>
              <w:t xml:space="preserve">FY2026 (Jun)</w:t>
            </w:r>
          </w:p>
        </w:tc>
        <w:tc>
          <w:tcPr>
            <w:tcW w:w="877" w:type="dxa"/>
          </w:tcPr>
          <w:p>
            <w:pPr>
              <w:pStyle w:val="Compact"/>
              <w:jc w:val="left"/>
              <w:spacing w:before="20" w:after="20" w:line="220" w:lineRule="auto"/>
            </w:pPr>
            <w:r>
              <w:rPr>
                <w:sz w:val="15"/>
                <w:szCs w:val="15"/>
              </w:rPr>
              <w:t xml:space="preserve">R4.16m</w:t>
            </w:r>
          </w:p>
        </w:tc>
        <w:tc>
          <w:tcPr>
            <w:tcW w:w="1097" w:type="dxa"/>
          </w:tcPr>
          <w:p>
            <w:pPr>
              <w:pStyle w:val="Compact"/>
              <w:jc w:val="left"/>
              <w:spacing w:before="20" w:after="20" w:line="220" w:lineRule="auto"/>
            </w:pPr>
            <w:r>
              <w:rPr>
                <w:sz w:val="15"/>
                <w:szCs w:val="15"/>
              </w:rPr>
              <w:t xml:space="preserve">R4.16m</w:t>
            </w:r>
          </w:p>
        </w:tc>
        <w:tc>
          <w:tcPr>
            <w:tcW w:w="1097" w:type="dxa"/>
          </w:tcPr>
          <w:p>
            <w:pPr>
              <w:pStyle w:val="Compact"/>
              <w:jc w:val="left"/>
              <w:spacing w:before="20" w:after="20" w:line="220" w:lineRule="auto"/>
            </w:pPr>
            <w:r>
              <w:rPr>
                <w:sz w:val="15"/>
                <w:szCs w:val="15"/>
              </w:rPr>
              <w:t xml:space="preserve">yes</w:t>
            </w:r>
          </w:p>
        </w:tc>
      </w:tr>
      <w:tr>
        <w:tc>
          <w:tcPr>
            <w:tcW w:w="4278" w:type="dxa"/>
          </w:tcPr>
          <w:p>
            <w:pPr>
              <w:pStyle w:val="Compact"/>
              <w:jc w:val="left"/>
              <w:spacing w:before="20" w:after="20" w:line="220" w:lineRule="auto"/>
            </w:pPr>
            <w:r>
              <w:rPr>
                <w:sz w:val="15"/>
                <w:szCs w:val="15"/>
              </w:rPr>
              <w:t xml:space="preserve">Old Mutual Group</w:t>
            </w:r>
          </w:p>
        </w:tc>
        <w:tc>
          <w:tcPr>
            <w:tcW w:w="767" w:type="dxa"/>
          </w:tcPr>
          <w:p>
            <w:pPr>
              <w:pStyle w:val="Compact"/>
              <w:jc w:val="left"/>
              <w:spacing w:before="20" w:after="20" w:line="220" w:lineRule="auto"/>
            </w:pPr>
            <w:r>
              <w:rPr>
                <w:sz w:val="15"/>
                <w:szCs w:val="15"/>
              </w:rPr>
              <w:t xml:space="preserve">LN</w:t>
            </w:r>
          </w:p>
        </w:tc>
        <w:tc>
          <w:tcPr>
            <w:tcW w:w="987" w:type="dxa"/>
          </w:tcPr>
          <w:p>
            <w:pPr>
              <w:pStyle w:val="Compact"/>
              <w:jc w:val="left"/>
              <w:spacing w:before="20" w:after="20" w:line="220" w:lineRule="auto"/>
            </w:pPr>
            <w:r>
              <w:rPr>
                <w:sz w:val="15"/>
                <w:szCs w:val="15"/>
              </w:rPr>
              <w:t xml:space="preserve">composite</w:t>
            </w:r>
          </w:p>
        </w:tc>
        <w:tc>
          <w:tcPr>
            <w:tcW w:w="2435" w:type="dxa"/>
          </w:tcPr>
          <w:p>
            <w:pPr>
              <w:pStyle w:val="Compact"/>
              <w:jc w:val="left"/>
              <w:spacing w:before="20" w:after="20" w:line="220" w:lineRule="auto"/>
            </w:pPr>
            <w:r>
              <w:rPr>
                <w:sz w:val="15"/>
                <w:szCs w:val="15"/>
              </w:rPr>
              <w:t xml:space="preserve">open</w:t>
            </w:r>
          </w:p>
        </w:tc>
        <w:tc>
          <w:tcPr>
            <w:tcW w:w="1711" w:type="dxa"/>
          </w:tcPr>
          <w:p>
            <w:pPr>
              <w:pStyle w:val="Compact"/>
              <w:jc w:val="left"/>
              <w:spacing w:before="20" w:after="20" w:line="220" w:lineRule="auto"/>
            </w:pPr>
            <w:r>
              <w:rPr>
                <w:sz w:val="15"/>
                <w:szCs w:val="15"/>
              </w:rPr>
              <w:t xml:space="preserve">IFRS 17</w:t>
            </w:r>
          </w:p>
        </w:tc>
        <w:tc>
          <w:tcPr>
            <w:tcW w:w="1316" w:type="dxa"/>
          </w:tcPr>
          <w:p>
            <w:pPr>
              <w:pStyle w:val="Compact"/>
              <w:jc w:val="left"/>
              <w:spacing w:before="20" w:after="20" w:line="220" w:lineRule="auto"/>
            </w:pPr>
            <w:r>
              <w:rPr>
                <w:sz w:val="15"/>
                <w:szCs w:val="15"/>
              </w:rPr>
              <w:t xml:space="preserve">FY2025 (Dec)</w:t>
            </w:r>
          </w:p>
        </w:tc>
        <w:tc>
          <w:tcPr>
            <w:tcW w:w="877" w:type="dxa"/>
          </w:tcPr>
          <w:p>
            <w:pPr>
              <w:pStyle w:val="Compact"/>
              <w:jc w:val="left"/>
              <w:spacing w:before="20" w:after="20" w:line="220" w:lineRule="auto"/>
            </w:pPr>
            <w:r>
              <w:rPr>
                <w:sz w:val="15"/>
                <w:szCs w:val="15"/>
              </w:rPr>
              <w:t xml:space="preserve">R2.93m</w:t>
            </w:r>
          </w:p>
        </w:tc>
        <w:tc>
          <w:tcPr>
            <w:tcW w:w="1097" w:type="dxa"/>
          </w:tcPr>
          <w:p>
            <w:pPr>
              <w:pStyle w:val="Compact"/>
              <w:jc w:val="left"/>
              <w:spacing w:before="20" w:after="20" w:line="220" w:lineRule="auto"/>
            </w:pPr>
            <w:r>
              <w:rPr>
                <w:sz w:val="15"/>
                <w:szCs w:val="15"/>
              </w:rPr>
              <w:t xml:space="preserve">R2.93m</w:t>
            </w:r>
          </w:p>
        </w:tc>
        <w:tc>
          <w:tcPr>
            <w:tcW w:w="1097" w:type="dxa"/>
          </w:tcPr>
          <w:p>
            <w:pPr>
              <w:pStyle w:val="Compact"/>
              <w:jc w:val="left"/>
              <w:spacing w:before="20" w:after="20" w:line="220" w:lineRule="auto"/>
            </w:pPr>
            <w:r>
              <w:rPr>
                <w:sz w:val="15"/>
                <w:szCs w:val="15"/>
              </w:rPr>
              <w:t xml:space="preserve">yes</w:t>
            </w:r>
          </w:p>
        </w:tc>
      </w:tr>
      <w:tr>
        <w:tc>
          <w:tcPr>
            <w:tcW w:w="4278" w:type="dxa"/>
          </w:tcPr>
          <w:p>
            <w:pPr>
              <w:pStyle w:val="Compact"/>
              <w:jc w:val="left"/>
              <w:spacing w:before="20" w:after="20" w:line="220" w:lineRule="auto"/>
            </w:pPr>
            <w:r>
              <w:rPr>
                <w:sz w:val="15"/>
                <w:szCs w:val="15"/>
              </w:rPr>
              <w:t xml:space="preserve">Sanlam Group</w:t>
            </w:r>
          </w:p>
        </w:tc>
        <w:tc>
          <w:tcPr>
            <w:tcW w:w="767" w:type="dxa"/>
          </w:tcPr>
          <w:p>
            <w:pPr>
              <w:pStyle w:val="Compact"/>
              <w:jc w:val="left"/>
              <w:spacing w:before="20" w:after="20" w:line="220" w:lineRule="auto"/>
            </w:pPr>
            <w:r>
              <w:rPr>
                <w:sz w:val="15"/>
                <w:szCs w:val="15"/>
              </w:rPr>
              <w:t xml:space="preserve">LN</w:t>
            </w:r>
          </w:p>
        </w:tc>
        <w:tc>
          <w:tcPr>
            <w:tcW w:w="987" w:type="dxa"/>
          </w:tcPr>
          <w:p>
            <w:pPr>
              <w:pStyle w:val="Compact"/>
              <w:jc w:val="left"/>
              <w:spacing w:before="20" w:after="20" w:line="220" w:lineRule="auto"/>
            </w:pPr>
            <w:r>
              <w:rPr>
                <w:sz w:val="15"/>
                <w:szCs w:val="15"/>
              </w:rPr>
              <w:t xml:space="preserve">composite</w:t>
            </w:r>
          </w:p>
        </w:tc>
        <w:tc>
          <w:tcPr>
            <w:tcW w:w="2435" w:type="dxa"/>
          </w:tcPr>
          <w:p>
            <w:pPr>
              <w:pStyle w:val="Compact"/>
              <w:jc w:val="left"/>
              <w:spacing w:before="20" w:after="20" w:line="220" w:lineRule="auto"/>
            </w:pPr>
            <w:r>
              <w:rPr>
                <w:sz w:val="15"/>
                <w:szCs w:val="15"/>
              </w:rPr>
              <w:t xml:space="preserve">open</w:t>
            </w:r>
          </w:p>
        </w:tc>
        <w:tc>
          <w:tcPr>
            <w:tcW w:w="1711" w:type="dxa"/>
          </w:tcPr>
          <w:p>
            <w:pPr>
              <w:pStyle w:val="Compact"/>
              <w:jc w:val="left"/>
              <w:spacing w:before="20" w:after="20" w:line="220" w:lineRule="auto"/>
            </w:pPr>
            <w:r>
              <w:rPr>
                <w:sz w:val="15"/>
                <w:szCs w:val="15"/>
              </w:rPr>
              <w:t xml:space="preserve">IFRS 17</w:t>
            </w:r>
          </w:p>
        </w:tc>
        <w:tc>
          <w:tcPr>
            <w:tcW w:w="1316" w:type="dxa"/>
          </w:tcPr>
          <w:p>
            <w:pPr>
              <w:pStyle w:val="Compact"/>
              <w:jc w:val="left"/>
              <w:spacing w:before="20" w:after="20" w:line="220" w:lineRule="auto"/>
            </w:pPr>
            <w:r>
              <w:rPr>
                <w:sz w:val="15"/>
                <w:szCs w:val="15"/>
              </w:rPr>
              <w:t xml:space="preserve">FY2025 (Dec)</w:t>
            </w:r>
          </w:p>
        </w:tc>
        <w:tc>
          <w:tcPr>
            <w:tcW w:w="877" w:type="dxa"/>
          </w:tcPr>
          <w:p>
            <w:pPr>
              <w:pStyle w:val="Compact"/>
              <w:jc w:val="left"/>
              <w:spacing w:before="20" w:after="20" w:line="220" w:lineRule="auto"/>
            </w:pPr>
            <w:r>
              <w:rPr>
                <w:sz w:val="15"/>
                <w:szCs w:val="15"/>
              </w:rPr>
              <w:t xml:space="preserve">R4.40m</w:t>
            </w:r>
          </w:p>
        </w:tc>
        <w:tc>
          <w:tcPr>
            <w:tcW w:w="1097" w:type="dxa"/>
          </w:tcPr>
          <w:p>
            <w:pPr>
              <w:pStyle w:val="Compact"/>
              <w:jc w:val="left"/>
              <w:spacing w:before="20" w:after="20" w:line="220" w:lineRule="auto"/>
            </w:pPr>
            <w:r>
              <w:rPr>
                <w:sz w:val="15"/>
                <w:szCs w:val="15"/>
              </w:rPr>
              <w:t xml:space="preserve">R4.40m</w:t>
            </w:r>
          </w:p>
        </w:tc>
        <w:tc>
          <w:tcPr>
            <w:tcW w:w="1097" w:type="dxa"/>
          </w:tcPr>
          <w:p>
            <w:pPr>
              <w:pStyle w:val="Compact"/>
              <w:jc w:val="left"/>
              <w:spacing w:before="20" w:after="20" w:line="220" w:lineRule="auto"/>
            </w:pPr>
            <w:r>
              <w:rPr>
                <w:sz w:val="15"/>
                <w:szCs w:val="15"/>
              </w:rPr>
              <w:t xml:space="preserve">yes</w:t>
            </w:r>
          </w:p>
        </w:tc>
      </w:tr>
    </w:tbl>
    <w:bookmarkEnd w:id="32"/>
    <w:bookmarkStart w:id="33" w:name="Xf70c0a8406996895a7ec7709e4e8c6172f575d1"/>
    <w:p>
      <w:pPr>
        <w:pStyle w:val="Heading4"/>
      </w:pPr>
      <w:r>
        <w:t xml:space="preserve">M9: Cost-to-income ratio as reported by the parent bank for the insurance unit</w:t>
      </w:r>
    </w:p>
    <w:tbl>
      <w:tblPr>
        <w:tblStyle w:val="Table"/>
        <w:tblLook w:firstRow="1" w:lastRow="0" w:firstColumn="0" w:lastColumn="0" w:noHBand="0" w:noVBand="0" w:val="0020"/>
        <w:jc w:val="start"/>
        <w:tblW w:w="14565" w:type="dxa"/>
        <w:tblLayout w:type="fixed"/>
      </w:tblPr>
      <w:tblGrid>
        <w:gridCol w:w="4272"/>
        <w:gridCol w:w="817"/>
        <w:gridCol w:w="1050"/>
        <w:gridCol w:w="1541"/>
        <w:gridCol w:w="2451"/>
        <w:gridCol w:w="1400"/>
        <w:gridCol w:w="700"/>
        <w:gridCol w:w="1167"/>
        <w:gridCol w:w="1167"/>
      </w:tblGrid>
      <w:tr>
        <w:trPr>
          <w:tblHeader w:val="true"/>
        </w:trPr>
        <w:tc>
          <w:tcPr>
            <w:tcW w:w="4272" w:type="dxa"/>
          </w:tcPr>
          <w:p>
            <w:pPr>
              <w:pStyle w:val="Compact"/>
              <w:jc w:val="left"/>
              <w:spacing w:before="20" w:after="20" w:line="220" w:lineRule="auto"/>
            </w:pPr>
            <w:r>
              <w:rPr>
                <w:sz w:val="15"/>
                <w:szCs w:val="15"/>
              </w:rPr>
              <w:t xml:space="preserve">Entity</w:t>
            </w:r>
          </w:p>
        </w:tc>
        <w:tc>
          <w:tcPr>
            <w:tcW w:w="817" w:type="dxa"/>
          </w:tcPr>
          <w:p>
            <w:pPr>
              <w:pStyle w:val="Compact"/>
              <w:jc w:val="left"/>
              <w:spacing w:before="20" w:after="20" w:line="220" w:lineRule="auto"/>
            </w:pPr>
            <w:r>
              <w:rPr>
                <w:sz w:val="15"/>
                <w:szCs w:val="15"/>
              </w:rPr>
              <w:t xml:space="preserve">Cluster</w:t>
            </w:r>
          </w:p>
        </w:tc>
        <w:tc>
          <w:tcPr>
            <w:tcW w:w="1050" w:type="dxa"/>
          </w:tcPr>
          <w:p>
            <w:pPr>
              <w:pStyle w:val="Compact"/>
              <w:jc w:val="left"/>
              <w:spacing w:before="20" w:after="20" w:line="220" w:lineRule="auto"/>
            </w:pPr>
            <w:r>
              <w:rPr>
                <w:sz w:val="15"/>
                <w:szCs w:val="15"/>
              </w:rPr>
              <w:t xml:space="preserve">Mix</w:t>
            </w:r>
          </w:p>
        </w:tc>
        <w:tc>
          <w:tcPr>
            <w:tcW w:w="1541" w:type="dxa"/>
          </w:tcPr>
          <w:p>
            <w:pPr>
              <w:pStyle w:val="Compact"/>
              <w:jc w:val="left"/>
              <w:spacing w:before="20" w:after="20" w:line="220" w:lineRule="auto"/>
            </w:pPr>
            <w:r>
              <w:rPr>
                <w:sz w:val="15"/>
                <w:szCs w:val="15"/>
              </w:rPr>
              <w:t xml:space="preserve">Distribution</w:t>
            </w:r>
          </w:p>
        </w:tc>
        <w:tc>
          <w:tcPr>
            <w:tcW w:w="2451" w:type="dxa"/>
          </w:tcPr>
          <w:p>
            <w:pPr>
              <w:pStyle w:val="Compact"/>
              <w:jc w:val="left"/>
              <w:spacing w:before="20" w:after="20" w:line="220" w:lineRule="auto"/>
            </w:pPr>
            <w:r>
              <w:rPr>
                <w:sz w:val="15"/>
                <w:szCs w:val="15"/>
              </w:rPr>
              <w:t xml:space="preserve">Basis</w:t>
            </w:r>
          </w:p>
        </w:tc>
        <w:tc>
          <w:tcPr>
            <w:tcW w:w="1400" w:type="dxa"/>
          </w:tcPr>
          <w:p>
            <w:pPr>
              <w:pStyle w:val="Compact"/>
              <w:jc w:val="left"/>
              <w:spacing w:before="20" w:after="20" w:line="220" w:lineRule="auto"/>
            </w:pPr>
            <w:r>
              <w:rPr>
                <w:sz w:val="15"/>
                <w:szCs w:val="15"/>
              </w:rPr>
              <w:t xml:space="preserve">Period</w:t>
            </w:r>
          </w:p>
        </w:tc>
        <w:tc>
          <w:tcPr>
            <w:tcW w:w="700" w:type="dxa"/>
          </w:tcPr>
          <w:p>
            <w:pPr>
              <w:pStyle w:val="Compact"/>
              <w:jc w:val="left"/>
              <w:spacing w:before="20" w:after="20" w:line="220" w:lineRule="auto"/>
            </w:pPr>
            <w:r>
              <w:rPr>
                <w:sz w:val="15"/>
                <w:szCs w:val="15"/>
              </w:rPr>
              <w:t xml:space="preserve">Raw</w:t>
            </w:r>
          </w:p>
        </w:tc>
        <w:tc>
          <w:tcPr>
            <w:tcW w:w="1167" w:type="dxa"/>
          </w:tcPr>
          <w:p>
            <w:pPr>
              <w:pStyle w:val="Compact"/>
              <w:jc w:val="left"/>
              <w:spacing w:before="20" w:after="20" w:line="220" w:lineRule="auto"/>
            </w:pPr>
            <w:r>
              <w:rPr>
                <w:sz w:val="15"/>
                <w:szCs w:val="15"/>
              </w:rPr>
              <w:t xml:space="preserve">Normalised</w:t>
            </w:r>
          </w:p>
        </w:tc>
        <w:tc>
          <w:tcPr>
            <w:tcW w:w="1167" w:type="dxa"/>
          </w:tcPr>
          <w:p>
            <w:pPr>
              <w:pStyle w:val="Compact"/>
              <w:jc w:val="left"/>
              <w:spacing w:before="20" w:after="20" w:line="220" w:lineRule="auto"/>
            </w:pPr>
            <w:r>
              <w:rPr>
                <w:sz w:val="15"/>
                <w:szCs w:val="15"/>
              </w:rPr>
              <w:t xml:space="preserve">In medians</w:t>
            </w:r>
          </w:p>
        </w:tc>
      </w:tr>
      <w:tr>
        <w:tc>
          <w:tcPr>
            <w:tcW w:w="4272" w:type="dxa"/>
          </w:tcPr>
          <w:p>
            <w:pPr>
              <w:pStyle w:val="Compact"/>
              <w:jc w:val="left"/>
              <w:spacing w:before="20" w:after="20" w:line="220" w:lineRule="auto"/>
            </w:pPr>
            <w:r>
              <w:rPr>
                <w:sz w:val="15"/>
                <w:szCs w:val="15"/>
              </w:rPr>
              <w:t xml:space="preserve">AFS Insurance SA (segment cost-to-income as reported)</w:t>
            </w:r>
          </w:p>
        </w:tc>
        <w:tc>
          <w:tcPr>
            <w:tcW w:w="817" w:type="dxa"/>
          </w:tcPr>
          <w:p>
            <w:pPr>
              <w:pStyle w:val="Compact"/>
              <w:jc w:val="left"/>
              <w:spacing w:before="20" w:after="20" w:line="220" w:lineRule="auto"/>
            </w:pPr>
            <w:r>
              <w:rPr>
                <w:sz w:val="15"/>
                <w:szCs w:val="15"/>
              </w:rPr>
              <w:t xml:space="preserve">AFS</w:t>
            </w:r>
          </w:p>
        </w:tc>
        <w:tc>
          <w:tcPr>
            <w:tcW w:w="1050" w:type="dxa"/>
          </w:tcPr>
          <w:p>
            <w:pPr>
              <w:pStyle w:val="Compact"/>
              <w:jc w:val="left"/>
              <w:spacing w:before="20" w:after="20" w:line="220" w:lineRule="auto"/>
            </w:pPr>
            <w:r>
              <w:rPr>
                <w:sz w:val="15"/>
                <w:szCs w:val="15"/>
              </w:rPr>
              <w:t xml:space="preserve">composite</w:t>
            </w:r>
          </w:p>
        </w:tc>
        <w:tc>
          <w:tcPr>
            <w:tcW w:w="1541" w:type="dxa"/>
          </w:tcPr>
          <w:p>
            <w:pPr>
              <w:pStyle w:val="Compact"/>
              <w:jc w:val="left"/>
              <w:spacing w:before="20" w:after="20" w:line="220" w:lineRule="auto"/>
            </w:pPr>
            <w:r>
              <w:rPr>
                <w:sz w:val="15"/>
                <w:szCs w:val="15"/>
              </w:rPr>
              <w:t xml:space="preserve">bank captive</w:t>
            </w:r>
          </w:p>
        </w:tc>
        <w:tc>
          <w:tcPr>
            <w:tcW w:w="2451" w:type="dxa"/>
          </w:tcPr>
          <w:p>
            <w:pPr>
              <w:pStyle w:val="Compact"/>
              <w:jc w:val="left"/>
              <w:spacing w:before="20" w:after="20" w:line="220" w:lineRule="auto"/>
            </w:pPr>
            <w:r>
              <w:rPr>
                <w:sz w:val="15"/>
                <w:szCs w:val="15"/>
              </w:rPr>
              <w:t xml:space="preserve">Absa segment definition</w:t>
            </w:r>
          </w:p>
        </w:tc>
        <w:tc>
          <w:tcPr>
            <w:tcW w:w="1400" w:type="dxa"/>
          </w:tcPr>
          <w:p>
            <w:pPr>
              <w:pStyle w:val="Compact"/>
              <w:jc w:val="left"/>
              <w:spacing w:before="20" w:after="20" w:line="220" w:lineRule="auto"/>
            </w:pPr>
            <w:r>
              <w:rPr>
                <w:sz w:val="15"/>
                <w:szCs w:val="15"/>
              </w:rPr>
              <w:t xml:space="preserve">FY2025 (Dec)</w:t>
            </w:r>
          </w:p>
        </w:tc>
        <w:tc>
          <w:tcPr>
            <w:tcW w:w="700" w:type="dxa"/>
          </w:tcPr>
          <w:p>
            <w:pPr>
              <w:pStyle w:val="Compact"/>
              <w:jc w:val="left"/>
              <w:spacing w:before="20" w:after="20" w:line="220" w:lineRule="auto"/>
            </w:pPr>
            <w:r>
              <w:rPr>
                <w:sz w:val="15"/>
                <w:szCs w:val="15"/>
              </w:rPr>
              <w:t xml:space="preserve">40.0%</w:t>
            </w:r>
          </w:p>
        </w:tc>
        <w:tc>
          <w:tcPr>
            <w:tcW w:w="1167" w:type="dxa"/>
          </w:tcPr>
          <w:p>
            <w:pPr>
              <w:pStyle w:val="Compact"/>
              <w:jc w:val="left"/>
              <w:spacing w:before="20" w:after="20" w:line="220" w:lineRule="auto"/>
            </w:pPr>
            <w:r>
              <w:rPr>
                <w:sz w:val="15"/>
                <w:szCs w:val="15"/>
              </w:rPr>
              <w:t xml:space="preserve">40.0%</w:t>
            </w:r>
          </w:p>
        </w:tc>
        <w:tc>
          <w:tcPr>
            <w:tcW w:w="1167" w:type="dxa"/>
          </w:tcPr>
          <w:p>
            <w:pPr>
              <w:pStyle w:val="Compact"/>
              <w:jc w:val="left"/>
              <w:spacing w:before="20" w:after="20" w:line="220" w:lineRule="auto"/>
            </w:pPr>
            <w:r>
              <w:rPr>
                <w:sz w:val="15"/>
                <w:szCs w:val="15"/>
              </w:rPr>
              <w:t xml:space="preserve">no</w:t>
            </w:r>
          </w:p>
        </w:tc>
      </w:tr>
      <w:tr>
        <w:tc>
          <w:tcPr>
            <w:tcW w:w="4272" w:type="dxa"/>
          </w:tcPr>
          <w:p>
            <w:pPr>
              <w:pStyle w:val="Compact"/>
              <w:jc w:val="left"/>
              <w:spacing w:before="20" w:after="20" w:line="220" w:lineRule="auto"/>
            </w:pPr>
            <w:r>
              <w:rPr>
                <w:sz w:val="15"/>
                <w:szCs w:val="15"/>
              </w:rPr>
              <w:t xml:space="preserve">Etiqa (Maybank segment cost-to-income)</w:t>
            </w:r>
          </w:p>
        </w:tc>
        <w:tc>
          <w:tcPr>
            <w:tcW w:w="817" w:type="dxa"/>
          </w:tcPr>
          <w:p>
            <w:pPr>
              <w:pStyle w:val="Compact"/>
              <w:jc w:val="left"/>
              <w:spacing w:before="20" w:after="20" w:line="220" w:lineRule="auto"/>
            </w:pPr>
            <w:r>
              <w:rPr>
                <w:sz w:val="15"/>
                <w:szCs w:val="15"/>
              </w:rPr>
              <w:t xml:space="preserve">EM</w:t>
            </w:r>
          </w:p>
        </w:tc>
        <w:tc>
          <w:tcPr>
            <w:tcW w:w="1050" w:type="dxa"/>
          </w:tcPr>
          <w:p>
            <w:pPr>
              <w:pStyle w:val="Compact"/>
              <w:jc w:val="left"/>
              <w:spacing w:before="20" w:after="20" w:line="220" w:lineRule="auto"/>
            </w:pPr>
            <w:r>
              <w:rPr>
                <w:sz w:val="15"/>
                <w:szCs w:val="15"/>
              </w:rPr>
              <w:t xml:space="preserve">composite</w:t>
            </w:r>
          </w:p>
        </w:tc>
        <w:tc>
          <w:tcPr>
            <w:tcW w:w="1541" w:type="dxa"/>
          </w:tcPr>
          <w:p>
            <w:pPr>
              <w:pStyle w:val="Compact"/>
              <w:jc w:val="left"/>
              <w:spacing w:before="20" w:after="20" w:line="220" w:lineRule="auto"/>
            </w:pPr>
            <w:r>
              <w:rPr>
                <w:sz w:val="15"/>
                <w:szCs w:val="15"/>
              </w:rPr>
              <w:t xml:space="preserve">partly captive</w:t>
            </w:r>
          </w:p>
        </w:tc>
        <w:tc>
          <w:tcPr>
            <w:tcW w:w="2451" w:type="dxa"/>
          </w:tcPr>
          <w:p>
            <w:pPr>
              <w:pStyle w:val="Compact"/>
              <w:jc w:val="left"/>
              <w:spacing w:before="20" w:after="20" w:line="220" w:lineRule="auto"/>
            </w:pPr>
            <w:r>
              <w:rPr>
                <w:sz w:val="15"/>
                <w:szCs w:val="15"/>
              </w:rPr>
              <w:t xml:space="preserve">Maybank segment definition</w:t>
            </w:r>
          </w:p>
        </w:tc>
        <w:tc>
          <w:tcPr>
            <w:tcW w:w="1400" w:type="dxa"/>
          </w:tcPr>
          <w:p>
            <w:pPr>
              <w:pStyle w:val="Compact"/>
              <w:jc w:val="left"/>
              <w:spacing w:before="20" w:after="20" w:line="220" w:lineRule="auto"/>
            </w:pPr>
            <w:r>
              <w:rPr>
                <w:sz w:val="15"/>
                <w:szCs w:val="15"/>
              </w:rPr>
              <w:t xml:space="preserve">FY2025 (Dec)</w:t>
            </w:r>
          </w:p>
        </w:tc>
        <w:tc>
          <w:tcPr>
            <w:tcW w:w="700" w:type="dxa"/>
          </w:tcPr>
          <w:p>
            <w:pPr>
              <w:pStyle w:val="Compact"/>
              <w:jc w:val="left"/>
              <w:spacing w:before="20" w:after="20" w:line="220" w:lineRule="auto"/>
            </w:pPr>
            <w:r>
              <w:rPr>
                <w:sz w:val="15"/>
                <w:szCs w:val="15"/>
              </w:rPr>
              <w:t xml:space="preserve">15.9%</w:t>
            </w:r>
          </w:p>
        </w:tc>
        <w:tc>
          <w:tcPr>
            <w:tcW w:w="1167" w:type="dxa"/>
          </w:tcPr>
          <w:p>
            <w:pPr>
              <w:pStyle w:val="Compact"/>
              <w:jc w:val="left"/>
              <w:spacing w:before="20" w:after="20" w:line="220" w:lineRule="auto"/>
            </w:pPr>
            <w:r>
              <w:rPr>
                <w:sz w:val="15"/>
                <w:szCs w:val="15"/>
              </w:rPr>
              <w:t xml:space="preserve">15.9%</w:t>
            </w:r>
          </w:p>
        </w:tc>
        <w:tc>
          <w:tcPr>
            <w:tcW w:w="1167" w:type="dxa"/>
          </w:tcPr>
          <w:p>
            <w:pPr>
              <w:pStyle w:val="Compact"/>
              <w:jc w:val="left"/>
              <w:spacing w:before="20" w:after="20" w:line="220" w:lineRule="auto"/>
            </w:pPr>
            <w:r>
              <w:rPr>
                <w:sz w:val="15"/>
                <w:szCs w:val="15"/>
              </w:rPr>
              <w:t xml:space="preserve">yes</w:t>
            </w:r>
          </w:p>
        </w:tc>
      </w:tr>
      <w:tr>
        <w:tc>
          <w:tcPr>
            <w:tcW w:w="4272" w:type="dxa"/>
          </w:tcPr>
          <w:p>
            <w:pPr>
              <w:pStyle w:val="Compact"/>
              <w:jc w:val="left"/>
              <w:spacing w:before="20" w:after="20" w:line="220" w:lineRule="auto"/>
            </w:pPr>
            <w:r>
              <w:rPr>
                <w:sz w:val="15"/>
                <w:szCs w:val="15"/>
              </w:rPr>
              <w:t xml:space="preserve">Intesa Sanpaolo Insurance Division</w:t>
            </w:r>
          </w:p>
        </w:tc>
        <w:tc>
          <w:tcPr>
            <w:tcW w:w="817" w:type="dxa"/>
          </w:tcPr>
          <w:p>
            <w:pPr>
              <w:pStyle w:val="Compact"/>
              <w:jc w:val="left"/>
              <w:spacing w:before="20" w:after="20" w:line="220" w:lineRule="auto"/>
            </w:pPr>
            <w:r>
              <w:rPr>
                <w:sz w:val="15"/>
                <w:szCs w:val="15"/>
              </w:rPr>
              <w:t xml:space="preserve">EU</w:t>
            </w:r>
          </w:p>
        </w:tc>
        <w:tc>
          <w:tcPr>
            <w:tcW w:w="1050" w:type="dxa"/>
          </w:tcPr>
          <w:p>
            <w:pPr>
              <w:pStyle w:val="Compact"/>
              <w:jc w:val="left"/>
              <w:spacing w:before="20" w:after="20" w:line="220" w:lineRule="auto"/>
            </w:pPr>
            <w:r>
              <w:rPr>
                <w:sz w:val="15"/>
                <w:szCs w:val="15"/>
              </w:rPr>
              <w:t xml:space="preserve">composite</w:t>
            </w:r>
          </w:p>
        </w:tc>
        <w:tc>
          <w:tcPr>
            <w:tcW w:w="1541" w:type="dxa"/>
          </w:tcPr>
          <w:p>
            <w:pPr>
              <w:pStyle w:val="Compact"/>
              <w:jc w:val="left"/>
              <w:spacing w:before="20" w:after="20" w:line="220" w:lineRule="auto"/>
            </w:pPr>
            <w:r>
              <w:rPr>
                <w:sz w:val="15"/>
                <w:szCs w:val="15"/>
              </w:rPr>
              <w:t xml:space="preserve">bank captive</w:t>
            </w:r>
          </w:p>
        </w:tc>
        <w:tc>
          <w:tcPr>
            <w:tcW w:w="2451" w:type="dxa"/>
          </w:tcPr>
          <w:p>
            <w:pPr>
              <w:pStyle w:val="Compact"/>
              <w:jc w:val="left"/>
              <w:spacing w:before="20" w:after="20" w:line="220" w:lineRule="auto"/>
            </w:pPr>
            <w:r>
              <w:rPr>
                <w:sz w:val="15"/>
                <w:szCs w:val="15"/>
              </w:rPr>
              <w:t xml:space="preserve">Parent bank segment</w:t>
            </w:r>
          </w:p>
        </w:tc>
        <w:tc>
          <w:tcPr>
            <w:tcW w:w="1400" w:type="dxa"/>
          </w:tcPr>
          <w:p>
            <w:pPr>
              <w:pStyle w:val="Compact"/>
              <w:jc w:val="left"/>
              <w:spacing w:before="20" w:after="20" w:line="220" w:lineRule="auto"/>
            </w:pPr>
            <w:r>
              <w:rPr>
                <w:sz w:val="15"/>
                <w:szCs w:val="15"/>
              </w:rPr>
              <w:t xml:space="preserve">FY2025 (Dec)</w:t>
            </w:r>
          </w:p>
        </w:tc>
        <w:tc>
          <w:tcPr>
            <w:tcW w:w="700" w:type="dxa"/>
          </w:tcPr>
          <w:p>
            <w:pPr>
              <w:pStyle w:val="Compact"/>
              <w:jc w:val="left"/>
              <w:spacing w:before="20" w:after="20" w:line="220" w:lineRule="auto"/>
            </w:pPr>
            <w:r>
              <w:rPr>
                <w:sz w:val="15"/>
                <w:szCs w:val="15"/>
              </w:rPr>
              <w:t xml:space="preserve">21.4%</w:t>
            </w:r>
          </w:p>
        </w:tc>
        <w:tc>
          <w:tcPr>
            <w:tcW w:w="1167" w:type="dxa"/>
          </w:tcPr>
          <w:p>
            <w:pPr>
              <w:pStyle w:val="Compact"/>
              <w:jc w:val="left"/>
              <w:spacing w:before="20" w:after="20" w:line="220" w:lineRule="auto"/>
            </w:pPr>
            <w:r>
              <w:rPr>
                <w:sz w:val="15"/>
                <w:szCs w:val="15"/>
              </w:rPr>
              <w:t xml:space="preserve">21.4%</w:t>
            </w:r>
          </w:p>
        </w:tc>
        <w:tc>
          <w:tcPr>
            <w:tcW w:w="1167" w:type="dxa"/>
          </w:tcPr>
          <w:p>
            <w:pPr>
              <w:pStyle w:val="Compact"/>
              <w:jc w:val="left"/>
              <w:spacing w:before="20" w:after="20" w:line="220" w:lineRule="auto"/>
            </w:pPr>
            <w:r>
              <w:rPr>
                <w:sz w:val="15"/>
                <w:szCs w:val="15"/>
              </w:rPr>
              <w:t xml:space="preserve">yes</w:t>
            </w:r>
          </w:p>
        </w:tc>
      </w:tr>
      <w:tr>
        <w:tc>
          <w:tcPr>
            <w:tcW w:w="4272" w:type="dxa"/>
          </w:tcPr>
          <w:p>
            <w:pPr>
              <w:pStyle w:val="Compact"/>
              <w:jc w:val="left"/>
              <w:spacing w:before="20" w:after="20" w:line="220" w:lineRule="auto"/>
            </w:pPr>
            <w:r>
              <w:rPr>
                <w:sz w:val="15"/>
                <w:szCs w:val="15"/>
              </w:rPr>
              <w:t xml:space="preserve">Lloyds Insurance, Pensions and Investments division</w:t>
            </w:r>
          </w:p>
        </w:tc>
        <w:tc>
          <w:tcPr>
            <w:tcW w:w="817" w:type="dxa"/>
          </w:tcPr>
          <w:p>
            <w:pPr>
              <w:pStyle w:val="Compact"/>
              <w:jc w:val="left"/>
              <w:spacing w:before="20" w:after="20" w:line="220" w:lineRule="auto"/>
            </w:pPr>
            <w:r>
              <w:rPr>
                <w:sz w:val="15"/>
                <w:szCs w:val="15"/>
              </w:rPr>
              <w:t xml:space="preserve">EU</w:t>
            </w:r>
          </w:p>
        </w:tc>
        <w:tc>
          <w:tcPr>
            <w:tcW w:w="1050" w:type="dxa"/>
          </w:tcPr>
          <w:p>
            <w:pPr>
              <w:pStyle w:val="Compact"/>
              <w:jc w:val="left"/>
              <w:spacing w:before="20" w:after="20" w:line="220" w:lineRule="auto"/>
            </w:pPr>
            <w:r>
              <w:rPr>
                <w:sz w:val="15"/>
                <w:szCs w:val="15"/>
              </w:rPr>
              <w:t xml:space="preserve">composite</w:t>
            </w:r>
          </w:p>
        </w:tc>
        <w:tc>
          <w:tcPr>
            <w:tcW w:w="1541" w:type="dxa"/>
          </w:tcPr>
          <w:p>
            <w:pPr>
              <w:pStyle w:val="Compact"/>
              <w:jc w:val="left"/>
              <w:spacing w:before="20" w:after="20" w:line="220" w:lineRule="auto"/>
            </w:pPr>
            <w:r>
              <w:rPr>
                <w:sz w:val="15"/>
                <w:szCs w:val="15"/>
              </w:rPr>
              <w:t xml:space="preserve">bank captive</w:t>
            </w:r>
          </w:p>
        </w:tc>
        <w:tc>
          <w:tcPr>
            <w:tcW w:w="2451" w:type="dxa"/>
          </w:tcPr>
          <w:p>
            <w:pPr>
              <w:pStyle w:val="Compact"/>
              <w:jc w:val="left"/>
              <w:spacing w:before="20" w:after="20" w:line="220" w:lineRule="auto"/>
            </w:pPr>
            <w:r>
              <w:rPr>
                <w:sz w:val="15"/>
                <w:szCs w:val="15"/>
              </w:rPr>
              <w:t xml:space="preserve">Derived from parent segment</w:t>
            </w:r>
          </w:p>
        </w:tc>
        <w:tc>
          <w:tcPr>
            <w:tcW w:w="1400" w:type="dxa"/>
          </w:tcPr>
          <w:p>
            <w:pPr>
              <w:pStyle w:val="Compact"/>
              <w:jc w:val="left"/>
              <w:spacing w:before="20" w:after="20" w:line="220" w:lineRule="auto"/>
            </w:pPr>
            <w:r>
              <w:rPr>
                <w:sz w:val="15"/>
                <w:szCs w:val="15"/>
              </w:rPr>
              <w:t xml:space="preserve">FY2025 (Dec)</w:t>
            </w:r>
          </w:p>
        </w:tc>
        <w:tc>
          <w:tcPr>
            <w:tcW w:w="700" w:type="dxa"/>
          </w:tcPr>
          <w:p>
            <w:pPr>
              <w:pStyle w:val="Compact"/>
              <w:jc w:val="left"/>
              <w:spacing w:before="20" w:after="20" w:line="220" w:lineRule="auto"/>
            </w:pPr>
            <w:r>
              <w:rPr>
                <w:sz w:val="15"/>
                <w:szCs w:val="15"/>
              </w:rPr>
              <w:t xml:space="preserve">72.9%</w:t>
            </w:r>
          </w:p>
        </w:tc>
        <w:tc>
          <w:tcPr>
            <w:tcW w:w="1167" w:type="dxa"/>
          </w:tcPr>
          <w:p>
            <w:pPr>
              <w:pStyle w:val="Compact"/>
              <w:jc w:val="left"/>
              <w:spacing w:before="20" w:after="20" w:line="220" w:lineRule="auto"/>
            </w:pPr>
            <w:r>
              <w:rPr>
                <w:sz w:val="15"/>
                <w:szCs w:val="15"/>
              </w:rPr>
              <w:t xml:space="preserve">72.9%</w:t>
            </w:r>
          </w:p>
        </w:tc>
        <w:tc>
          <w:tcPr>
            <w:tcW w:w="1167" w:type="dxa"/>
          </w:tcPr>
          <w:p>
            <w:pPr>
              <w:pStyle w:val="Compact"/>
              <w:jc w:val="left"/>
              <w:spacing w:before="20" w:after="20" w:line="220" w:lineRule="auto"/>
            </w:pPr>
            <w:r>
              <w:rPr>
                <w:sz w:val="15"/>
                <w:szCs w:val="15"/>
              </w:rPr>
              <w:t xml:space="preserve">yes</w:t>
            </w:r>
          </w:p>
        </w:tc>
      </w:tr>
    </w:tbl>
    <w:bookmarkEnd w:id="33"/>
    <w:bookmarkStart w:id="34" w:name="Xef1c5baf7d74ac22197f5526a3883e366170364"/>
    <w:p>
      <w:pPr>
        <w:pStyle w:val="Heading4"/>
      </w:pPr>
      <w:r>
        <w:t xml:space="preserve">M10: Investment administration cost / assets under management (bps)</w:t>
      </w:r>
    </w:p>
    <w:tbl>
      <w:tblPr>
        <w:tblStyle w:val="Table"/>
        <w:tblLook w:firstRow="1" w:lastRow="0" w:firstColumn="0" w:lastColumn="0" w:noHBand="0" w:noVBand="0" w:val="0020"/>
        <w:jc w:val="start"/>
        <w:tblW w:w="14566" w:type="dxa"/>
        <w:tblLayout w:type="fixed"/>
      </w:tblPr>
      <w:tblGrid>
        <w:gridCol w:w="4540"/>
        <w:gridCol w:w="897"/>
        <w:gridCol w:w="769"/>
        <w:gridCol w:w="1539"/>
        <w:gridCol w:w="1692"/>
        <w:gridCol w:w="1539"/>
        <w:gridCol w:w="1026"/>
        <w:gridCol w:w="1282"/>
        <w:gridCol w:w="1282"/>
      </w:tblGrid>
      <w:tr>
        <w:trPr>
          <w:tblHeader w:val="true"/>
        </w:trPr>
        <w:tc>
          <w:tcPr>
            <w:tcW w:w="4540" w:type="dxa"/>
          </w:tcPr>
          <w:p>
            <w:pPr>
              <w:pStyle w:val="Compact"/>
              <w:jc w:val="left"/>
              <w:spacing w:before="20" w:after="20" w:line="220" w:lineRule="auto"/>
            </w:pPr>
            <w:r>
              <w:rPr>
                <w:sz w:val="15"/>
                <w:szCs w:val="15"/>
              </w:rPr>
              <w:t xml:space="preserve">Entity</w:t>
            </w:r>
          </w:p>
        </w:tc>
        <w:tc>
          <w:tcPr>
            <w:tcW w:w="897" w:type="dxa"/>
          </w:tcPr>
          <w:p>
            <w:pPr>
              <w:pStyle w:val="Compact"/>
              <w:jc w:val="left"/>
              <w:spacing w:before="20" w:after="20" w:line="220" w:lineRule="auto"/>
            </w:pPr>
            <w:r>
              <w:rPr>
                <w:sz w:val="15"/>
                <w:szCs w:val="15"/>
              </w:rPr>
              <w:t xml:space="preserve">Cluster</w:t>
            </w:r>
          </w:p>
        </w:tc>
        <w:tc>
          <w:tcPr>
            <w:tcW w:w="769" w:type="dxa"/>
          </w:tcPr>
          <w:p>
            <w:pPr>
              <w:pStyle w:val="Compact"/>
              <w:jc w:val="left"/>
              <w:spacing w:before="20" w:after="20" w:line="220" w:lineRule="auto"/>
            </w:pPr>
            <w:r>
              <w:rPr>
                <w:sz w:val="15"/>
                <w:szCs w:val="15"/>
              </w:rPr>
              <w:t xml:space="preserve">Mix</w:t>
            </w:r>
          </w:p>
        </w:tc>
        <w:tc>
          <w:tcPr>
            <w:tcW w:w="1539" w:type="dxa"/>
          </w:tcPr>
          <w:p>
            <w:pPr>
              <w:pStyle w:val="Compact"/>
              <w:jc w:val="left"/>
              <w:spacing w:before="20" w:after="20" w:line="220" w:lineRule="auto"/>
            </w:pPr>
            <w:r>
              <w:rPr>
                <w:sz w:val="15"/>
                <w:szCs w:val="15"/>
              </w:rPr>
              <w:t xml:space="preserve">Distribution</w:t>
            </w:r>
          </w:p>
        </w:tc>
        <w:tc>
          <w:tcPr>
            <w:tcW w:w="1692" w:type="dxa"/>
          </w:tcPr>
          <w:p>
            <w:pPr>
              <w:pStyle w:val="Compact"/>
              <w:jc w:val="left"/>
              <w:spacing w:before="20" w:after="20" w:line="220" w:lineRule="auto"/>
            </w:pPr>
            <w:r>
              <w:rPr>
                <w:sz w:val="15"/>
                <w:szCs w:val="15"/>
              </w:rPr>
              <w:t xml:space="preserve">Basis</w:t>
            </w:r>
          </w:p>
        </w:tc>
        <w:tc>
          <w:tcPr>
            <w:tcW w:w="1539" w:type="dxa"/>
          </w:tcPr>
          <w:p>
            <w:pPr>
              <w:pStyle w:val="Compact"/>
              <w:jc w:val="left"/>
              <w:spacing w:before="20" w:after="20" w:line="220" w:lineRule="auto"/>
            </w:pPr>
            <w:r>
              <w:rPr>
                <w:sz w:val="15"/>
                <w:szCs w:val="15"/>
              </w:rPr>
              <w:t xml:space="preserve">Period</w:t>
            </w:r>
          </w:p>
        </w:tc>
        <w:tc>
          <w:tcPr>
            <w:tcW w:w="1026" w:type="dxa"/>
          </w:tcPr>
          <w:p>
            <w:pPr>
              <w:pStyle w:val="Compact"/>
              <w:jc w:val="left"/>
              <w:spacing w:before="20" w:after="20" w:line="220" w:lineRule="auto"/>
            </w:pPr>
            <w:r>
              <w:rPr>
                <w:sz w:val="15"/>
                <w:szCs w:val="15"/>
              </w:rPr>
              <w:t xml:space="preserve">Raw</w:t>
            </w:r>
          </w:p>
        </w:tc>
        <w:tc>
          <w:tcPr>
            <w:tcW w:w="1282" w:type="dxa"/>
          </w:tcPr>
          <w:p>
            <w:pPr>
              <w:pStyle w:val="Compact"/>
              <w:jc w:val="left"/>
              <w:spacing w:before="20" w:after="20" w:line="220" w:lineRule="auto"/>
            </w:pPr>
            <w:r>
              <w:rPr>
                <w:sz w:val="15"/>
                <w:szCs w:val="15"/>
              </w:rPr>
              <w:t xml:space="preserve">Normalised</w:t>
            </w:r>
          </w:p>
        </w:tc>
        <w:tc>
          <w:tcPr>
            <w:tcW w:w="1282" w:type="dxa"/>
          </w:tcPr>
          <w:p>
            <w:pPr>
              <w:pStyle w:val="Compact"/>
              <w:jc w:val="left"/>
              <w:spacing w:before="20" w:after="20" w:line="220" w:lineRule="auto"/>
            </w:pPr>
            <w:r>
              <w:rPr>
                <w:sz w:val="15"/>
                <w:szCs w:val="15"/>
              </w:rPr>
              <w:t xml:space="preserve">In medians</w:t>
            </w:r>
          </w:p>
        </w:tc>
      </w:tr>
      <w:tr>
        <w:tc>
          <w:tcPr>
            <w:tcW w:w="4540" w:type="dxa"/>
          </w:tcPr>
          <w:p>
            <w:pPr>
              <w:pStyle w:val="Compact"/>
              <w:jc w:val="left"/>
              <w:spacing w:before="20" w:after="20" w:line="220" w:lineRule="auto"/>
            </w:pPr>
            <w:r>
              <w:rPr>
                <w:sz w:val="15"/>
                <w:szCs w:val="15"/>
              </w:rPr>
              <w:t xml:space="preserve">Brasilprev (BB Seguridade) admin / pension reserves</w:t>
            </w:r>
          </w:p>
        </w:tc>
        <w:tc>
          <w:tcPr>
            <w:tcW w:w="897" w:type="dxa"/>
          </w:tcPr>
          <w:p>
            <w:pPr>
              <w:pStyle w:val="Compact"/>
              <w:jc w:val="left"/>
              <w:spacing w:before="20" w:after="20" w:line="220" w:lineRule="auto"/>
            </w:pPr>
            <w:r>
              <w:rPr>
                <w:sz w:val="15"/>
                <w:szCs w:val="15"/>
              </w:rPr>
              <w:t xml:space="preserve">EM</w:t>
            </w:r>
          </w:p>
        </w:tc>
        <w:tc>
          <w:tcPr>
            <w:tcW w:w="769" w:type="dxa"/>
          </w:tcPr>
          <w:p>
            <w:pPr>
              <w:pStyle w:val="Compact"/>
              <w:jc w:val="left"/>
              <w:spacing w:before="20" w:after="20" w:line="220" w:lineRule="auto"/>
            </w:pPr>
            <w:r>
              <w:rPr>
                <w:sz w:val="15"/>
                <w:szCs w:val="15"/>
              </w:rPr>
              <w:t xml:space="preserve">life</w:t>
            </w:r>
          </w:p>
        </w:tc>
        <w:tc>
          <w:tcPr>
            <w:tcW w:w="1539" w:type="dxa"/>
          </w:tcPr>
          <w:p>
            <w:pPr>
              <w:pStyle w:val="Compact"/>
              <w:jc w:val="left"/>
              <w:spacing w:before="20" w:after="20" w:line="220" w:lineRule="auto"/>
            </w:pPr>
            <w:r>
              <w:rPr>
                <w:sz w:val="15"/>
                <w:szCs w:val="15"/>
              </w:rPr>
              <w:t xml:space="preserve">bank captive</w:t>
            </w:r>
          </w:p>
        </w:tc>
        <w:tc>
          <w:tcPr>
            <w:tcW w:w="1692" w:type="dxa"/>
          </w:tcPr>
          <w:p>
            <w:pPr>
              <w:pStyle w:val="Compact"/>
              <w:jc w:val="left"/>
              <w:spacing w:before="20" w:after="20" w:line="220" w:lineRule="auto"/>
            </w:pPr>
            <w:r>
              <w:rPr>
                <w:sz w:val="15"/>
                <w:szCs w:val="15"/>
              </w:rPr>
              <w:t xml:space="preserve">Brazilian GAAP</w:t>
            </w:r>
          </w:p>
        </w:tc>
        <w:tc>
          <w:tcPr>
            <w:tcW w:w="1539" w:type="dxa"/>
          </w:tcPr>
          <w:p>
            <w:pPr>
              <w:pStyle w:val="Compact"/>
              <w:jc w:val="left"/>
              <w:spacing w:before="20" w:after="20" w:line="220" w:lineRule="auto"/>
            </w:pPr>
            <w:r>
              <w:rPr>
                <w:sz w:val="15"/>
                <w:szCs w:val="15"/>
              </w:rPr>
              <w:t xml:space="preserve">FY2025 (Dec)</w:t>
            </w:r>
          </w:p>
        </w:tc>
        <w:tc>
          <w:tcPr>
            <w:tcW w:w="1026" w:type="dxa"/>
          </w:tcPr>
          <w:p>
            <w:pPr>
              <w:pStyle w:val="Compact"/>
              <w:jc w:val="left"/>
              <w:spacing w:before="20" w:after="20" w:line="220" w:lineRule="auto"/>
            </w:pPr>
            <w:r>
              <w:rPr>
                <w:sz w:val="15"/>
                <w:szCs w:val="15"/>
              </w:rPr>
              <w:t xml:space="preserve">10.1 bps</w:t>
            </w:r>
          </w:p>
        </w:tc>
        <w:tc>
          <w:tcPr>
            <w:tcW w:w="1282" w:type="dxa"/>
          </w:tcPr>
          <w:p>
            <w:pPr>
              <w:pStyle w:val="Compact"/>
              <w:jc w:val="left"/>
              <w:spacing w:before="20" w:after="20" w:line="220" w:lineRule="auto"/>
            </w:pPr>
            <w:r>
              <w:rPr>
                <w:sz w:val="15"/>
                <w:szCs w:val="15"/>
              </w:rPr>
              <w:t xml:space="preserve">10.1 bps</w:t>
            </w:r>
          </w:p>
        </w:tc>
        <w:tc>
          <w:tcPr>
            <w:tcW w:w="1282" w:type="dxa"/>
          </w:tcPr>
          <w:p>
            <w:pPr>
              <w:pStyle w:val="Compact"/>
              <w:jc w:val="left"/>
              <w:spacing w:before="20" w:after="20" w:line="220" w:lineRule="auto"/>
            </w:pPr>
            <w:r>
              <w:rPr>
                <w:sz w:val="15"/>
                <w:szCs w:val="15"/>
              </w:rPr>
              <w:t xml:space="preserve">yes</w:t>
            </w:r>
          </w:p>
        </w:tc>
      </w:tr>
    </w:tbl>
    <w:bookmarkEnd w:id="34"/>
    <w:bookmarkStart w:id="35" w:name="X693d973d1fe39e54dcf35a8f4b880afa987a5d9"/>
    <w:p>
      <w:pPr>
        <w:pStyle w:val="Heading4"/>
      </w:pPr>
      <w:r>
        <w:t xml:space="preserve">M11: Intermediary operating expenses / commission and fee revenue</w:t>
      </w:r>
    </w:p>
    <w:tbl>
      <w:tblPr>
        <w:tblStyle w:val="Table"/>
        <w:tblLook w:firstRow="1" w:lastRow="0" w:firstColumn="0" w:lastColumn="0" w:noHBand="0" w:noVBand="0" w:val="0020"/>
        <w:jc w:val="start"/>
        <w:tblW w:w="14566" w:type="dxa"/>
        <w:tblLayout w:type="fixed"/>
      </w:tblPr>
      <w:tblGrid>
        <w:gridCol w:w="4586"/>
        <w:gridCol w:w="786"/>
        <w:gridCol w:w="1349"/>
        <w:gridCol w:w="1349"/>
        <w:gridCol w:w="2225"/>
        <w:gridCol w:w="1349"/>
        <w:gridCol w:w="674"/>
        <w:gridCol w:w="1124"/>
        <w:gridCol w:w="1124"/>
      </w:tblGrid>
      <w:tr>
        <w:trPr>
          <w:tblHeader w:val="true"/>
        </w:trPr>
        <w:tc>
          <w:tcPr>
            <w:tcW w:w="4586" w:type="dxa"/>
          </w:tcPr>
          <w:p>
            <w:pPr>
              <w:pStyle w:val="Compact"/>
              <w:jc w:val="left"/>
              <w:spacing w:before="20" w:after="20" w:line="220" w:lineRule="auto"/>
            </w:pPr>
            <w:r>
              <w:rPr>
                <w:sz w:val="15"/>
                <w:szCs w:val="15"/>
              </w:rPr>
              <w:t xml:space="preserve">Entity</w:t>
            </w:r>
          </w:p>
        </w:tc>
        <w:tc>
          <w:tcPr>
            <w:tcW w:w="786" w:type="dxa"/>
          </w:tcPr>
          <w:p>
            <w:pPr>
              <w:pStyle w:val="Compact"/>
              <w:jc w:val="left"/>
              <w:spacing w:before="20" w:after="20" w:line="220" w:lineRule="auto"/>
            </w:pPr>
            <w:r>
              <w:rPr>
                <w:sz w:val="15"/>
                <w:szCs w:val="15"/>
              </w:rPr>
              <w:t xml:space="preserve">Cluster</w:t>
            </w:r>
          </w:p>
        </w:tc>
        <w:tc>
          <w:tcPr>
            <w:tcW w:w="1349" w:type="dxa"/>
          </w:tcPr>
          <w:p>
            <w:pPr>
              <w:pStyle w:val="Compact"/>
              <w:jc w:val="left"/>
              <w:spacing w:before="20" w:after="20" w:line="220" w:lineRule="auto"/>
            </w:pPr>
            <w:r>
              <w:rPr>
                <w:sz w:val="15"/>
                <w:szCs w:val="15"/>
              </w:rPr>
              <w:t xml:space="preserve">Mix</w:t>
            </w:r>
          </w:p>
        </w:tc>
        <w:tc>
          <w:tcPr>
            <w:tcW w:w="1349" w:type="dxa"/>
          </w:tcPr>
          <w:p>
            <w:pPr>
              <w:pStyle w:val="Compact"/>
              <w:jc w:val="left"/>
              <w:spacing w:before="20" w:after="20" w:line="220" w:lineRule="auto"/>
            </w:pPr>
            <w:r>
              <w:rPr>
                <w:sz w:val="15"/>
                <w:szCs w:val="15"/>
              </w:rPr>
              <w:t xml:space="preserve">Distribution</w:t>
            </w:r>
          </w:p>
        </w:tc>
        <w:tc>
          <w:tcPr>
            <w:tcW w:w="2225" w:type="dxa"/>
          </w:tcPr>
          <w:p>
            <w:pPr>
              <w:pStyle w:val="Compact"/>
              <w:jc w:val="left"/>
              <w:spacing w:before="20" w:after="20" w:line="220" w:lineRule="auto"/>
            </w:pPr>
            <w:r>
              <w:rPr>
                <w:sz w:val="15"/>
                <w:szCs w:val="15"/>
              </w:rPr>
              <w:t xml:space="preserve">Basis</w:t>
            </w:r>
          </w:p>
        </w:tc>
        <w:tc>
          <w:tcPr>
            <w:tcW w:w="1349" w:type="dxa"/>
          </w:tcPr>
          <w:p>
            <w:pPr>
              <w:pStyle w:val="Compact"/>
              <w:jc w:val="left"/>
              <w:spacing w:before="20" w:after="20" w:line="220" w:lineRule="auto"/>
            </w:pPr>
            <w:r>
              <w:rPr>
                <w:sz w:val="15"/>
                <w:szCs w:val="15"/>
              </w:rPr>
              <w:t xml:space="preserve">Period</w:t>
            </w:r>
          </w:p>
        </w:tc>
        <w:tc>
          <w:tcPr>
            <w:tcW w:w="674" w:type="dxa"/>
          </w:tcPr>
          <w:p>
            <w:pPr>
              <w:pStyle w:val="Compact"/>
              <w:jc w:val="left"/>
              <w:spacing w:before="20" w:after="20" w:line="220" w:lineRule="auto"/>
            </w:pPr>
            <w:r>
              <w:rPr>
                <w:sz w:val="15"/>
                <w:szCs w:val="15"/>
              </w:rPr>
              <w:t xml:space="preserve">Raw</w:t>
            </w:r>
          </w:p>
        </w:tc>
        <w:tc>
          <w:tcPr>
            <w:tcW w:w="1124" w:type="dxa"/>
          </w:tcPr>
          <w:p>
            <w:pPr>
              <w:pStyle w:val="Compact"/>
              <w:jc w:val="left"/>
              <w:spacing w:before="20" w:after="20" w:line="220" w:lineRule="auto"/>
            </w:pPr>
            <w:r>
              <w:rPr>
                <w:sz w:val="15"/>
                <w:szCs w:val="15"/>
              </w:rPr>
              <w:t xml:space="preserve">Normalised</w:t>
            </w:r>
          </w:p>
        </w:tc>
        <w:tc>
          <w:tcPr>
            <w:tcW w:w="1124" w:type="dxa"/>
          </w:tcPr>
          <w:p>
            <w:pPr>
              <w:pStyle w:val="Compact"/>
              <w:jc w:val="left"/>
              <w:spacing w:before="20" w:after="20" w:line="220" w:lineRule="auto"/>
            </w:pPr>
            <w:r>
              <w:rPr>
                <w:sz w:val="15"/>
                <w:szCs w:val="15"/>
              </w:rPr>
              <w:t xml:space="preserve">In medians</w:t>
            </w:r>
          </w:p>
        </w:tc>
      </w:tr>
      <w:tr>
        <w:tc>
          <w:tcPr>
            <w:tcW w:w="4586" w:type="dxa"/>
          </w:tcPr>
          <w:p>
            <w:pPr>
              <w:pStyle w:val="Compact"/>
              <w:jc w:val="left"/>
              <w:spacing w:before="20" w:after="20" w:line="220" w:lineRule="auto"/>
            </w:pPr>
            <w:r>
              <w:rPr>
                <w:sz w:val="15"/>
                <w:szCs w:val="15"/>
              </w:rPr>
              <w:t xml:space="preserve">AFS Advice and Investments block (Non-Banking Financial Services segment, FY2023)</w:t>
            </w:r>
          </w:p>
        </w:tc>
        <w:tc>
          <w:tcPr>
            <w:tcW w:w="786" w:type="dxa"/>
          </w:tcPr>
          <w:p>
            <w:pPr>
              <w:pStyle w:val="Compact"/>
              <w:jc w:val="left"/>
              <w:spacing w:before="20" w:after="20" w:line="220" w:lineRule="auto"/>
            </w:pPr>
            <w:r>
              <w:rPr>
                <w:sz w:val="15"/>
                <w:szCs w:val="15"/>
              </w:rPr>
              <w:t xml:space="preserve">AFS</w:t>
            </w:r>
          </w:p>
        </w:tc>
        <w:tc>
          <w:tcPr>
            <w:tcW w:w="1349" w:type="dxa"/>
          </w:tcPr>
          <w:p>
            <w:pPr>
              <w:pStyle w:val="Compact"/>
              <w:jc w:val="left"/>
              <w:spacing w:before="20" w:after="20" w:line="220" w:lineRule="auto"/>
            </w:pPr>
            <w:r>
              <w:rPr>
                <w:sz w:val="15"/>
                <w:szCs w:val="15"/>
              </w:rPr>
              <w:t xml:space="preserve">intermediary</w:t>
            </w:r>
          </w:p>
        </w:tc>
        <w:tc>
          <w:tcPr>
            <w:tcW w:w="1349" w:type="dxa"/>
          </w:tcPr>
          <w:p>
            <w:pPr>
              <w:pStyle w:val="Compact"/>
              <w:jc w:val="left"/>
              <w:spacing w:before="20" w:after="20" w:line="220" w:lineRule="auto"/>
            </w:pPr>
            <w:r>
              <w:rPr>
                <w:sz w:val="15"/>
                <w:szCs w:val="15"/>
              </w:rPr>
              <w:t xml:space="preserve">bank captive</w:t>
            </w:r>
          </w:p>
        </w:tc>
        <w:tc>
          <w:tcPr>
            <w:tcW w:w="2225" w:type="dxa"/>
          </w:tcPr>
          <w:p>
            <w:pPr>
              <w:pStyle w:val="Compact"/>
              <w:jc w:val="left"/>
              <w:spacing w:before="20" w:after="20" w:line="220" w:lineRule="auto"/>
            </w:pPr>
            <w:r>
              <w:rPr>
                <w:sz w:val="15"/>
                <w:szCs w:val="15"/>
              </w:rPr>
              <w:t xml:space="preserve">IFRS segment</w:t>
            </w:r>
          </w:p>
        </w:tc>
        <w:tc>
          <w:tcPr>
            <w:tcW w:w="1349" w:type="dxa"/>
          </w:tcPr>
          <w:p>
            <w:pPr>
              <w:pStyle w:val="Compact"/>
              <w:jc w:val="left"/>
              <w:spacing w:before="20" w:after="20" w:line="220" w:lineRule="auto"/>
            </w:pPr>
            <w:r>
              <w:rPr>
                <w:sz w:val="15"/>
                <w:szCs w:val="15"/>
              </w:rPr>
              <w:t xml:space="preserve">FY2023 (Dec)</w:t>
            </w:r>
          </w:p>
        </w:tc>
        <w:tc>
          <w:tcPr>
            <w:tcW w:w="674" w:type="dxa"/>
          </w:tcPr>
          <w:p>
            <w:pPr>
              <w:pStyle w:val="Compact"/>
              <w:jc w:val="left"/>
              <w:spacing w:before="20" w:after="20" w:line="220" w:lineRule="auto"/>
            </w:pPr>
            <w:r>
              <w:rPr>
                <w:sz w:val="15"/>
                <w:szCs w:val="15"/>
              </w:rPr>
              <w:t xml:space="preserve">156.2%</w:t>
            </w:r>
          </w:p>
        </w:tc>
        <w:tc>
          <w:tcPr>
            <w:tcW w:w="1124" w:type="dxa"/>
          </w:tcPr>
          <w:p>
            <w:pPr>
              <w:pStyle w:val="Compact"/>
              <w:jc w:val="left"/>
              <w:spacing w:before="20" w:after="20" w:line="220" w:lineRule="auto"/>
            </w:pPr>
            <w:r>
              <w:rPr>
                <w:sz w:val="15"/>
                <w:szCs w:val="15"/>
              </w:rPr>
              <w:t xml:space="preserve">156.2%</w:t>
            </w:r>
          </w:p>
        </w:tc>
        <w:tc>
          <w:tcPr>
            <w:tcW w:w="1124" w:type="dxa"/>
          </w:tcPr>
          <w:p>
            <w:pPr>
              <w:pStyle w:val="Compact"/>
              <w:jc w:val="left"/>
              <w:spacing w:before="20" w:after="20" w:line="220" w:lineRule="auto"/>
            </w:pPr>
            <w:r>
              <w:rPr>
                <w:sz w:val="15"/>
                <w:szCs w:val="15"/>
              </w:rPr>
              <w:t xml:space="preserve">no</w:t>
            </w:r>
          </w:p>
        </w:tc>
      </w:tr>
      <w:tr>
        <w:tc>
          <w:tcPr>
            <w:tcW w:w="4586" w:type="dxa"/>
          </w:tcPr>
          <w:p>
            <w:pPr>
              <w:pStyle w:val="Compact"/>
              <w:jc w:val="left"/>
              <w:spacing w:before="20" w:after="20" w:line="220" w:lineRule="auto"/>
            </w:pPr>
            <w:r>
              <w:rPr>
                <w:sz w:val="15"/>
                <w:szCs w:val="15"/>
              </w:rPr>
              <w:t xml:space="preserve">BB Corretora (captive broker, BB Seguridade)</w:t>
            </w:r>
          </w:p>
        </w:tc>
        <w:tc>
          <w:tcPr>
            <w:tcW w:w="786" w:type="dxa"/>
          </w:tcPr>
          <w:p>
            <w:pPr>
              <w:pStyle w:val="Compact"/>
              <w:jc w:val="left"/>
              <w:spacing w:before="20" w:after="20" w:line="220" w:lineRule="auto"/>
            </w:pPr>
            <w:r>
              <w:rPr>
                <w:sz w:val="15"/>
                <w:szCs w:val="15"/>
              </w:rPr>
              <w:t xml:space="preserve">EM</w:t>
            </w:r>
          </w:p>
        </w:tc>
        <w:tc>
          <w:tcPr>
            <w:tcW w:w="1349" w:type="dxa"/>
          </w:tcPr>
          <w:p>
            <w:pPr>
              <w:pStyle w:val="Compact"/>
              <w:jc w:val="left"/>
              <w:spacing w:before="20" w:after="20" w:line="220" w:lineRule="auto"/>
            </w:pPr>
            <w:r>
              <w:rPr>
                <w:sz w:val="15"/>
                <w:szCs w:val="15"/>
              </w:rPr>
              <w:t xml:space="preserve">intermediary</w:t>
            </w:r>
          </w:p>
        </w:tc>
        <w:tc>
          <w:tcPr>
            <w:tcW w:w="1349" w:type="dxa"/>
          </w:tcPr>
          <w:p>
            <w:pPr>
              <w:pStyle w:val="Compact"/>
              <w:jc w:val="left"/>
              <w:spacing w:before="20" w:after="20" w:line="220" w:lineRule="auto"/>
            </w:pPr>
            <w:r>
              <w:rPr>
                <w:sz w:val="15"/>
                <w:szCs w:val="15"/>
              </w:rPr>
              <w:t xml:space="preserve">bank captive</w:t>
            </w:r>
          </w:p>
        </w:tc>
        <w:tc>
          <w:tcPr>
            <w:tcW w:w="2225" w:type="dxa"/>
          </w:tcPr>
          <w:p>
            <w:pPr>
              <w:pStyle w:val="Compact"/>
              <w:jc w:val="left"/>
              <w:spacing w:before="20" w:after="20" w:line="220" w:lineRule="auto"/>
            </w:pPr>
            <w:r>
              <w:rPr>
                <w:sz w:val="15"/>
                <w:szCs w:val="15"/>
              </w:rPr>
              <w:t xml:space="preserve">Brazilian GAAP managerial</w:t>
            </w:r>
          </w:p>
        </w:tc>
        <w:tc>
          <w:tcPr>
            <w:tcW w:w="1349" w:type="dxa"/>
          </w:tcPr>
          <w:p>
            <w:pPr>
              <w:pStyle w:val="Compact"/>
              <w:jc w:val="left"/>
              <w:spacing w:before="20" w:after="20" w:line="220" w:lineRule="auto"/>
            </w:pPr>
            <w:r>
              <w:rPr>
                <w:sz w:val="15"/>
                <w:szCs w:val="15"/>
              </w:rPr>
              <w:t xml:space="preserve">FY2025 (Dec)</w:t>
            </w:r>
          </w:p>
        </w:tc>
        <w:tc>
          <w:tcPr>
            <w:tcW w:w="674" w:type="dxa"/>
          </w:tcPr>
          <w:p>
            <w:pPr>
              <w:pStyle w:val="Compact"/>
              <w:jc w:val="left"/>
              <w:spacing w:before="20" w:after="20" w:line="220" w:lineRule="auto"/>
            </w:pPr>
            <w:r>
              <w:rPr>
                <w:sz w:val="15"/>
                <w:szCs w:val="15"/>
              </w:rPr>
              <w:t xml:space="preserve">5.6%</w:t>
            </w:r>
          </w:p>
        </w:tc>
        <w:tc>
          <w:tcPr>
            <w:tcW w:w="1124" w:type="dxa"/>
          </w:tcPr>
          <w:p>
            <w:pPr>
              <w:pStyle w:val="Compact"/>
              <w:jc w:val="left"/>
              <w:spacing w:before="20" w:after="20" w:line="220" w:lineRule="auto"/>
            </w:pPr>
            <w:r>
              <w:rPr>
                <w:sz w:val="15"/>
                <w:szCs w:val="15"/>
              </w:rPr>
              <w:t xml:space="preserve">5.6%</w:t>
            </w:r>
          </w:p>
        </w:tc>
        <w:tc>
          <w:tcPr>
            <w:tcW w:w="1124" w:type="dxa"/>
          </w:tcPr>
          <w:p>
            <w:pPr>
              <w:pStyle w:val="Compact"/>
              <w:jc w:val="left"/>
              <w:spacing w:before="20" w:after="20" w:line="220" w:lineRule="auto"/>
            </w:pPr>
            <w:r>
              <w:rPr>
                <w:sz w:val="15"/>
                <w:szCs w:val="15"/>
              </w:rPr>
              <w:t xml:space="preserve">yes</w:t>
            </w:r>
          </w:p>
        </w:tc>
      </w:tr>
    </w:tbl>
    <w:bookmarkEnd w:id="35"/>
    <w:bookmarkStart w:id="36" w:name="Xbfd2a700077797f8a387392a59bcd96d7def0ef"/>
    <w:p>
      <w:pPr>
        <w:pStyle w:val="Heading4"/>
      </w:pPr>
      <w:r>
        <w:t xml:space="preserve">Summary: AFS position against peer median and top quartile</w:t>
      </w:r>
    </w:p>
    <w:tbl>
      <w:tblPr>
        <w:tblStyle w:val="Table"/>
        <w:tblLook w:firstRow="1" w:lastRow="0" w:firstColumn="0" w:lastColumn="0" w:noHBand="0" w:noVBand="0" w:val="0020"/>
        <w:jc w:val="start"/>
        <w:tblW w:w="14566" w:type="dxa"/>
        <w:tblLayout w:type="fixed"/>
      </w:tblPr>
      <w:tblGrid>
        <w:gridCol w:w="1112"/>
        <w:gridCol w:w="1853"/>
        <w:gridCol w:w="1112"/>
        <w:gridCol w:w="1112"/>
        <w:gridCol w:w="1297"/>
        <w:gridCol w:w="2780"/>
        <w:gridCol w:w="1297"/>
        <w:gridCol w:w="2335"/>
        <w:gridCol w:w="1668"/>
      </w:tblGrid>
      <w:tr>
        <w:trPr>
          <w:tblHeader w:val="true"/>
        </w:trPr>
        <w:tc>
          <w:tcPr>
            <w:tcW w:w="1112" w:type="dxa"/>
          </w:tcPr>
          <w:p>
            <w:pPr>
              <w:pStyle w:val="Compact"/>
              <w:jc w:val="left"/>
              <w:spacing w:before="20" w:after="20" w:line="220" w:lineRule="auto"/>
            </w:pPr>
            <w:r>
              <w:rPr>
                <w:sz w:val="15"/>
                <w:szCs w:val="15"/>
              </w:rPr>
              <w:t xml:space="preserve">Metric</w:t>
            </w:r>
          </w:p>
        </w:tc>
        <w:tc>
          <w:tcPr>
            <w:tcW w:w="1853" w:type="dxa"/>
          </w:tcPr>
          <w:p>
            <w:pPr>
              <w:pStyle w:val="Compact"/>
              <w:jc w:val="left"/>
              <w:spacing w:before="20" w:after="20" w:line="220" w:lineRule="auto"/>
            </w:pPr>
            <w:r>
              <w:rPr>
                <w:sz w:val="15"/>
                <w:szCs w:val="15"/>
              </w:rPr>
              <w:t xml:space="preserve">Peer group</w:t>
            </w:r>
          </w:p>
        </w:tc>
        <w:tc>
          <w:tcPr>
            <w:tcW w:w="1112" w:type="dxa"/>
          </w:tcPr>
          <w:p>
            <w:pPr>
              <w:pStyle w:val="Compact"/>
              <w:jc w:val="left"/>
              <w:spacing w:before="20" w:after="20" w:line="220" w:lineRule="auto"/>
            </w:pPr>
            <w:r>
              <w:rPr>
                <w:sz w:val="15"/>
                <w:szCs w:val="15"/>
              </w:rPr>
              <w:t xml:space="preserve">AFS</w:t>
            </w:r>
          </w:p>
        </w:tc>
        <w:tc>
          <w:tcPr>
            <w:tcW w:w="1112" w:type="dxa"/>
          </w:tcPr>
          <w:p>
            <w:pPr>
              <w:pStyle w:val="Compact"/>
              <w:jc w:val="left"/>
              <w:spacing w:before="20" w:after="20" w:line="220" w:lineRule="auto"/>
            </w:pPr>
            <w:r>
              <w:rPr>
                <w:sz w:val="15"/>
                <w:szCs w:val="15"/>
              </w:rPr>
              <w:t xml:space="preserve">n</w:t>
            </w:r>
          </w:p>
        </w:tc>
        <w:tc>
          <w:tcPr>
            <w:tcW w:w="1297" w:type="dxa"/>
          </w:tcPr>
          <w:p>
            <w:pPr>
              <w:pStyle w:val="Compact"/>
              <w:jc w:val="left"/>
              <w:spacing w:before="20" w:after="20" w:line="220" w:lineRule="auto"/>
            </w:pPr>
            <w:r>
              <w:rPr>
                <w:sz w:val="15"/>
                <w:szCs w:val="15"/>
              </w:rPr>
              <w:t xml:space="preserve">Median</w:t>
            </w:r>
          </w:p>
        </w:tc>
        <w:tc>
          <w:tcPr>
            <w:tcW w:w="2780" w:type="dxa"/>
          </w:tcPr>
          <w:p>
            <w:pPr>
              <w:pStyle w:val="Compact"/>
              <w:jc w:val="left"/>
              <w:spacing w:before="20" w:after="20" w:line="220" w:lineRule="auto"/>
            </w:pPr>
            <w:r>
              <w:rPr>
                <w:sz w:val="15"/>
                <w:szCs w:val="15"/>
              </w:rPr>
              <w:t xml:space="preserve">Top quartile (Q1)</w:t>
            </w:r>
          </w:p>
        </w:tc>
        <w:tc>
          <w:tcPr>
            <w:tcW w:w="1297" w:type="dxa"/>
          </w:tcPr>
          <w:p>
            <w:pPr>
              <w:pStyle w:val="Compact"/>
              <w:jc w:val="left"/>
              <w:spacing w:before="20" w:after="20" w:line="220" w:lineRule="auto"/>
            </w:pPr>
            <w:r>
              <w:rPr>
                <w:sz w:val="15"/>
                <w:szCs w:val="15"/>
              </w:rPr>
              <w:t xml:space="preserve">Q3</w:t>
            </w:r>
          </w:p>
        </w:tc>
        <w:tc>
          <w:tcPr>
            <w:tcW w:w="2335" w:type="dxa"/>
          </w:tcPr>
          <w:p>
            <w:pPr>
              <w:pStyle w:val="Compact"/>
              <w:jc w:val="left"/>
              <w:spacing w:before="20" w:after="20" w:line="220" w:lineRule="auto"/>
            </w:pPr>
            <w:r>
              <w:rPr>
                <w:sz w:val="15"/>
                <w:szCs w:val="15"/>
              </w:rPr>
              <w:t xml:space="preserve">Gap to median</w:t>
            </w:r>
          </w:p>
        </w:tc>
        <w:tc>
          <w:tcPr>
            <w:tcW w:w="1668" w:type="dxa"/>
          </w:tcPr>
          <w:p>
            <w:pPr>
              <w:pStyle w:val="Compact"/>
              <w:jc w:val="left"/>
              <w:spacing w:before="20" w:after="20" w:line="220" w:lineRule="auto"/>
            </w:pPr>
            <w:r>
              <w:rPr>
                <w:sz w:val="15"/>
                <w:szCs w:val="15"/>
              </w:rPr>
              <w:t xml:space="preserve">Gap to Q1</w:t>
            </w:r>
          </w:p>
        </w:tc>
      </w:tr>
      <w:tr>
        <w:tc>
          <w:tcPr>
            <w:tcW w:w="1112" w:type="dxa"/>
          </w:tcPr>
          <w:p>
            <w:pPr>
              <w:pStyle w:val="Compact"/>
              <w:jc w:val="left"/>
              <w:spacing w:before="20" w:after="20" w:line="220" w:lineRule="auto"/>
            </w:pPr>
            <w:r>
              <w:rPr>
                <w:sz w:val="15"/>
                <w:szCs w:val="15"/>
              </w:rPr>
              <w:t xml:space="preserve">M1</w:t>
            </w:r>
          </w:p>
        </w:tc>
        <w:tc>
          <w:tcPr>
            <w:tcW w:w="1853" w:type="dxa"/>
          </w:tcPr>
          <w:p>
            <w:pPr>
              <w:pStyle w:val="Compact"/>
              <w:jc w:val="left"/>
              <w:spacing w:before="20" w:after="20" w:line="220" w:lineRule="auto"/>
            </w:pPr>
            <w:r>
              <w:rPr>
                <w:sz w:val="15"/>
                <w:szCs w:val="15"/>
              </w:rPr>
              <w:t xml:space="preserve">all</w:t>
            </w:r>
          </w:p>
        </w:tc>
        <w:tc>
          <w:tcPr>
            <w:tcW w:w="1112" w:type="dxa"/>
          </w:tcPr>
          <w:p>
            <w:pPr>
              <w:pStyle w:val="Compact"/>
              <w:jc w:val="left"/>
              <w:spacing w:before="20" w:after="20" w:line="220" w:lineRule="auto"/>
            </w:pPr>
            <w:r>
              <w:rPr>
                <w:sz w:val="15"/>
                <w:szCs w:val="15"/>
              </w:rPr>
              <w:t xml:space="preserve">11.5%</w:t>
            </w:r>
          </w:p>
        </w:tc>
        <w:tc>
          <w:tcPr>
            <w:tcW w:w="1112" w:type="dxa"/>
          </w:tcPr>
          <w:p>
            <w:pPr>
              <w:pStyle w:val="Compact"/>
              <w:jc w:val="left"/>
              <w:spacing w:before="20" w:after="20" w:line="220" w:lineRule="auto"/>
            </w:pPr>
            <w:r>
              <w:rPr>
                <w:sz w:val="15"/>
                <w:szCs w:val="15"/>
              </w:rPr>
              <w:t xml:space="preserve">29</w:t>
            </w:r>
          </w:p>
        </w:tc>
        <w:tc>
          <w:tcPr>
            <w:tcW w:w="1297" w:type="dxa"/>
          </w:tcPr>
          <w:p>
            <w:pPr>
              <w:pStyle w:val="Compact"/>
              <w:jc w:val="left"/>
              <w:spacing w:before="20" w:after="20" w:line="220" w:lineRule="auto"/>
            </w:pPr>
            <w:r>
              <w:rPr>
                <w:sz w:val="15"/>
                <w:szCs w:val="15"/>
              </w:rPr>
              <w:t xml:space="preserve">6.8%</w:t>
            </w:r>
          </w:p>
        </w:tc>
        <w:tc>
          <w:tcPr>
            <w:tcW w:w="2780" w:type="dxa"/>
          </w:tcPr>
          <w:p>
            <w:pPr>
              <w:pStyle w:val="Compact"/>
              <w:jc w:val="left"/>
              <w:spacing w:before="20" w:after="20" w:line="220" w:lineRule="auto"/>
            </w:pPr>
            <w:r>
              <w:rPr>
                <w:sz w:val="15"/>
                <w:szCs w:val="15"/>
              </w:rPr>
              <w:t xml:space="preserve">3.3%</w:t>
            </w:r>
          </w:p>
        </w:tc>
        <w:tc>
          <w:tcPr>
            <w:tcW w:w="1297" w:type="dxa"/>
          </w:tcPr>
          <w:p>
            <w:pPr>
              <w:pStyle w:val="Compact"/>
              <w:jc w:val="left"/>
              <w:spacing w:before="20" w:after="20" w:line="220" w:lineRule="auto"/>
            </w:pPr>
            <w:r>
              <w:rPr>
                <w:sz w:val="15"/>
                <w:szCs w:val="15"/>
              </w:rPr>
              <w:t xml:space="preserve">20.6%</w:t>
            </w:r>
          </w:p>
        </w:tc>
        <w:tc>
          <w:tcPr>
            <w:tcW w:w="2335" w:type="dxa"/>
          </w:tcPr>
          <w:p>
            <w:pPr>
              <w:pStyle w:val="Compact"/>
              <w:jc w:val="left"/>
              <w:spacing w:before="20" w:after="20" w:line="220" w:lineRule="auto"/>
            </w:pPr>
            <w:r>
              <w:rPr>
                <w:sz w:val="15"/>
                <w:szCs w:val="15"/>
              </w:rPr>
              <w:t xml:space="preserve">4.6%</w:t>
            </w:r>
          </w:p>
        </w:tc>
        <w:tc>
          <w:tcPr>
            <w:tcW w:w="1668" w:type="dxa"/>
          </w:tcPr>
          <w:p>
            <w:pPr>
              <w:pStyle w:val="Compact"/>
              <w:jc w:val="left"/>
              <w:spacing w:before="20" w:after="20" w:line="220" w:lineRule="auto"/>
            </w:pPr>
            <w:r>
              <w:rPr>
                <w:sz w:val="15"/>
                <w:szCs w:val="15"/>
              </w:rPr>
              <w:t xml:space="preserve">8.2%</w:t>
            </w:r>
          </w:p>
        </w:tc>
      </w:tr>
      <w:tr>
        <w:tc>
          <w:tcPr>
            <w:tcW w:w="1112" w:type="dxa"/>
          </w:tcPr>
          <w:p>
            <w:pPr>
              <w:pStyle w:val="Compact"/>
              <w:jc w:val="left"/>
              <w:spacing w:before="20" w:after="20" w:line="220" w:lineRule="auto"/>
            </w:pPr>
            <w:r>
              <w:rPr>
                <w:sz w:val="15"/>
                <w:szCs w:val="15"/>
              </w:rPr>
              <w:t xml:space="preserve">M1</w:t>
            </w:r>
          </w:p>
        </w:tc>
        <w:tc>
          <w:tcPr>
            <w:tcW w:w="1853" w:type="dxa"/>
          </w:tcPr>
          <w:p>
            <w:pPr>
              <w:pStyle w:val="Compact"/>
              <w:jc w:val="left"/>
              <w:spacing w:before="20" w:after="20" w:line="220" w:lineRule="auto"/>
            </w:pPr>
            <w:r>
              <w:rPr>
                <w:sz w:val="15"/>
                <w:szCs w:val="15"/>
              </w:rPr>
              <w:t xml:space="preserve">life</w:t>
            </w:r>
          </w:p>
        </w:tc>
        <w:tc>
          <w:tcPr>
            <w:tcW w:w="1112" w:type="dxa"/>
          </w:tcPr>
          <w:p>
            <w:pPr>
              <w:pStyle w:val="Compact"/>
              <w:jc w:val="left"/>
              <w:spacing w:before="20" w:after="20" w:line="220" w:lineRule="auto"/>
            </w:pPr>
            <w:r>
              <w:rPr>
                <w:sz w:val="15"/>
                <w:szCs w:val="15"/>
              </w:rPr>
              <w:t xml:space="preserve">4.0%</w:t>
            </w:r>
          </w:p>
        </w:tc>
        <w:tc>
          <w:tcPr>
            <w:tcW w:w="1112" w:type="dxa"/>
          </w:tcPr>
          <w:p>
            <w:pPr>
              <w:pStyle w:val="Compact"/>
              <w:jc w:val="left"/>
              <w:spacing w:before="20" w:after="20" w:line="220" w:lineRule="auto"/>
            </w:pPr>
            <w:r>
              <w:rPr>
                <w:sz w:val="15"/>
                <w:szCs w:val="15"/>
              </w:rPr>
              <w:t xml:space="preserve">12</w:t>
            </w:r>
          </w:p>
        </w:tc>
        <w:tc>
          <w:tcPr>
            <w:tcW w:w="1297" w:type="dxa"/>
          </w:tcPr>
          <w:p>
            <w:pPr>
              <w:pStyle w:val="Compact"/>
              <w:jc w:val="left"/>
              <w:spacing w:before="20" w:after="20" w:line="220" w:lineRule="auto"/>
            </w:pPr>
            <w:r>
              <w:rPr>
                <w:sz w:val="15"/>
                <w:szCs w:val="15"/>
              </w:rPr>
              <w:t xml:space="preserve">13.8%</w:t>
            </w:r>
          </w:p>
        </w:tc>
        <w:tc>
          <w:tcPr>
            <w:tcW w:w="2780" w:type="dxa"/>
          </w:tcPr>
          <w:p>
            <w:pPr>
              <w:pStyle w:val="Compact"/>
              <w:jc w:val="left"/>
              <w:spacing w:before="20" w:after="20" w:line="220" w:lineRule="auto"/>
            </w:pPr>
            <w:r>
              <w:rPr>
                <w:sz w:val="15"/>
                <w:szCs w:val="15"/>
              </w:rPr>
              <w:t xml:space="preserve">4.2%</w:t>
            </w:r>
          </w:p>
        </w:tc>
        <w:tc>
          <w:tcPr>
            <w:tcW w:w="1297" w:type="dxa"/>
          </w:tcPr>
          <w:p>
            <w:pPr>
              <w:pStyle w:val="Compact"/>
              <w:jc w:val="left"/>
              <w:spacing w:before="20" w:after="20" w:line="220" w:lineRule="auto"/>
            </w:pPr>
            <w:r>
              <w:rPr>
                <w:sz w:val="15"/>
                <w:szCs w:val="15"/>
              </w:rPr>
              <w:t xml:space="preserve">28.0%</w:t>
            </w:r>
          </w:p>
        </w:tc>
        <w:tc>
          <w:tcPr>
            <w:tcW w:w="2335" w:type="dxa"/>
          </w:tcPr>
          <w:p>
            <w:pPr>
              <w:pStyle w:val="Compact"/>
              <w:jc w:val="left"/>
              <w:spacing w:before="20" w:after="20" w:line="220" w:lineRule="auto"/>
            </w:pPr>
            <w:r>
              <w:rPr>
                <w:sz w:val="15"/>
                <w:szCs w:val="15"/>
              </w:rPr>
              <w:t xml:space="preserve">-9.8%</w:t>
            </w:r>
          </w:p>
        </w:tc>
        <w:tc>
          <w:tcPr>
            <w:tcW w:w="1668" w:type="dxa"/>
          </w:tcPr>
          <w:p>
            <w:pPr>
              <w:pStyle w:val="Compact"/>
              <w:jc w:val="left"/>
              <w:spacing w:before="20" w:after="20" w:line="220" w:lineRule="auto"/>
            </w:pPr>
            <w:r>
              <w:rPr>
                <w:sz w:val="15"/>
                <w:szCs w:val="15"/>
              </w:rPr>
              <w:t xml:space="preserve">-0.2%</w:t>
            </w:r>
          </w:p>
        </w:tc>
      </w:tr>
      <w:tr>
        <w:tc>
          <w:tcPr>
            <w:tcW w:w="1112" w:type="dxa"/>
          </w:tcPr>
          <w:p>
            <w:pPr>
              <w:pStyle w:val="Compact"/>
              <w:jc w:val="left"/>
              <w:spacing w:before="20" w:after="20" w:line="220" w:lineRule="auto"/>
            </w:pPr>
            <w:r>
              <w:rPr>
                <w:sz w:val="15"/>
                <w:szCs w:val="15"/>
              </w:rPr>
              <w:t xml:space="preserve">M1</w:t>
            </w:r>
          </w:p>
        </w:tc>
        <w:tc>
          <w:tcPr>
            <w:tcW w:w="1853" w:type="dxa"/>
          </w:tcPr>
          <w:p>
            <w:pPr>
              <w:pStyle w:val="Compact"/>
              <w:jc w:val="left"/>
              <w:spacing w:before="20" w:after="20" w:line="220" w:lineRule="auto"/>
            </w:pPr>
            <w:r>
              <w:rPr>
                <w:sz w:val="15"/>
                <w:szCs w:val="15"/>
              </w:rPr>
              <w:t xml:space="preserve">nonlife</w:t>
            </w:r>
          </w:p>
        </w:tc>
        <w:tc>
          <w:tcPr>
            <w:tcW w:w="1112" w:type="dxa"/>
          </w:tcPr>
          <w:p>
            <w:pPr>
              <w:pStyle w:val="Compact"/>
              <w:jc w:val="left"/>
              <w:spacing w:before="20" w:after="20" w:line="220" w:lineRule="auto"/>
            </w:pPr>
            <w:r>
              <w:rPr>
                <w:sz w:val="15"/>
                <w:szCs w:val="15"/>
              </w:rPr>
              <w:t xml:space="preserve">12.3%</w:t>
            </w:r>
          </w:p>
        </w:tc>
        <w:tc>
          <w:tcPr>
            <w:tcW w:w="1112" w:type="dxa"/>
          </w:tcPr>
          <w:p>
            <w:pPr>
              <w:pStyle w:val="Compact"/>
              <w:jc w:val="left"/>
              <w:spacing w:before="20" w:after="20" w:line="220" w:lineRule="auto"/>
            </w:pPr>
            <w:r>
              <w:rPr>
                <w:sz w:val="15"/>
                <w:szCs w:val="15"/>
              </w:rPr>
              <w:t xml:space="preserve">8</w:t>
            </w:r>
          </w:p>
        </w:tc>
        <w:tc>
          <w:tcPr>
            <w:tcW w:w="1297" w:type="dxa"/>
          </w:tcPr>
          <w:p>
            <w:pPr>
              <w:pStyle w:val="Compact"/>
              <w:jc w:val="left"/>
              <w:spacing w:before="20" w:after="20" w:line="220" w:lineRule="auto"/>
            </w:pPr>
            <w:r>
              <w:rPr>
                <w:sz w:val="15"/>
                <w:szCs w:val="15"/>
              </w:rPr>
              <w:t xml:space="preserve">3.8%</w:t>
            </w:r>
          </w:p>
        </w:tc>
        <w:tc>
          <w:tcPr>
            <w:tcW w:w="2780" w:type="dxa"/>
          </w:tcPr>
          <w:p>
            <w:pPr>
              <w:pStyle w:val="Compact"/>
              <w:jc w:val="left"/>
              <w:spacing w:before="20" w:after="20" w:line="220" w:lineRule="auto"/>
            </w:pPr>
            <w:r>
              <w:rPr>
                <w:sz w:val="15"/>
                <w:szCs w:val="15"/>
              </w:rPr>
              <w:t xml:space="preserve">3.0%</w:t>
            </w:r>
          </w:p>
        </w:tc>
        <w:tc>
          <w:tcPr>
            <w:tcW w:w="1297" w:type="dxa"/>
          </w:tcPr>
          <w:p>
            <w:pPr>
              <w:pStyle w:val="Compact"/>
              <w:jc w:val="left"/>
              <w:spacing w:before="20" w:after="20" w:line="220" w:lineRule="auto"/>
            </w:pPr>
            <w:r>
              <w:rPr>
                <w:sz w:val="15"/>
                <w:szCs w:val="15"/>
              </w:rPr>
              <w:t xml:space="preserve">4.9%</w:t>
            </w:r>
          </w:p>
        </w:tc>
        <w:tc>
          <w:tcPr>
            <w:tcW w:w="2335" w:type="dxa"/>
          </w:tcPr>
          <w:p>
            <w:pPr>
              <w:pStyle w:val="Compact"/>
              <w:jc w:val="left"/>
              <w:spacing w:before="20" w:after="20" w:line="220" w:lineRule="auto"/>
            </w:pPr>
            <w:r>
              <w:rPr>
                <w:sz w:val="15"/>
                <w:szCs w:val="15"/>
              </w:rPr>
              <w:t xml:space="preserve">8.5%</w:t>
            </w:r>
          </w:p>
        </w:tc>
        <w:tc>
          <w:tcPr>
            <w:tcW w:w="1668" w:type="dxa"/>
          </w:tcPr>
          <w:p>
            <w:pPr>
              <w:pStyle w:val="Compact"/>
              <w:jc w:val="left"/>
              <w:spacing w:before="20" w:after="20" w:line="220" w:lineRule="auto"/>
            </w:pPr>
            <w:r>
              <w:rPr>
                <w:sz w:val="15"/>
                <w:szCs w:val="15"/>
              </w:rPr>
              <w:t xml:space="preserve">9.3%</w:t>
            </w:r>
          </w:p>
        </w:tc>
      </w:tr>
      <w:tr>
        <w:tc>
          <w:tcPr>
            <w:tcW w:w="1112" w:type="dxa"/>
          </w:tcPr>
          <w:p>
            <w:pPr>
              <w:pStyle w:val="Compact"/>
              <w:jc w:val="left"/>
              <w:spacing w:before="20" w:after="20" w:line="220" w:lineRule="auto"/>
            </w:pPr>
            <w:r>
              <w:rPr>
                <w:sz w:val="15"/>
                <w:szCs w:val="15"/>
              </w:rPr>
              <w:t xml:space="preserve">M1</w:t>
            </w:r>
          </w:p>
        </w:tc>
        <w:tc>
          <w:tcPr>
            <w:tcW w:w="1853" w:type="dxa"/>
          </w:tcPr>
          <w:p>
            <w:pPr>
              <w:pStyle w:val="Compact"/>
              <w:jc w:val="left"/>
              <w:spacing w:before="20" w:after="20" w:line="220" w:lineRule="auto"/>
            </w:pPr>
            <w:r>
              <w:rPr>
                <w:sz w:val="15"/>
                <w:szCs w:val="15"/>
              </w:rPr>
              <w:t xml:space="preserve">composite</w:t>
            </w:r>
          </w:p>
        </w:tc>
        <w:tc>
          <w:tcPr>
            <w:tcW w:w="1112" w:type="dxa"/>
          </w:tcPr>
          <w:p>
            <w:pPr>
              <w:pStyle w:val="Compact"/>
              <w:jc w:val="left"/>
              <w:spacing w:before="20" w:after="20" w:line="220" w:lineRule="auto"/>
            </w:pPr>
            <w:r>
              <w:rPr>
                <w:sz w:val="15"/>
                <w:szCs w:val="15"/>
              </w:rPr>
              <w:t xml:space="preserve">11.5%</w:t>
            </w:r>
          </w:p>
        </w:tc>
        <w:tc>
          <w:tcPr>
            <w:tcW w:w="1112" w:type="dxa"/>
          </w:tcPr>
          <w:p>
            <w:pPr>
              <w:pStyle w:val="Compact"/>
              <w:jc w:val="left"/>
              <w:spacing w:before="20" w:after="20" w:line="220" w:lineRule="auto"/>
            </w:pPr>
            <w:r>
              <w:rPr>
                <w:sz w:val="15"/>
                <w:szCs w:val="15"/>
              </w:rPr>
              <w:t xml:space="preserve">9</w:t>
            </w:r>
          </w:p>
        </w:tc>
        <w:tc>
          <w:tcPr>
            <w:tcW w:w="1297" w:type="dxa"/>
          </w:tcPr>
          <w:p>
            <w:pPr>
              <w:pStyle w:val="Compact"/>
              <w:jc w:val="left"/>
              <w:spacing w:before="20" w:after="20" w:line="220" w:lineRule="auto"/>
            </w:pPr>
            <w:r>
              <w:rPr>
                <w:sz w:val="15"/>
                <w:szCs w:val="15"/>
              </w:rPr>
              <w:t xml:space="preserve">6.8%</w:t>
            </w:r>
          </w:p>
        </w:tc>
        <w:tc>
          <w:tcPr>
            <w:tcW w:w="2780" w:type="dxa"/>
          </w:tcPr>
          <w:p>
            <w:pPr>
              <w:pStyle w:val="Compact"/>
              <w:jc w:val="left"/>
              <w:spacing w:before="20" w:after="20" w:line="220" w:lineRule="auto"/>
            </w:pPr>
            <w:r>
              <w:rPr>
                <w:sz w:val="15"/>
                <w:szCs w:val="15"/>
              </w:rPr>
              <w:t xml:space="preserve">3.9%</w:t>
            </w:r>
          </w:p>
        </w:tc>
        <w:tc>
          <w:tcPr>
            <w:tcW w:w="1297" w:type="dxa"/>
          </w:tcPr>
          <w:p>
            <w:pPr>
              <w:pStyle w:val="Compact"/>
              <w:jc w:val="left"/>
              <w:spacing w:before="20" w:after="20" w:line="220" w:lineRule="auto"/>
            </w:pPr>
            <w:r>
              <w:rPr>
                <w:sz w:val="15"/>
                <w:szCs w:val="15"/>
              </w:rPr>
              <w:t xml:space="preserve">23.2%</w:t>
            </w:r>
          </w:p>
        </w:tc>
        <w:tc>
          <w:tcPr>
            <w:tcW w:w="2335" w:type="dxa"/>
          </w:tcPr>
          <w:p>
            <w:pPr>
              <w:pStyle w:val="Compact"/>
              <w:jc w:val="left"/>
              <w:spacing w:before="20" w:after="20" w:line="220" w:lineRule="auto"/>
            </w:pPr>
            <w:r>
              <w:rPr>
                <w:sz w:val="15"/>
                <w:szCs w:val="15"/>
              </w:rPr>
              <w:t xml:space="preserve">4.6%</w:t>
            </w:r>
          </w:p>
        </w:tc>
        <w:tc>
          <w:tcPr>
            <w:tcW w:w="1668" w:type="dxa"/>
          </w:tcPr>
          <w:p>
            <w:pPr>
              <w:pStyle w:val="Compact"/>
              <w:jc w:val="left"/>
              <w:spacing w:before="20" w:after="20" w:line="220" w:lineRule="auto"/>
            </w:pPr>
            <w:r>
              <w:rPr>
                <w:sz w:val="15"/>
                <w:szCs w:val="15"/>
              </w:rPr>
              <w:t xml:space="preserve">7.6%</w:t>
            </w:r>
          </w:p>
        </w:tc>
      </w:tr>
      <w:tr>
        <w:tc>
          <w:tcPr>
            <w:tcW w:w="1112" w:type="dxa"/>
          </w:tcPr>
          <w:p>
            <w:pPr>
              <w:pStyle w:val="Compact"/>
              <w:jc w:val="left"/>
              <w:spacing w:before="20" w:after="20" w:line="220" w:lineRule="auto"/>
            </w:pPr>
            <w:r>
              <w:rPr>
                <w:sz w:val="15"/>
                <w:szCs w:val="15"/>
              </w:rPr>
              <w:t xml:space="preserve">M2</w:t>
            </w:r>
          </w:p>
        </w:tc>
        <w:tc>
          <w:tcPr>
            <w:tcW w:w="1853" w:type="dxa"/>
          </w:tcPr>
          <w:p>
            <w:pPr>
              <w:pStyle w:val="Compact"/>
              <w:jc w:val="left"/>
              <w:spacing w:before="20" w:after="20" w:line="220" w:lineRule="auto"/>
            </w:pPr>
            <w:r>
              <w:rPr>
                <w:sz w:val="15"/>
                <w:szCs w:val="15"/>
              </w:rPr>
              <w:t xml:space="preserve">all</w:t>
            </w:r>
          </w:p>
        </w:tc>
        <w:tc>
          <w:tcPr>
            <w:tcW w:w="1112" w:type="dxa"/>
          </w:tcPr>
          <w:p>
            <w:pPr>
              <w:pStyle w:val="Compact"/>
              <w:jc w:val="left"/>
              <w:spacing w:before="20" w:after="20" w:line="220" w:lineRule="auto"/>
            </w:pPr>
            <w:r>
              <w:rPr>
                <w:sz w:val="15"/>
                <w:szCs w:val="15"/>
              </w:rPr>
              <w:t xml:space="preserve">19.5%</w:t>
            </w:r>
          </w:p>
        </w:tc>
        <w:tc>
          <w:tcPr>
            <w:tcW w:w="1112" w:type="dxa"/>
          </w:tcPr>
          <w:p>
            <w:pPr>
              <w:pStyle w:val="Compact"/>
              <w:jc w:val="left"/>
              <w:spacing w:before="20" w:after="20" w:line="220" w:lineRule="auto"/>
            </w:pPr>
            <w:r>
              <w:rPr>
                <w:sz w:val="15"/>
                <w:szCs w:val="15"/>
              </w:rPr>
              <w:t xml:space="preserve">15</w:t>
            </w:r>
          </w:p>
        </w:tc>
        <w:tc>
          <w:tcPr>
            <w:tcW w:w="1297" w:type="dxa"/>
          </w:tcPr>
          <w:p>
            <w:pPr>
              <w:pStyle w:val="Compact"/>
              <w:jc w:val="left"/>
              <w:spacing w:before="20" w:after="20" w:line="220" w:lineRule="auto"/>
            </w:pPr>
            <w:r>
              <w:rPr>
                <w:sz w:val="15"/>
                <w:szCs w:val="15"/>
              </w:rPr>
              <w:t xml:space="preserve">22.0%</w:t>
            </w:r>
          </w:p>
        </w:tc>
        <w:tc>
          <w:tcPr>
            <w:tcW w:w="2780" w:type="dxa"/>
          </w:tcPr>
          <w:p>
            <w:pPr>
              <w:pStyle w:val="Compact"/>
              <w:jc w:val="left"/>
              <w:spacing w:before="20" w:after="20" w:line="220" w:lineRule="auto"/>
            </w:pPr>
            <w:r>
              <w:rPr>
                <w:sz w:val="15"/>
                <w:szCs w:val="15"/>
              </w:rPr>
              <w:t xml:space="preserve">13.3%</w:t>
            </w:r>
          </w:p>
        </w:tc>
        <w:tc>
          <w:tcPr>
            <w:tcW w:w="1297" w:type="dxa"/>
          </w:tcPr>
          <w:p>
            <w:pPr>
              <w:pStyle w:val="Compact"/>
              <w:jc w:val="left"/>
              <w:spacing w:before="20" w:after="20" w:line="220" w:lineRule="auto"/>
            </w:pPr>
            <w:r>
              <w:rPr>
                <w:sz w:val="15"/>
                <w:szCs w:val="15"/>
              </w:rPr>
              <w:t xml:space="preserve">30.6%</w:t>
            </w:r>
          </w:p>
        </w:tc>
        <w:tc>
          <w:tcPr>
            <w:tcW w:w="2335" w:type="dxa"/>
          </w:tcPr>
          <w:p>
            <w:pPr>
              <w:pStyle w:val="Compact"/>
              <w:jc w:val="left"/>
              <w:spacing w:before="20" w:after="20" w:line="220" w:lineRule="auto"/>
            </w:pPr>
            <w:r>
              <w:rPr>
                <w:sz w:val="15"/>
                <w:szCs w:val="15"/>
              </w:rPr>
              <w:t xml:space="preserve">-2.6%</w:t>
            </w:r>
          </w:p>
        </w:tc>
        <w:tc>
          <w:tcPr>
            <w:tcW w:w="1668" w:type="dxa"/>
          </w:tcPr>
          <w:p>
            <w:pPr>
              <w:pStyle w:val="Compact"/>
              <w:jc w:val="left"/>
              <w:spacing w:before="20" w:after="20" w:line="220" w:lineRule="auto"/>
            </w:pPr>
            <w:r>
              <w:rPr>
                <w:sz w:val="15"/>
                <w:szCs w:val="15"/>
              </w:rPr>
              <w:t xml:space="preserve">6.2%</w:t>
            </w:r>
          </w:p>
        </w:tc>
      </w:tr>
      <w:tr>
        <w:tc>
          <w:tcPr>
            <w:tcW w:w="1112" w:type="dxa"/>
          </w:tcPr>
          <w:p>
            <w:pPr>
              <w:pStyle w:val="Compact"/>
              <w:jc w:val="left"/>
              <w:spacing w:before="20" w:after="20" w:line="220" w:lineRule="auto"/>
            </w:pPr>
            <w:r>
              <w:rPr>
                <w:sz w:val="15"/>
                <w:szCs w:val="15"/>
              </w:rPr>
              <w:t xml:space="preserve">M2</w:t>
            </w:r>
          </w:p>
        </w:tc>
        <w:tc>
          <w:tcPr>
            <w:tcW w:w="1853" w:type="dxa"/>
          </w:tcPr>
          <w:p>
            <w:pPr>
              <w:pStyle w:val="Compact"/>
              <w:jc w:val="left"/>
              <w:spacing w:before="20" w:after="20" w:line="220" w:lineRule="auto"/>
            </w:pPr>
            <w:r>
              <w:rPr>
                <w:sz w:val="15"/>
                <w:szCs w:val="15"/>
              </w:rPr>
              <w:t xml:space="preserve">composite</w:t>
            </w:r>
          </w:p>
        </w:tc>
        <w:tc>
          <w:tcPr>
            <w:tcW w:w="1112" w:type="dxa"/>
          </w:tcPr>
          <w:p>
            <w:pPr>
              <w:pStyle w:val="Compact"/>
              <w:jc w:val="left"/>
              <w:spacing w:before="20" w:after="20" w:line="220" w:lineRule="auto"/>
            </w:pPr>
            <w:r>
              <w:rPr>
                <w:sz w:val="15"/>
                <w:szCs w:val="15"/>
              </w:rPr>
              <w:t xml:space="preserve">19.5%</w:t>
            </w:r>
          </w:p>
        </w:tc>
        <w:tc>
          <w:tcPr>
            <w:tcW w:w="1112" w:type="dxa"/>
          </w:tcPr>
          <w:p>
            <w:pPr>
              <w:pStyle w:val="Compact"/>
              <w:jc w:val="left"/>
              <w:spacing w:before="20" w:after="20" w:line="220" w:lineRule="auto"/>
            </w:pPr>
            <w:r>
              <w:rPr>
                <w:sz w:val="15"/>
                <w:szCs w:val="15"/>
              </w:rPr>
              <w:t xml:space="preserve">6</w:t>
            </w:r>
          </w:p>
        </w:tc>
        <w:tc>
          <w:tcPr>
            <w:tcW w:w="1297" w:type="dxa"/>
          </w:tcPr>
          <w:p>
            <w:pPr>
              <w:pStyle w:val="Compact"/>
              <w:jc w:val="left"/>
              <w:spacing w:before="20" w:after="20" w:line="220" w:lineRule="auto"/>
            </w:pPr>
            <w:r>
              <w:rPr>
                <w:sz w:val="15"/>
                <w:szCs w:val="15"/>
              </w:rPr>
              <w:t xml:space="preserve">23.5%</w:t>
            </w:r>
          </w:p>
        </w:tc>
        <w:tc>
          <w:tcPr>
            <w:tcW w:w="2780" w:type="dxa"/>
          </w:tcPr>
          <w:p>
            <w:pPr>
              <w:pStyle w:val="Compact"/>
              <w:jc w:val="left"/>
              <w:spacing w:before="20" w:after="20" w:line="220" w:lineRule="auto"/>
            </w:pPr>
            <w:r>
              <w:rPr>
                <w:sz w:val="15"/>
                <w:szCs w:val="15"/>
              </w:rPr>
              <w:t xml:space="preserve">14.7%</w:t>
            </w:r>
          </w:p>
        </w:tc>
        <w:tc>
          <w:tcPr>
            <w:tcW w:w="1297" w:type="dxa"/>
          </w:tcPr>
          <w:p>
            <w:pPr>
              <w:pStyle w:val="Compact"/>
              <w:jc w:val="left"/>
              <w:spacing w:before="20" w:after="20" w:line="220" w:lineRule="auto"/>
            </w:pPr>
            <w:r>
              <w:rPr>
                <w:sz w:val="15"/>
                <w:szCs w:val="15"/>
              </w:rPr>
              <w:t xml:space="preserve">28.7%</w:t>
            </w:r>
          </w:p>
        </w:tc>
        <w:tc>
          <w:tcPr>
            <w:tcW w:w="2335" w:type="dxa"/>
          </w:tcPr>
          <w:p>
            <w:pPr>
              <w:pStyle w:val="Compact"/>
              <w:jc w:val="left"/>
              <w:spacing w:before="20" w:after="20" w:line="220" w:lineRule="auto"/>
            </w:pPr>
            <w:r>
              <w:rPr>
                <w:sz w:val="15"/>
                <w:szCs w:val="15"/>
              </w:rPr>
              <w:t xml:space="preserve">-4.0%</w:t>
            </w:r>
          </w:p>
        </w:tc>
        <w:tc>
          <w:tcPr>
            <w:tcW w:w="1668" w:type="dxa"/>
          </w:tcPr>
          <w:p>
            <w:pPr>
              <w:pStyle w:val="Compact"/>
              <w:jc w:val="left"/>
              <w:spacing w:before="20" w:after="20" w:line="220" w:lineRule="auto"/>
            </w:pPr>
            <w:r>
              <w:rPr>
                <w:sz w:val="15"/>
                <w:szCs w:val="15"/>
              </w:rPr>
              <w:t xml:space="preserve">4.8%</w:t>
            </w:r>
          </w:p>
        </w:tc>
      </w:tr>
      <w:tr>
        <w:tc>
          <w:tcPr>
            <w:tcW w:w="1112" w:type="dxa"/>
          </w:tcPr>
          <w:p>
            <w:pPr>
              <w:pStyle w:val="Compact"/>
              <w:jc w:val="left"/>
              <w:spacing w:before="20" w:after="20" w:line="220" w:lineRule="auto"/>
            </w:pPr>
            <w:r>
              <w:rPr>
                <w:sz w:val="15"/>
                <w:szCs w:val="15"/>
              </w:rPr>
              <w:t xml:space="preserve">M2</w:t>
            </w:r>
          </w:p>
        </w:tc>
        <w:tc>
          <w:tcPr>
            <w:tcW w:w="1853" w:type="dxa"/>
          </w:tcPr>
          <w:p>
            <w:pPr>
              <w:pStyle w:val="Compact"/>
              <w:jc w:val="left"/>
              <w:spacing w:before="20" w:after="20" w:line="220" w:lineRule="auto"/>
            </w:pPr>
            <w:r>
              <w:rPr>
                <w:sz w:val="15"/>
                <w:szCs w:val="15"/>
              </w:rPr>
              <w:t xml:space="preserve">life</w:t>
            </w:r>
          </w:p>
        </w:tc>
        <w:tc>
          <w:tcPr>
            <w:tcW w:w="1112" w:type="dxa"/>
          </w:tcPr>
          <w:p>
            <w:pPr>
              <w:pStyle w:val="Compact"/>
              <w:jc w:val="left"/>
              <w:spacing w:before="20" w:after="20" w:line="220" w:lineRule="auto"/>
            </w:pPr>
            <w:r>
              <w:rPr>
                <w:sz w:val="15"/>
                <w:szCs w:val="15"/>
              </w:rPr>
              <w:t xml:space="preserve">19.5%</w:t>
            </w:r>
          </w:p>
        </w:tc>
        <w:tc>
          <w:tcPr>
            <w:tcW w:w="1112" w:type="dxa"/>
          </w:tcPr>
          <w:p>
            <w:pPr>
              <w:pStyle w:val="Compact"/>
              <w:jc w:val="left"/>
              <w:spacing w:before="20" w:after="20" w:line="220" w:lineRule="auto"/>
            </w:pPr>
            <w:r>
              <w:rPr>
                <w:sz w:val="15"/>
                <w:szCs w:val="15"/>
              </w:rPr>
              <w:t xml:space="preserve">5</w:t>
            </w:r>
          </w:p>
        </w:tc>
        <w:tc>
          <w:tcPr>
            <w:tcW w:w="1297" w:type="dxa"/>
          </w:tcPr>
          <w:p>
            <w:pPr>
              <w:pStyle w:val="Compact"/>
              <w:jc w:val="left"/>
              <w:spacing w:before="20" w:after="20" w:line="220" w:lineRule="auto"/>
            </w:pPr>
            <w:r>
              <w:rPr>
                <w:sz w:val="15"/>
                <w:szCs w:val="15"/>
              </w:rPr>
              <w:t xml:space="preserve">30.8%</w:t>
            </w:r>
          </w:p>
        </w:tc>
        <w:tc>
          <w:tcPr>
            <w:tcW w:w="2780" w:type="dxa"/>
          </w:tcPr>
          <w:p>
            <w:pPr>
              <w:pStyle w:val="Compact"/>
              <w:jc w:val="left"/>
              <w:spacing w:before="20" w:after="20" w:line="220" w:lineRule="auto"/>
            </w:pPr>
            <w:r>
              <w:rPr>
                <w:sz w:val="15"/>
                <w:szCs w:val="15"/>
              </w:rPr>
              <w:t xml:space="preserve">14.7%</w:t>
            </w:r>
          </w:p>
        </w:tc>
        <w:tc>
          <w:tcPr>
            <w:tcW w:w="1297" w:type="dxa"/>
          </w:tcPr>
          <w:p>
            <w:pPr>
              <w:pStyle w:val="Compact"/>
              <w:jc w:val="left"/>
              <w:spacing w:before="20" w:after="20" w:line="220" w:lineRule="auto"/>
            </w:pPr>
            <w:r>
              <w:rPr>
                <w:sz w:val="15"/>
                <w:szCs w:val="15"/>
              </w:rPr>
              <w:t xml:space="preserve">31.6%</w:t>
            </w:r>
          </w:p>
        </w:tc>
        <w:tc>
          <w:tcPr>
            <w:tcW w:w="2335" w:type="dxa"/>
          </w:tcPr>
          <w:p>
            <w:pPr>
              <w:pStyle w:val="Compact"/>
              <w:jc w:val="left"/>
              <w:spacing w:before="20" w:after="20" w:line="220" w:lineRule="auto"/>
            </w:pPr>
            <w:r>
              <w:rPr>
                <w:sz w:val="15"/>
                <w:szCs w:val="15"/>
              </w:rPr>
              <w:t xml:space="preserve">-11.3%</w:t>
            </w:r>
          </w:p>
        </w:tc>
        <w:tc>
          <w:tcPr>
            <w:tcW w:w="1668" w:type="dxa"/>
          </w:tcPr>
          <w:p>
            <w:pPr>
              <w:pStyle w:val="Compact"/>
              <w:jc w:val="left"/>
              <w:spacing w:before="20" w:after="20" w:line="220" w:lineRule="auto"/>
            </w:pPr>
            <w:r>
              <w:rPr>
                <w:sz w:val="15"/>
                <w:szCs w:val="15"/>
              </w:rPr>
              <w:t xml:space="preserve">4.8%</w:t>
            </w:r>
          </w:p>
        </w:tc>
      </w:tr>
      <w:tr>
        <w:tc>
          <w:tcPr>
            <w:tcW w:w="1112" w:type="dxa"/>
          </w:tcPr>
          <w:p>
            <w:pPr>
              <w:pStyle w:val="Compact"/>
              <w:jc w:val="left"/>
              <w:spacing w:before="20" w:after="20" w:line="220" w:lineRule="auto"/>
            </w:pPr>
            <w:r>
              <w:rPr>
                <w:sz w:val="15"/>
                <w:szCs w:val="15"/>
              </w:rPr>
              <w:t xml:space="preserve">M2</w:t>
            </w:r>
          </w:p>
        </w:tc>
        <w:tc>
          <w:tcPr>
            <w:tcW w:w="1853" w:type="dxa"/>
          </w:tcPr>
          <w:p>
            <w:pPr>
              <w:pStyle w:val="Compact"/>
              <w:jc w:val="left"/>
              <w:spacing w:before="20" w:after="20" w:line="220" w:lineRule="auto"/>
            </w:pPr>
            <w:r>
              <w:rPr>
                <w:sz w:val="15"/>
                <w:szCs w:val="15"/>
              </w:rPr>
              <w:t xml:space="preserve">nonlife</w:t>
            </w:r>
          </w:p>
        </w:tc>
        <w:tc>
          <w:tcPr>
            <w:tcW w:w="1112" w:type="dxa"/>
          </w:tcPr>
          <w:p>
            <w:pPr>
              <w:pStyle w:val="Compact"/>
              <w:jc w:val="left"/>
              <w:spacing w:before="20" w:after="20" w:line="220" w:lineRule="auto"/>
            </w:pPr>
            <w:r>
              <w:rPr>
                <w:sz w:val="15"/>
                <w:szCs w:val="15"/>
              </w:rPr>
              <w:t xml:space="preserve">19.5%</w:t>
            </w:r>
          </w:p>
        </w:tc>
        <w:tc>
          <w:tcPr>
            <w:tcW w:w="1112" w:type="dxa"/>
          </w:tcPr>
          <w:p>
            <w:pPr>
              <w:pStyle w:val="Compact"/>
              <w:jc w:val="left"/>
              <w:spacing w:before="20" w:after="20" w:line="220" w:lineRule="auto"/>
            </w:pPr>
            <w:r>
              <w:rPr>
                <w:sz w:val="15"/>
                <w:szCs w:val="15"/>
              </w:rPr>
              <w:t xml:space="preserve">4</w:t>
            </w:r>
          </w:p>
        </w:tc>
        <w:tc>
          <w:tcPr>
            <w:tcW w:w="1297" w:type="dxa"/>
          </w:tcPr>
          <w:p>
            <w:pPr>
              <w:pStyle w:val="Compact"/>
              <w:jc w:val="left"/>
              <w:spacing w:before="20" w:after="20" w:line="220" w:lineRule="auto"/>
            </w:pPr>
            <w:r>
              <w:rPr>
                <w:sz w:val="15"/>
                <w:szCs w:val="15"/>
              </w:rPr>
              <w:t xml:space="preserve">18.1%</w:t>
            </w:r>
          </w:p>
        </w:tc>
        <w:tc>
          <w:tcPr>
            <w:tcW w:w="2780" w:type="dxa"/>
          </w:tcPr>
          <w:p>
            <w:pPr>
              <w:pStyle w:val="Compact"/>
              <w:jc w:val="left"/>
              <w:spacing w:before="20" w:after="20" w:line="220" w:lineRule="auto"/>
            </w:pPr>
            <w:r>
              <w:rPr>
                <w:sz w:val="15"/>
                <w:szCs w:val="15"/>
              </w:rPr>
              <w:t xml:space="preserve">13.2%</w:t>
            </w:r>
          </w:p>
        </w:tc>
        <w:tc>
          <w:tcPr>
            <w:tcW w:w="1297" w:type="dxa"/>
          </w:tcPr>
          <w:p>
            <w:pPr>
              <w:pStyle w:val="Compact"/>
              <w:jc w:val="left"/>
              <w:spacing w:before="20" w:after="20" w:line="220" w:lineRule="auto"/>
            </w:pPr>
            <w:r>
              <w:rPr>
                <w:sz w:val="15"/>
                <w:szCs w:val="15"/>
              </w:rPr>
              <w:t xml:space="preserve">21.4%</w:t>
            </w:r>
          </w:p>
        </w:tc>
        <w:tc>
          <w:tcPr>
            <w:tcW w:w="2335" w:type="dxa"/>
          </w:tcPr>
          <w:p>
            <w:pPr>
              <w:pStyle w:val="Compact"/>
              <w:jc w:val="left"/>
              <w:spacing w:before="20" w:after="20" w:line="220" w:lineRule="auto"/>
            </w:pPr>
            <w:r>
              <w:rPr>
                <w:sz w:val="15"/>
                <w:szCs w:val="15"/>
              </w:rPr>
              <w:t xml:space="preserve">1.4%</w:t>
            </w:r>
          </w:p>
        </w:tc>
        <w:tc>
          <w:tcPr>
            <w:tcW w:w="1668" w:type="dxa"/>
          </w:tcPr>
          <w:p>
            <w:pPr>
              <w:pStyle w:val="Compact"/>
              <w:jc w:val="left"/>
              <w:spacing w:before="20" w:after="20" w:line="220" w:lineRule="auto"/>
            </w:pPr>
            <w:r>
              <w:rPr>
                <w:sz w:val="15"/>
                <w:szCs w:val="15"/>
              </w:rPr>
              <w:t xml:space="preserve">6.3%</w:t>
            </w:r>
          </w:p>
        </w:tc>
      </w:tr>
      <w:tr>
        <w:tc>
          <w:tcPr>
            <w:tcW w:w="1112" w:type="dxa"/>
          </w:tcPr>
          <w:p>
            <w:pPr>
              <w:pStyle w:val="Compact"/>
              <w:jc w:val="left"/>
              <w:spacing w:before="20" w:after="20" w:line="220" w:lineRule="auto"/>
            </w:pPr>
            <w:r>
              <w:rPr>
                <w:sz w:val="15"/>
                <w:szCs w:val="15"/>
              </w:rPr>
              <w:t xml:space="preserve">M3</w:t>
            </w:r>
          </w:p>
        </w:tc>
        <w:tc>
          <w:tcPr>
            <w:tcW w:w="1853" w:type="dxa"/>
          </w:tcPr>
          <w:p>
            <w:pPr>
              <w:pStyle w:val="Compact"/>
              <w:jc w:val="left"/>
              <w:spacing w:before="20" w:after="20" w:line="220" w:lineRule="auto"/>
            </w:pPr>
            <w:r>
              <w:rPr>
                <w:sz w:val="15"/>
                <w:szCs w:val="15"/>
              </w:rPr>
              <w:t xml:space="preserve">all</w:t>
            </w:r>
          </w:p>
        </w:tc>
        <w:tc>
          <w:tcPr>
            <w:tcW w:w="1112" w:type="dxa"/>
          </w:tcPr>
          <w:p>
            <w:pPr>
              <w:pStyle w:val="Compact"/>
              <w:jc w:val="left"/>
              <w:spacing w:before="20" w:after="20" w:line="220" w:lineRule="auto"/>
            </w:pPr>
            <w:r>
              <w:rPr>
                <w:sz w:val="15"/>
                <w:szCs w:val="15"/>
              </w:rPr>
              <w:t xml:space="preserve">10.8%</w:t>
            </w:r>
          </w:p>
        </w:tc>
        <w:tc>
          <w:tcPr>
            <w:tcW w:w="1112" w:type="dxa"/>
          </w:tcPr>
          <w:p>
            <w:pPr>
              <w:pStyle w:val="Compact"/>
              <w:jc w:val="left"/>
              <w:spacing w:before="20" w:after="20" w:line="220" w:lineRule="auto"/>
            </w:pPr>
            <w:r>
              <w:rPr>
                <w:sz w:val="15"/>
                <w:szCs w:val="15"/>
              </w:rPr>
              <w:t xml:space="preserve">13</w:t>
            </w:r>
          </w:p>
        </w:tc>
        <w:tc>
          <w:tcPr>
            <w:tcW w:w="1297" w:type="dxa"/>
          </w:tcPr>
          <w:p>
            <w:pPr>
              <w:pStyle w:val="Compact"/>
              <w:jc w:val="left"/>
              <w:spacing w:before="20" w:after="20" w:line="220" w:lineRule="auto"/>
            </w:pPr>
            <w:r>
              <w:rPr>
                <w:sz w:val="15"/>
                <w:szCs w:val="15"/>
              </w:rPr>
              <w:t xml:space="preserve">11.1%</w:t>
            </w:r>
          </w:p>
        </w:tc>
        <w:tc>
          <w:tcPr>
            <w:tcW w:w="2780" w:type="dxa"/>
          </w:tcPr>
          <w:p>
            <w:pPr>
              <w:pStyle w:val="Compact"/>
              <w:jc w:val="left"/>
              <w:spacing w:before="20" w:after="20" w:line="220" w:lineRule="auto"/>
            </w:pPr>
            <w:r>
              <w:rPr>
                <w:sz w:val="15"/>
                <w:szCs w:val="15"/>
              </w:rPr>
              <w:t xml:space="preserve">5.6%</w:t>
            </w:r>
          </w:p>
        </w:tc>
        <w:tc>
          <w:tcPr>
            <w:tcW w:w="1297" w:type="dxa"/>
          </w:tcPr>
          <w:p>
            <w:pPr>
              <w:pStyle w:val="Compact"/>
              <w:jc w:val="left"/>
              <w:spacing w:before="20" w:after="20" w:line="220" w:lineRule="auto"/>
            </w:pPr>
            <w:r>
              <w:rPr>
                <w:sz w:val="15"/>
                <w:szCs w:val="15"/>
              </w:rPr>
              <w:t xml:space="preserve">14.9%</w:t>
            </w:r>
          </w:p>
        </w:tc>
        <w:tc>
          <w:tcPr>
            <w:tcW w:w="2335" w:type="dxa"/>
          </w:tcPr>
          <w:p>
            <w:pPr>
              <w:pStyle w:val="Compact"/>
              <w:jc w:val="left"/>
              <w:spacing w:before="20" w:after="20" w:line="220" w:lineRule="auto"/>
            </w:pPr>
            <w:r>
              <w:rPr>
                <w:sz w:val="15"/>
                <w:szCs w:val="15"/>
              </w:rPr>
              <w:t xml:space="preserve">-0.3%</w:t>
            </w:r>
          </w:p>
        </w:tc>
        <w:tc>
          <w:tcPr>
            <w:tcW w:w="1668" w:type="dxa"/>
          </w:tcPr>
          <w:p>
            <w:pPr>
              <w:pStyle w:val="Compact"/>
              <w:jc w:val="left"/>
              <w:spacing w:before="20" w:after="20" w:line="220" w:lineRule="auto"/>
            </w:pPr>
            <w:r>
              <w:rPr>
                <w:sz w:val="15"/>
                <w:szCs w:val="15"/>
              </w:rPr>
              <w:t xml:space="preserve">5.2%</w:t>
            </w:r>
          </w:p>
        </w:tc>
      </w:tr>
      <w:tr>
        <w:tc>
          <w:tcPr>
            <w:tcW w:w="1112" w:type="dxa"/>
          </w:tcPr>
          <w:p>
            <w:pPr>
              <w:pStyle w:val="Compact"/>
              <w:jc w:val="left"/>
              <w:spacing w:before="20" w:after="20" w:line="220" w:lineRule="auto"/>
            </w:pPr>
            <w:r>
              <w:rPr>
                <w:sz w:val="15"/>
                <w:szCs w:val="15"/>
              </w:rPr>
              <w:t xml:space="preserve">M3</w:t>
            </w:r>
          </w:p>
        </w:tc>
        <w:tc>
          <w:tcPr>
            <w:tcW w:w="1853" w:type="dxa"/>
          </w:tcPr>
          <w:p>
            <w:pPr>
              <w:pStyle w:val="Compact"/>
              <w:jc w:val="left"/>
              <w:spacing w:before="20" w:after="20" w:line="220" w:lineRule="auto"/>
            </w:pPr>
            <w:r>
              <w:rPr>
                <w:sz w:val="15"/>
                <w:szCs w:val="15"/>
              </w:rPr>
              <w:t xml:space="preserve">composite</w:t>
            </w:r>
          </w:p>
        </w:tc>
        <w:tc>
          <w:tcPr>
            <w:tcW w:w="1112" w:type="dxa"/>
          </w:tcPr>
          <w:p>
            <w:pPr>
              <w:pStyle w:val="Compact"/>
              <w:jc w:val="left"/>
              <w:spacing w:before="20" w:after="20" w:line="220" w:lineRule="auto"/>
            </w:pPr>
            <w:r>
              <w:rPr>
                <w:sz w:val="15"/>
                <w:szCs w:val="15"/>
              </w:rPr>
              <w:t xml:space="preserve">6.7%</w:t>
            </w:r>
          </w:p>
        </w:tc>
        <w:tc>
          <w:tcPr>
            <w:tcW w:w="1112" w:type="dxa"/>
          </w:tcPr>
          <w:p>
            <w:pPr>
              <w:pStyle w:val="Compact"/>
              <w:jc w:val="left"/>
              <w:spacing w:before="20" w:after="20" w:line="220" w:lineRule="auto"/>
            </w:pPr>
            <w:r>
              <w:rPr>
                <w:sz w:val="15"/>
                <w:szCs w:val="15"/>
              </w:rPr>
              <w:t xml:space="preserve">6</w:t>
            </w:r>
          </w:p>
        </w:tc>
        <w:tc>
          <w:tcPr>
            <w:tcW w:w="1297" w:type="dxa"/>
          </w:tcPr>
          <w:p>
            <w:pPr>
              <w:pStyle w:val="Compact"/>
              <w:jc w:val="left"/>
              <w:spacing w:before="20" w:after="20" w:line="220" w:lineRule="auto"/>
            </w:pPr>
            <w:r>
              <w:rPr>
                <w:sz w:val="15"/>
                <w:szCs w:val="15"/>
              </w:rPr>
              <w:t xml:space="preserve">10.6%</w:t>
            </w:r>
          </w:p>
        </w:tc>
        <w:tc>
          <w:tcPr>
            <w:tcW w:w="2780" w:type="dxa"/>
          </w:tcPr>
          <w:p>
            <w:pPr>
              <w:pStyle w:val="Compact"/>
              <w:jc w:val="left"/>
              <w:spacing w:before="20" w:after="20" w:line="220" w:lineRule="auto"/>
            </w:pPr>
            <w:r>
              <w:rPr>
                <w:sz w:val="15"/>
                <w:szCs w:val="15"/>
              </w:rPr>
              <w:t xml:space="preserve">6.5%</w:t>
            </w:r>
          </w:p>
        </w:tc>
        <w:tc>
          <w:tcPr>
            <w:tcW w:w="1297" w:type="dxa"/>
          </w:tcPr>
          <w:p>
            <w:pPr>
              <w:pStyle w:val="Compact"/>
              <w:jc w:val="left"/>
              <w:spacing w:before="20" w:after="20" w:line="220" w:lineRule="auto"/>
            </w:pPr>
            <w:r>
              <w:rPr>
                <w:sz w:val="15"/>
                <w:szCs w:val="15"/>
              </w:rPr>
              <w:t xml:space="preserve">14.0%</w:t>
            </w:r>
          </w:p>
        </w:tc>
        <w:tc>
          <w:tcPr>
            <w:tcW w:w="2335" w:type="dxa"/>
          </w:tcPr>
          <w:p>
            <w:pPr>
              <w:pStyle w:val="Compact"/>
              <w:jc w:val="left"/>
              <w:spacing w:before="20" w:after="20" w:line="220" w:lineRule="auto"/>
            </w:pPr>
            <w:r>
              <w:rPr>
                <w:sz w:val="15"/>
                <w:szCs w:val="15"/>
              </w:rPr>
              <w:t xml:space="preserve">-3.9%</w:t>
            </w:r>
          </w:p>
        </w:tc>
        <w:tc>
          <w:tcPr>
            <w:tcW w:w="1668" w:type="dxa"/>
          </w:tcPr>
          <w:p>
            <w:pPr>
              <w:pStyle w:val="Compact"/>
              <w:jc w:val="left"/>
              <w:spacing w:before="20" w:after="20" w:line="220" w:lineRule="auto"/>
            </w:pPr>
            <w:r>
              <w:rPr>
                <w:sz w:val="15"/>
                <w:szCs w:val="15"/>
              </w:rPr>
              <w:t xml:space="preserve">0.2%</w:t>
            </w:r>
          </w:p>
        </w:tc>
      </w:tr>
      <w:tr>
        <w:tc>
          <w:tcPr>
            <w:tcW w:w="1112" w:type="dxa"/>
          </w:tcPr>
          <w:p>
            <w:pPr>
              <w:pStyle w:val="Compact"/>
              <w:jc w:val="left"/>
              <w:spacing w:before="20" w:after="20" w:line="220" w:lineRule="auto"/>
            </w:pPr>
            <w:r>
              <w:rPr>
                <w:sz w:val="15"/>
                <w:szCs w:val="15"/>
              </w:rPr>
              <w:t xml:space="preserve">M3</w:t>
            </w:r>
          </w:p>
        </w:tc>
        <w:tc>
          <w:tcPr>
            <w:tcW w:w="1853" w:type="dxa"/>
          </w:tcPr>
          <w:p>
            <w:pPr>
              <w:pStyle w:val="Compact"/>
              <w:jc w:val="left"/>
              <w:spacing w:before="20" w:after="20" w:line="220" w:lineRule="auto"/>
            </w:pPr>
            <w:r>
              <w:rPr>
                <w:sz w:val="15"/>
                <w:szCs w:val="15"/>
              </w:rPr>
              <w:t xml:space="preserve">life</w:t>
            </w:r>
          </w:p>
        </w:tc>
        <w:tc>
          <w:tcPr>
            <w:tcW w:w="1112" w:type="dxa"/>
          </w:tcPr>
          <w:p>
            <w:pPr>
              <w:pStyle w:val="Compact"/>
              <w:jc w:val="left"/>
              <w:spacing w:before="20" w:after="20" w:line="220" w:lineRule="auto"/>
            </w:pPr>
            <w:r>
              <w:rPr>
                <w:sz w:val="15"/>
                <w:szCs w:val="15"/>
              </w:rPr>
              <w:t xml:space="preserve">8.4%</w:t>
            </w:r>
          </w:p>
        </w:tc>
        <w:tc>
          <w:tcPr>
            <w:tcW w:w="1112" w:type="dxa"/>
          </w:tcPr>
          <w:p>
            <w:pPr>
              <w:pStyle w:val="Compact"/>
              <w:jc w:val="left"/>
              <w:spacing w:before="20" w:after="20" w:line="220" w:lineRule="auto"/>
            </w:pPr>
            <w:r>
              <w:rPr>
                <w:sz w:val="15"/>
                <w:szCs w:val="15"/>
              </w:rPr>
              <w:t xml:space="preserve">3</w:t>
            </w:r>
          </w:p>
        </w:tc>
        <w:tc>
          <w:tcPr>
            <w:tcW w:w="1297" w:type="dxa"/>
          </w:tcPr>
          <w:p>
            <w:pPr>
              <w:pStyle w:val="Compact"/>
              <w:jc w:val="left"/>
              <w:spacing w:before="20" w:after="20" w:line="220" w:lineRule="auto"/>
            </w:pPr>
            <w:r>
              <w:rPr>
                <w:sz w:val="15"/>
                <w:szCs w:val="15"/>
              </w:rPr>
              <w:t xml:space="preserve">8.7%</w:t>
            </w:r>
          </w:p>
        </w:tc>
        <w:tc>
          <w:tcPr>
            <w:tcW w:w="2780" w:type="dxa"/>
          </w:tcPr>
          <w:p>
            <w:pPr>
              <w:pStyle w:val="Compact"/>
              <w:jc w:val="left"/>
              <w:spacing w:before="20" w:after="20" w:line="220" w:lineRule="auto"/>
            </w:pPr>
            <w:r>
              <w:rPr>
                <w:sz w:val="15"/>
                <w:szCs w:val="15"/>
              </w:rPr>
              <w:t xml:space="preserve">4.4%</w:t>
            </w:r>
          </w:p>
        </w:tc>
        <w:tc>
          <w:tcPr>
            <w:tcW w:w="1297" w:type="dxa"/>
          </w:tcPr>
          <w:p>
            <w:pPr>
              <w:pStyle w:val="Compact"/>
              <w:jc w:val="left"/>
              <w:spacing w:before="20" w:after="20" w:line="220" w:lineRule="auto"/>
            </w:pPr>
            <w:r>
              <w:rPr>
                <w:sz w:val="15"/>
                <w:szCs w:val="15"/>
              </w:rPr>
              <w:t xml:space="preserve">10.7%</w:t>
            </w:r>
          </w:p>
        </w:tc>
        <w:tc>
          <w:tcPr>
            <w:tcW w:w="2335" w:type="dxa"/>
          </w:tcPr>
          <w:p>
            <w:pPr>
              <w:pStyle w:val="Compact"/>
              <w:jc w:val="left"/>
              <w:spacing w:before="20" w:after="20" w:line="220" w:lineRule="auto"/>
            </w:pPr>
            <w:r>
              <w:rPr>
                <w:sz w:val="15"/>
                <w:szCs w:val="15"/>
              </w:rPr>
              <w:t xml:space="preserve">-0.2%</w:t>
            </w:r>
          </w:p>
        </w:tc>
        <w:tc>
          <w:tcPr>
            <w:tcW w:w="1668" w:type="dxa"/>
          </w:tcPr>
          <w:p>
            <w:pPr>
              <w:pStyle w:val="Compact"/>
              <w:jc w:val="left"/>
              <w:spacing w:before="20" w:after="20" w:line="220" w:lineRule="auto"/>
            </w:pPr>
            <w:r>
              <w:rPr>
                <w:sz w:val="15"/>
                <w:szCs w:val="15"/>
              </w:rPr>
              <w:t xml:space="preserve">4.1%</w:t>
            </w:r>
          </w:p>
        </w:tc>
      </w:tr>
      <w:tr>
        <w:tc>
          <w:tcPr>
            <w:tcW w:w="1112" w:type="dxa"/>
          </w:tcPr>
          <w:p>
            <w:pPr>
              <w:pStyle w:val="Compact"/>
              <w:jc w:val="left"/>
              <w:spacing w:before="20" w:after="20" w:line="220" w:lineRule="auto"/>
            </w:pPr>
            <w:r>
              <w:rPr>
                <w:sz w:val="15"/>
                <w:szCs w:val="15"/>
              </w:rPr>
              <w:t xml:space="preserve">M3</w:t>
            </w:r>
          </w:p>
        </w:tc>
        <w:tc>
          <w:tcPr>
            <w:tcW w:w="1853" w:type="dxa"/>
          </w:tcPr>
          <w:p>
            <w:pPr>
              <w:pStyle w:val="Compact"/>
              <w:jc w:val="left"/>
              <w:spacing w:before="20" w:after="20" w:line="220" w:lineRule="auto"/>
            </w:pPr>
            <w:r>
              <w:rPr>
                <w:sz w:val="15"/>
                <w:szCs w:val="15"/>
              </w:rPr>
              <w:t xml:space="preserve">nonlife</w:t>
            </w:r>
          </w:p>
        </w:tc>
        <w:tc>
          <w:tcPr>
            <w:tcW w:w="1112" w:type="dxa"/>
          </w:tcPr>
          <w:p>
            <w:pPr>
              <w:pStyle w:val="Compact"/>
              <w:jc w:val="left"/>
              <w:spacing w:before="20" w:after="20" w:line="220" w:lineRule="auto"/>
            </w:pPr>
            <w:r>
              <w:rPr>
                <w:sz w:val="15"/>
                <w:szCs w:val="15"/>
              </w:rPr>
              <w:t xml:space="preserve">13.0%</w:t>
            </w:r>
          </w:p>
        </w:tc>
        <w:tc>
          <w:tcPr>
            <w:tcW w:w="1112" w:type="dxa"/>
          </w:tcPr>
          <w:p>
            <w:pPr>
              <w:pStyle w:val="Compact"/>
              <w:jc w:val="left"/>
              <w:spacing w:before="20" w:after="20" w:line="220" w:lineRule="auto"/>
            </w:pPr>
            <w:r>
              <w:rPr>
                <w:sz w:val="15"/>
                <w:szCs w:val="15"/>
              </w:rPr>
              <w:t xml:space="preserve">4</w:t>
            </w:r>
          </w:p>
        </w:tc>
        <w:tc>
          <w:tcPr>
            <w:tcW w:w="1297" w:type="dxa"/>
          </w:tcPr>
          <w:p>
            <w:pPr>
              <w:pStyle w:val="Compact"/>
              <w:jc w:val="left"/>
              <w:spacing w:before="20" w:after="20" w:line="220" w:lineRule="auto"/>
            </w:pPr>
            <w:r>
              <w:rPr>
                <w:sz w:val="15"/>
                <w:szCs w:val="15"/>
              </w:rPr>
              <w:t xml:space="preserve">13.9%</w:t>
            </w:r>
          </w:p>
        </w:tc>
        <w:tc>
          <w:tcPr>
            <w:tcW w:w="2780" w:type="dxa"/>
          </w:tcPr>
          <w:p>
            <w:pPr>
              <w:pStyle w:val="Compact"/>
              <w:jc w:val="left"/>
              <w:spacing w:before="20" w:after="20" w:line="220" w:lineRule="auto"/>
            </w:pPr>
            <w:r>
              <w:rPr>
                <w:sz w:val="15"/>
                <w:szCs w:val="15"/>
              </w:rPr>
              <w:t xml:space="preserve">10.7%</w:t>
            </w:r>
          </w:p>
        </w:tc>
        <w:tc>
          <w:tcPr>
            <w:tcW w:w="1297" w:type="dxa"/>
          </w:tcPr>
          <w:p>
            <w:pPr>
              <w:pStyle w:val="Compact"/>
              <w:jc w:val="left"/>
              <w:spacing w:before="20" w:after="20" w:line="220" w:lineRule="auto"/>
            </w:pPr>
            <w:r>
              <w:rPr>
                <w:sz w:val="15"/>
                <w:szCs w:val="15"/>
              </w:rPr>
              <w:t xml:space="preserve">15.8%</w:t>
            </w:r>
          </w:p>
        </w:tc>
        <w:tc>
          <w:tcPr>
            <w:tcW w:w="2335" w:type="dxa"/>
          </w:tcPr>
          <w:p>
            <w:pPr>
              <w:pStyle w:val="Compact"/>
              <w:jc w:val="left"/>
              <w:spacing w:before="20" w:after="20" w:line="220" w:lineRule="auto"/>
            </w:pPr>
            <w:r>
              <w:rPr>
                <w:sz w:val="15"/>
                <w:szCs w:val="15"/>
              </w:rPr>
              <w:t xml:space="preserve">-0.9%</w:t>
            </w:r>
          </w:p>
        </w:tc>
        <w:tc>
          <w:tcPr>
            <w:tcW w:w="1668" w:type="dxa"/>
          </w:tcPr>
          <w:p>
            <w:pPr>
              <w:pStyle w:val="Compact"/>
              <w:jc w:val="left"/>
              <w:spacing w:before="20" w:after="20" w:line="220" w:lineRule="auto"/>
            </w:pPr>
            <w:r>
              <w:rPr>
                <w:sz w:val="15"/>
                <w:szCs w:val="15"/>
              </w:rPr>
              <w:t xml:space="preserve">2.3%</w:t>
            </w:r>
          </w:p>
        </w:tc>
      </w:tr>
      <w:tr>
        <w:tc>
          <w:tcPr>
            <w:tcW w:w="1112" w:type="dxa"/>
          </w:tcPr>
          <w:p>
            <w:pPr>
              <w:pStyle w:val="Compact"/>
              <w:jc w:val="left"/>
              <w:spacing w:before="20" w:after="20" w:line="220" w:lineRule="auto"/>
            </w:pPr>
            <w:r>
              <w:rPr>
                <w:sz w:val="15"/>
                <w:szCs w:val="15"/>
              </w:rPr>
              <w:t xml:space="preserve">M4</w:t>
            </w:r>
          </w:p>
        </w:tc>
        <w:tc>
          <w:tcPr>
            <w:tcW w:w="1853" w:type="dxa"/>
          </w:tcPr>
          <w:p>
            <w:pPr>
              <w:pStyle w:val="Compact"/>
              <w:jc w:val="left"/>
              <w:spacing w:before="20" w:after="20" w:line="220" w:lineRule="auto"/>
            </w:pPr>
            <w:r>
              <w:rPr>
                <w:sz w:val="15"/>
                <w:szCs w:val="15"/>
              </w:rPr>
              <w:t xml:space="preserve">all</w:t>
            </w:r>
          </w:p>
        </w:tc>
        <w:tc>
          <w:tcPr>
            <w:tcW w:w="1112" w:type="dxa"/>
          </w:tcPr>
          <w:p>
            <w:pPr>
              <w:pStyle w:val="Compact"/>
              <w:jc w:val="left"/>
              <w:spacing w:before="20" w:after="20" w:line="220" w:lineRule="auto"/>
            </w:pPr>
            <w:r>
              <w:rPr>
                <w:sz w:val="15"/>
                <w:szCs w:val="15"/>
              </w:rPr>
              <w:t xml:space="preserve">12.9%</w:t>
            </w:r>
          </w:p>
        </w:tc>
        <w:tc>
          <w:tcPr>
            <w:tcW w:w="1112" w:type="dxa"/>
          </w:tcPr>
          <w:p>
            <w:pPr>
              <w:pStyle w:val="Compact"/>
              <w:jc w:val="left"/>
              <w:spacing w:before="20" w:after="20" w:line="220" w:lineRule="auto"/>
            </w:pPr>
            <w:r>
              <w:rPr>
                <w:sz w:val="15"/>
                <w:szCs w:val="15"/>
              </w:rPr>
              <w:t xml:space="preserve">4</w:t>
            </w:r>
          </w:p>
        </w:tc>
        <w:tc>
          <w:tcPr>
            <w:tcW w:w="1297" w:type="dxa"/>
          </w:tcPr>
          <w:p>
            <w:pPr>
              <w:pStyle w:val="Compact"/>
              <w:jc w:val="left"/>
              <w:spacing w:before="20" w:after="20" w:line="220" w:lineRule="auto"/>
            </w:pPr>
            <w:r>
              <w:rPr>
                <w:sz w:val="15"/>
                <w:szCs w:val="15"/>
              </w:rPr>
              <w:t xml:space="preserve">8.3%</w:t>
            </w:r>
          </w:p>
        </w:tc>
        <w:tc>
          <w:tcPr>
            <w:tcW w:w="2780" w:type="dxa"/>
          </w:tcPr>
          <w:p>
            <w:pPr>
              <w:pStyle w:val="Compact"/>
              <w:jc w:val="left"/>
              <w:spacing w:before="20" w:after="20" w:line="220" w:lineRule="auto"/>
            </w:pPr>
            <w:r>
              <w:rPr>
                <w:sz w:val="15"/>
                <w:szCs w:val="15"/>
              </w:rPr>
              <w:t xml:space="preserve">4.9%</w:t>
            </w:r>
          </w:p>
        </w:tc>
        <w:tc>
          <w:tcPr>
            <w:tcW w:w="1297" w:type="dxa"/>
          </w:tcPr>
          <w:p>
            <w:pPr>
              <w:pStyle w:val="Compact"/>
              <w:jc w:val="left"/>
              <w:spacing w:before="20" w:after="20" w:line="220" w:lineRule="auto"/>
            </w:pPr>
            <w:r>
              <w:rPr>
                <w:sz w:val="15"/>
                <w:szCs w:val="15"/>
              </w:rPr>
              <w:t xml:space="preserve">12.9%</w:t>
            </w:r>
          </w:p>
        </w:tc>
        <w:tc>
          <w:tcPr>
            <w:tcW w:w="2335" w:type="dxa"/>
          </w:tcPr>
          <w:p>
            <w:pPr>
              <w:pStyle w:val="Compact"/>
              <w:jc w:val="left"/>
              <w:spacing w:before="20" w:after="20" w:line="220" w:lineRule="auto"/>
            </w:pPr>
            <w:r>
              <w:rPr>
                <w:sz w:val="15"/>
                <w:szCs w:val="15"/>
              </w:rPr>
              <w:t xml:space="preserve">4.6%</w:t>
            </w:r>
          </w:p>
        </w:tc>
        <w:tc>
          <w:tcPr>
            <w:tcW w:w="1668" w:type="dxa"/>
          </w:tcPr>
          <w:p>
            <w:pPr>
              <w:pStyle w:val="Compact"/>
              <w:jc w:val="left"/>
              <w:spacing w:before="20" w:after="20" w:line="220" w:lineRule="auto"/>
            </w:pPr>
            <w:r>
              <w:rPr>
                <w:sz w:val="15"/>
                <w:szCs w:val="15"/>
              </w:rPr>
              <w:t xml:space="preserve">8.0%</w:t>
            </w:r>
          </w:p>
        </w:tc>
      </w:tr>
      <w:tr>
        <w:tc>
          <w:tcPr>
            <w:tcW w:w="1112" w:type="dxa"/>
          </w:tcPr>
          <w:p>
            <w:pPr>
              <w:pStyle w:val="Compact"/>
              <w:jc w:val="left"/>
              <w:spacing w:before="20" w:after="20" w:line="220" w:lineRule="auto"/>
            </w:pPr>
            <w:r>
              <w:rPr>
                <w:sz w:val="15"/>
                <w:szCs w:val="15"/>
              </w:rPr>
              <w:t xml:space="preserve">M5</w:t>
            </w:r>
          </w:p>
        </w:tc>
        <w:tc>
          <w:tcPr>
            <w:tcW w:w="1853" w:type="dxa"/>
          </w:tcPr>
          <w:p>
            <w:pPr>
              <w:pStyle w:val="Compact"/>
              <w:jc w:val="left"/>
              <w:spacing w:before="20" w:after="20" w:line="220" w:lineRule="auto"/>
            </w:pPr>
            <w:r>
              <w:rPr>
                <w:sz w:val="15"/>
                <w:szCs w:val="15"/>
              </w:rPr>
              <w:t xml:space="preserve">nonlife</w:t>
            </w:r>
          </w:p>
        </w:tc>
        <w:tc>
          <w:tcPr>
            <w:tcW w:w="1112" w:type="dxa"/>
          </w:tcPr>
          <w:p>
            <w:pPr>
              <w:pStyle w:val="Compact"/>
              <w:jc w:val="left"/>
              <w:spacing w:before="20" w:after="20" w:line="220" w:lineRule="auto"/>
            </w:pPr>
            <w:r>
              <w:rPr>
                <w:sz w:val="15"/>
                <w:szCs w:val="15"/>
              </w:rPr>
              <w:t xml:space="preserve">81.5%</w:t>
            </w:r>
          </w:p>
        </w:tc>
        <w:tc>
          <w:tcPr>
            <w:tcW w:w="1112" w:type="dxa"/>
          </w:tcPr>
          <w:p>
            <w:pPr>
              <w:pStyle w:val="Compact"/>
              <w:jc w:val="left"/>
              <w:spacing w:before="20" w:after="20" w:line="220" w:lineRule="auto"/>
            </w:pPr>
            <w:r>
              <w:rPr>
                <w:sz w:val="15"/>
                <w:szCs w:val="15"/>
              </w:rPr>
              <w:t xml:space="preserve">6</w:t>
            </w:r>
          </w:p>
        </w:tc>
        <w:tc>
          <w:tcPr>
            <w:tcW w:w="1297" w:type="dxa"/>
          </w:tcPr>
          <w:p>
            <w:pPr>
              <w:pStyle w:val="Compact"/>
              <w:jc w:val="left"/>
              <w:spacing w:before="20" w:after="20" w:line="220" w:lineRule="auto"/>
            </w:pPr>
            <w:r>
              <w:rPr>
                <w:sz w:val="15"/>
                <w:szCs w:val="15"/>
              </w:rPr>
              <w:t xml:space="preserve">89.5%</w:t>
            </w:r>
          </w:p>
        </w:tc>
        <w:tc>
          <w:tcPr>
            <w:tcW w:w="2780" w:type="dxa"/>
          </w:tcPr>
          <w:p>
            <w:pPr>
              <w:pStyle w:val="Compact"/>
              <w:jc w:val="left"/>
              <w:spacing w:before="20" w:after="20" w:line="220" w:lineRule="auto"/>
            </w:pPr>
            <w:r>
              <w:rPr>
                <w:sz w:val="15"/>
                <w:szCs w:val="15"/>
              </w:rPr>
              <w:t xml:space="preserve">87.7%</w:t>
            </w:r>
          </w:p>
        </w:tc>
        <w:tc>
          <w:tcPr>
            <w:tcW w:w="1297" w:type="dxa"/>
          </w:tcPr>
          <w:p>
            <w:pPr>
              <w:pStyle w:val="Compact"/>
              <w:jc w:val="left"/>
              <w:spacing w:before="20" w:after="20" w:line="220" w:lineRule="auto"/>
            </w:pPr>
            <w:r>
              <w:rPr>
                <w:sz w:val="15"/>
                <w:szCs w:val="15"/>
              </w:rPr>
              <w:t xml:space="preserve">92.4%</w:t>
            </w:r>
          </w:p>
        </w:tc>
        <w:tc>
          <w:tcPr>
            <w:tcW w:w="2335" w:type="dxa"/>
          </w:tcPr>
          <w:p>
            <w:pPr>
              <w:pStyle w:val="Compact"/>
              <w:jc w:val="left"/>
              <w:spacing w:before="20" w:after="20" w:line="220" w:lineRule="auto"/>
            </w:pPr>
            <w:r>
              <w:rPr>
                <w:sz w:val="15"/>
                <w:szCs w:val="15"/>
              </w:rPr>
              <w:t xml:space="preserve">-8.0%</w:t>
            </w:r>
          </w:p>
        </w:tc>
        <w:tc>
          <w:tcPr>
            <w:tcW w:w="1668" w:type="dxa"/>
          </w:tcPr>
          <w:p>
            <w:pPr>
              <w:pStyle w:val="Compact"/>
              <w:jc w:val="left"/>
              <w:spacing w:before="20" w:after="20" w:line="220" w:lineRule="auto"/>
            </w:pPr>
            <w:r>
              <w:rPr>
                <w:sz w:val="15"/>
                <w:szCs w:val="15"/>
              </w:rPr>
              <w:t xml:space="preserve">-6.2%</w:t>
            </w:r>
          </w:p>
        </w:tc>
      </w:tr>
      <w:tr>
        <w:tc>
          <w:tcPr>
            <w:tcW w:w="1112" w:type="dxa"/>
          </w:tcPr>
          <w:p>
            <w:pPr>
              <w:pStyle w:val="Compact"/>
              <w:jc w:val="left"/>
              <w:spacing w:before="20" w:after="20" w:line="220" w:lineRule="auto"/>
            </w:pPr>
            <w:r>
              <w:rPr>
                <w:sz w:val="15"/>
                <w:szCs w:val="15"/>
              </w:rPr>
              <w:t xml:space="preserve">M5b</w:t>
            </w:r>
          </w:p>
        </w:tc>
        <w:tc>
          <w:tcPr>
            <w:tcW w:w="1853" w:type="dxa"/>
          </w:tcPr>
          <w:p>
            <w:pPr>
              <w:pStyle w:val="Compact"/>
              <w:jc w:val="left"/>
              <w:spacing w:before="20" w:after="20" w:line="220" w:lineRule="auto"/>
            </w:pPr>
            <w:r>
              <w:rPr>
                <w:sz w:val="15"/>
                <w:szCs w:val="15"/>
              </w:rPr>
              <w:t xml:space="preserve">nonlife</w:t>
            </w:r>
          </w:p>
        </w:tc>
        <w:tc>
          <w:tcPr>
            <w:tcW w:w="1112" w:type="dxa"/>
          </w:tcPr>
          <w:p>
            <w:pPr>
              <w:pStyle w:val="Compact"/>
              <w:jc w:val="left"/>
              <w:spacing w:before="20" w:after="20" w:line="220" w:lineRule="auto"/>
            </w:pPr>
            <w:r>
              <w:rPr>
                <w:sz w:val="15"/>
                <w:szCs w:val="15"/>
              </w:rPr>
              <w:t xml:space="preserve">93.8%</w:t>
            </w:r>
          </w:p>
        </w:tc>
        <w:tc>
          <w:tcPr>
            <w:tcW w:w="1112" w:type="dxa"/>
          </w:tcPr>
          <w:p>
            <w:pPr>
              <w:pStyle w:val="Compact"/>
              <w:jc w:val="left"/>
              <w:spacing w:before="20" w:after="20" w:line="220" w:lineRule="auto"/>
            </w:pPr>
            <w:r>
              <w:rPr>
                <w:sz w:val="15"/>
                <w:szCs w:val="15"/>
              </w:rPr>
              <w:t xml:space="preserve">6</w:t>
            </w:r>
          </w:p>
        </w:tc>
        <w:tc>
          <w:tcPr>
            <w:tcW w:w="1297" w:type="dxa"/>
          </w:tcPr>
          <w:p>
            <w:pPr>
              <w:pStyle w:val="Compact"/>
              <w:jc w:val="left"/>
              <w:spacing w:before="20" w:after="20" w:line="220" w:lineRule="auto"/>
            </w:pPr>
            <w:r>
              <w:rPr>
                <w:sz w:val="15"/>
                <w:szCs w:val="15"/>
              </w:rPr>
              <w:t xml:space="preserve">93.0%</w:t>
            </w:r>
          </w:p>
        </w:tc>
        <w:tc>
          <w:tcPr>
            <w:tcW w:w="2780" w:type="dxa"/>
          </w:tcPr>
          <w:p>
            <w:pPr>
              <w:pStyle w:val="Compact"/>
              <w:jc w:val="left"/>
              <w:spacing w:before="20" w:after="20" w:line="220" w:lineRule="auto"/>
            </w:pPr>
            <w:r>
              <w:rPr>
                <w:sz w:val="15"/>
                <w:szCs w:val="15"/>
              </w:rPr>
              <w:t xml:space="preserve">90.7%</w:t>
            </w:r>
          </w:p>
        </w:tc>
        <w:tc>
          <w:tcPr>
            <w:tcW w:w="1297" w:type="dxa"/>
          </w:tcPr>
          <w:p>
            <w:pPr>
              <w:pStyle w:val="Compact"/>
              <w:jc w:val="left"/>
              <w:spacing w:before="20" w:after="20" w:line="220" w:lineRule="auto"/>
            </w:pPr>
            <w:r>
              <w:rPr>
                <w:sz w:val="15"/>
                <w:szCs w:val="15"/>
              </w:rPr>
              <w:t xml:space="preserve">95.9%</w:t>
            </w:r>
          </w:p>
        </w:tc>
        <w:tc>
          <w:tcPr>
            <w:tcW w:w="2335" w:type="dxa"/>
          </w:tcPr>
          <w:p>
            <w:pPr>
              <w:pStyle w:val="Compact"/>
              <w:jc w:val="left"/>
              <w:spacing w:before="20" w:after="20" w:line="220" w:lineRule="auto"/>
            </w:pPr>
            <w:r>
              <w:rPr>
                <w:sz w:val="15"/>
                <w:szCs w:val="15"/>
              </w:rPr>
              <w:t xml:space="preserve">0.8%</w:t>
            </w:r>
          </w:p>
        </w:tc>
        <w:tc>
          <w:tcPr>
            <w:tcW w:w="1668" w:type="dxa"/>
          </w:tcPr>
          <w:p>
            <w:pPr>
              <w:pStyle w:val="Compact"/>
              <w:jc w:val="left"/>
              <w:spacing w:before="20" w:after="20" w:line="220" w:lineRule="auto"/>
            </w:pPr>
            <w:r>
              <w:rPr>
                <w:sz w:val="15"/>
                <w:szCs w:val="15"/>
              </w:rPr>
              <w:t xml:space="preserve">3.1%</w:t>
            </w:r>
          </w:p>
        </w:tc>
      </w:tr>
      <w:tr>
        <w:tc>
          <w:tcPr>
            <w:tcW w:w="1112" w:type="dxa"/>
          </w:tcPr>
          <w:p>
            <w:pPr>
              <w:pStyle w:val="Compact"/>
              <w:jc w:val="left"/>
              <w:spacing w:before="20" w:after="20" w:line="220" w:lineRule="auto"/>
            </w:pPr>
            <w:r>
              <w:rPr>
                <w:sz w:val="15"/>
                <w:szCs w:val="15"/>
              </w:rPr>
              <w:t xml:space="preserve">M5r</w:t>
            </w:r>
          </w:p>
        </w:tc>
        <w:tc>
          <w:tcPr>
            <w:tcW w:w="1853" w:type="dxa"/>
          </w:tcPr>
          <w:p>
            <w:pPr>
              <w:pStyle w:val="Compact"/>
              <w:jc w:val="left"/>
              <w:spacing w:before="20" w:after="20" w:line="220" w:lineRule="auto"/>
            </w:pPr>
            <w:r>
              <w:rPr>
                <w:sz w:val="15"/>
                <w:szCs w:val="15"/>
              </w:rPr>
              <w:t xml:space="preserve">nonlife</w:t>
            </w:r>
          </w:p>
        </w:tc>
        <w:tc>
          <w:tcPr>
            <w:tcW w:w="1112" w:type="dxa"/>
          </w:tcPr>
          <w:p>
            <w:pPr>
              <w:pStyle w:val="Compact"/>
              <w:jc w:val="left"/>
              <w:spacing w:before="20" w:after="20" w:line="220" w:lineRule="auto"/>
            </w:pPr>
            <w:r>
              <w:rPr>
                <w:sz w:val="15"/>
                <w:szCs w:val="15"/>
              </w:rPr>
              <w:t xml:space="preserve">92.4%</w:t>
            </w:r>
          </w:p>
        </w:tc>
        <w:tc>
          <w:tcPr>
            <w:tcW w:w="1112" w:type="dxa"/>
          </w:tcPr>
          <w:p>
            <w:pPr>
              <w:pStyle w:val="Compact"/>
              <w:jc w:val="left"/>
              <w:spacing w:before="20" w:after="20" w:line="220" w:lineRule="auto"/>
            </w:pPr>
            <w:r>
              <w:rPr>
                <w:sz w:val="15"/>
                <w:szCs w:val="15"/>
              </w:rPr>
              <w:t xml:space="preserve">9</w:t>
            </w:r>
          </w:p>
        </w:tc>
        <w:tc>
          <w:tcPr>
            <w:tcW w:w="1297" w:type="dxa"/>
          </w:tcPr>
          <w:p>
            <w:pPr>
              <w:pStyle w:val="Compact"/>
              <w:jc w:val="left"/>
              <w:spacing w:before="20" w:after="20" w:line="220" w:lineRule="auto"/>
            </w:pPr>
            <w:r>
              <w:rPr>
                <w:sz w:val="15"/>
                <w:szCs w:val="15"/>
              </w:rPr>
              <w:t xml:space="preserve">88.7%</w:t>
            </w:r>
          </w:p>
        </w:tc>
        <w:tc>
          <w:tcPr>
            <w:tcW w:w="2780" w:type="dxa"/>
          </w:tcPr>
          <w:p>
            <w:pPr>
              <w:pStyle w:val="Compact"/>
              <w:jc w:val="left"/>
              <w:spacing w:before="20" w:after="20" w:line="220" w:lineRule="auto"/>
            </w:pPr>
            <w:r>
              <w:rPr>
                <w:sz w:val="15"/>
                <w:szCs w:val="15"/>
              </w:rPr>
              <w:t xml:space="preserve">87.0%</w:t>
            </w:r>
          </w:p>
        </w:tc>
        <w:tc>
          <w:tcPr>
            <w:tcW w:w="1297" w:type="dxa"/>
          </w:tcPr>
          <w:p>
            <w:pPr>
              <w:pStyle w:val="Compact"/>
              <w:jc w:val="left"/>
              <w:spacing w:before="20" w:after="20" w:line="220" w:lineRule="auto"/>
            </w:pPr>
            <w:r>
              <w:rPr>
                <w:sz w:val="15"/>
                <w:szCs w:val="15"/>
              </w:rPr>
              <w:t xml:space="preserve">90.5%</w:t>
            </w:r>
          </w:p>
        </w:tc>
        <w:tc>
          <w:tcPr>
            <w:tcW w:w="2335" w:type="dxa"/>
          </w:tcPr>
          <w:p>
            <w:pPr>
              <w:pStyle w:val="Compact"/>
              <w:jc w:val="left"/>
              <w:spacing w:before="20" w:after="20" w:line="220" w:lineRule="auto"/>
            </w:pPr>
            <w:r>
              <w:rPr>
                <w:sz w:val="15"/>
                <w:szCs w:val="15"/>
              </w:rPr>
              <w:t xml:space="preserve">3.7%</w:t>
            </w:r>
          </w:p>
        </w:tc>
        <w:tc>
          <w:tcPr>
            <w:tcW w:w="1668" w:type="dxa"/>
          </w:tcPr>
          <w:p>
            <w:pPr>
              <w:pStyle w:val="Compact"/>
              <w:jc w:val="left"/>
              <w:spacing w:before="20" w:after="20" w:line="220" w:lineRule="auto"/>
            </w:pPr>
            <w:r>
              <w:rPr>
                <w:sz w:val="15"/>
                <w:szCs w:val="15"/>
              </w:rPr>
              <w:t xml:space="preserve">5.4%</w:t>
            </w:r>
          </w:p>
        </w:tc>
      </w:tr>
      <w:tr>
        <w:tc>
          <w:tcPr>
            <w:tcW w:w="1112" w:type="dxa"/>
          </w:tcPr>
          <w:p>
            <w:pPr>
              <w:pStyle w:val="Compact"/>
              <w:jc w:val="left"/>
              <w:spacing w:before="20" w:after="20" w:line="220" w:lineRule="auto"/>
            </w:pPr>
            <w:r>
              <w:rPr>
                <w:sz w:val="15"/>
                <w:szCs w:val="15"/>
              </w:rPr>
              <w:t xml:space="preserve">M6</w:t>
            </w:r>
          </w:p>
        </w:tc>
        <w:tc>
          <w:tcPr>
            <w:tcW w:w="1853" w:type="dxa"/>
          </w:tcPr>
          <w:p>
            <w:pPr>
              <w:pStyle w:val="Compact"/>
              <w:jc w:val="left"/>
              <w:spacing w:before="20" w:after="20" w:line="220" w:lineRule="auto"/>
            </w:pPr>
            <w:r>
              <w:rPr>
                <w:sz w:val="15"/>
                <w:szCs w:val="15"/>
              </w:rPr>
              <w:t xml:space="preserve">all</w:t>
            </w:r>
          </w:p>
        </w:tc>
        <w:tc>
          <w:tcPr>
            <w:tcW w:w="1112" w:type="dxa"/>
          </w:tcPr>
          <w:p>
            <w:pPr>
              <w:pStyle w:val="Compact"/>
              <w:spacing w:before="20" w:after="20" w:line="220" w:lineRule="auto"/>
            </w:pPr>
          </w:p>
        </w:tc>
        <w:tc>
          <w:tcPr>
            <w:tcW w:w="1112" w:type="dxa"/>
          </w:tcPr>
          <w:p>
            <w:pPr>
              <w:pStyle w:val="Compact"/>
              <w:jc w:val="left"/>
              <w:spacing w:before="20" w:after="20" w:line="220" w:lineRule="auto"/>
            </w:pPr>
            <w:r>
              <w:rPr>
                <w:sz w:val="15"/>
                <w:szCs w:val="15"/>
              </w:rPr>
              <w:t xml:space="preserve">6</w:t>
            </w:r>
          </w:p>
        </w:tc>
        <w:tc>
          <w:tcPr>
            <w:tcW w:w="1297" w:type="dxa"/>
          </w:tcPr>
          <w:p>
            <w:pPr>
              <w:pStyle w:val="Compact"/>
              <w:jc w:val="left"/>
              <w:spacing w:before="20" w:after="20" w:line="220" w:lineRule="auto"/>
            </w:pPr>
            <w:r>
              <w:rPr>
                <w:sz w:val="15"/>
                <w:szCs w:val="15"/>
              </w:rPr>
              <w:t xml:space="preserve">R1,422</w:t>
            </w:r>
          </w:p>
        </w:tc>
        <w:tc>
          <w:tcPr>
            <w:tcW w:w="2780" w:type="dxa"/>
          </w:tcPr>
          <w:p>
            <w:pPr>
              <w:pStyle w:val="Compact"/>
              <w:jc w:val="left"/>
              <w:spacing w:before="20" w:after="20" w:line="220" w:lineRule="auto"/>
            </w:pPr>
            <w:r>
              <w:rPr>
                <w:sz w:val="15"/>
                <w:szCs w:val="15"/>
              </w:rPr>
              <w:t xml:space="preserve">R236</w:t>
            </w:r>
          </w:p>
        </w:tc>
        <w:tc>
          <w:tcPr>
            <w:tcW w:w="1297" w:type="dxa"/>
          </w:tcPr>
          <w:p>
            <w:pPr>
              <w:pStyle w:val="Compact"/>
              <w:jc w:val="left"/>
              <w:spacing w:before="20" w:after="20" w:line="220" w:lineRule="auto"/>
            </w:pPr>
            <w:r>
              <w:rPr>
                <w:sz w:val="15"/>
                <w:szCs w:val="15"/>
              </w:rPr>
              <w:t xml:space="preserve">R2,547</w:t>
            </w:r>
          </w:p>
        </w:tc>
        <w:tc>
          <w:tcPr>
            <w:tcW w:w="2335" w:type="dxa"/>
          </w:tcPr>
          <w:p>
            <w:pPr>
              <w:pStyle w:val="Compact"/>
              <w:spacing w:before="20" w:after="20" w:line="220" w:lineRule="auto"/>
            </w:pPr>
          </w:p>
        </w:tc>
        <w:tc>
          <w:tcPr>
            <w:tcW w:w="1668" w:type="dxa"/>
          </w:tcPr>
          <w:p>
            <w:pPr>
              <w:pStyle w:val="Compact"/>
              <w:spacing w:before="20" w:after="20" w:line="220" w:lineRule="auto"/>
            </w:pPr>
          </w:p>
        </w:tc>
      </w:tr>
      <w:tr>
        <w:tc>
          <w:tcPr>
            <w:tcW w:w="1112" w:type="dxa"/>
          </w:tcPr>
          <w:p>
            <w:pPr>
              <w:pStyle w:val="Compact"/>
              <w:jc w:val="left"/>
              <w:spacing w:before="20" w:after="20" w:line="220" w:lineRule="auto"/>
            </w:pPr>
            <w:r>
              <w:rPr>
                <w:sz w:val="15"/>
                <w:szCs w:val="15"/>
              </w:rPr>
              <w:t xml:space="preserve">M7</w:t>
            </w:r>
          </w:p>
        </w:tc>
        <w:tc>
          <w:tcPr>
            <w:tcW w:w="1853" w:type="dxa"/>
          </w:tcPr>
          <w:p>
            <w:pPr>
              <w:pStyle w:val="Compact"/>
              <w:jc w:val="left"/>
              <w:spacing w:before="20" w:after="20" w:line="220" w:lineRule="auto"/>
            </w:pPr>
            <w:r>
              <w:rPr>
                <w:sz w:val="15"/>
                <w:szCs w:val="15"/>
              </w:rPr>
              <w:t xml:space="preserve">all</w:t>
            </w:r>
          </w:p>
        </w:tc>
        <w:tc>
          <w:tcPr>
            <w:tcW w:w="1112" w:type="dxa"/>
          </w:tcPr>
          <w:p>
            <w:pPr>
              <w:pStyle w:val="Compact"/>
              <w:spacing w:before="20" w:after="20" w:line="220" w:lineRule="auto"/>
            </w:pPr>
          </w:p>
        </w:tc>
        <w:tc>
          <w:tcPr>
            <w:tcW w:w="1112" w:type="dxa"/>
          </w:tcPr>
          <w:p>
            <w:pPr>
              <w:pStyle w:val="Compact"/>
              <w:jc w:val="left"/>
              <w:spacing w:before="20" w:after="20" w:line="220" w:lineRule="auto"/>
            </w:pPr>
            <w:r>
              <w:rPr>
                <w:sz w:val="15"/>
                <w:szCs w:val="15"/>
              </w:rPr>
              <w:t xml:space="preserve">10</w:t>
            </w:r>
          </w:p>
        </w:tc>
        <w:tc>
          <w:tcPr>
            <w:tcW w:w="1297" w:type="dxa"/>
          </w:tcPr>
          <w:p>
            <w:pPr>
              <w:pStyle w:val="Compact"/>
              <w:jc w:val="left"/>
              <w:spacing w:before="20" w:after="20" w:line="220" w:lineRule="auto"/>
            </w:pPr>
            <w:r>
              <w:rPr>
                <w:sz w:val="15"/>
                <w:szCs w:val="15"/>
              </w:rPr>
              <w:t xml:space="preserve">R1.54m</w:t>
            </w:r>
          </w:p>
        </w:tc>
        <w:tc>
          <w:tcPr>
            <w:tcW w:w="2780" w:type="dxa"/>
          </w:tcPr>
          <w:p>
            <w:pPr>
              <w:pStyle w:val="Compact"/>
              <w:jc w:val="left"/>
              <w:spacing w:before="20" w:after="20" w:line="220" w:lineRule="auto"/>
            </w:pPr>
            <w:r>
              <w:rPr>
                <w:sz w:val="15"/>
                <w:szCs w:val="15"/>
              </w:rPr>
              <w:t xml:space="preserve">R1.04m</w:t>
            </w:r>
          </w:p>
        </w:tc>
        <w:tc>
          <w:tcPr>
            <w:tcW w:w="1297" w:type="dxa"/>
          </w:tcPr>
          <w:p>
            <w:pPr>
              <w:pStyle w:val="Compact"/>
              <w:jc w:val="left"/>
              <w:spacing w:before="20" w:after="20" w:line="220" w:lineRule="auto"/>
            </w:pPr>
            <w:r>
              <w:rPr>
                <w:sz w:val="15"/>
                <w:szCs w:val="15"/>
              </w:rPr>
              <w:t xml:space="preserve">R2.40m</w:t>
            </w:r>
          </w:p>
        </w:tc>
        <w:tc>
          <w:tcPr>
            <w:tcW w:w="2335" w:type="dxa"/>
          </w:tcPr>
          <w:p>
            <w:pPr>
              <w:pStyle w:val="Compact"/>
              <w:spacing w:before="20" w:after="20" w:line="220" w:lineRule="auto"/>
            </w:pPr>
          </w:p>
        </w:tc>
        <w:tc>
          <w:tcPr>
            <w:tcW w:w="1668" w:type="dxa"/>
          </w:tcPr>
          <w:p>
            <w:pPr>
              <w:pStyle w:val="Compact"/>
              <w:spacing w:before="20" w:after="20" w:line="220" w:lineRule="auto"/>
            </w:pPr>
          </w:p>
        </w:tc>
      </w:tr>
      <w:tr>
        <w:tc>
          <w:tcPr>
            <w:tcW w:w="1112" w:type="dxa"/>
          </w:tcPr>
          <w:p>
            <w:pPr>
              <w:pStyle w:val="Compact"/>
              <w:jc w:val="left"/>
              <w:spacing w:before="20" w:after="20" w:line="220" w:lineRule="auto"/>
            </w:pPr>
            <w:r>
              <w:rPr>
                <w:sz w:val="15"/>
                <w:szCs w:val="15"/>
              </w:rPr>
              <w:t xml:space="preserve">M8</w:t>
            </w:r>
          </w:p>
        </w:tc>
        <w:tc>
          <w:tcPr>
            <w:tcW w:w="1853" w:type="dxa"/>
          </w:tcPr>
          <w:p>
            <w:pPr>
              <w:pStyle w:val="Compact"/>
              <w:jc w:val="left"/>
              <w:spacing w:before="20" w:after="20" w:line="220" w:lineRule="auto"/>
            </w:pPr>
            <w:r>
              <w:rPr>
                <w:sz w:val="15"/>
                <w:szCs w:val="15"/>
              </w:rPr>
              <w:t xml:space="preserve">all</w:t>
            </w:r>
          </w:p>
        </w:tc>
        <w:tc>
          <w:tcPr>
            <w:tcW w:w="1112" w:type="dxa"/>
          </w:tcPr>
          <w:p>
            <w:pPr>
              <w:pStyle w:val="Compact"/>
              <w:spacing w:before="20" w:after="20" w:line="220" w:lineRule="auto"/>
            </w:pPr>
          </w:p>
        </w:tc>
        <w:tc>
          <w:tcPr>
            <w:tcW w:w="1112" w:type="dxa"/>
          </w:tcPr>
          <w:p>
            <w:pPr>
              <w:pStyle w:val="Compact"/>
              <w:jc w:val="left"/>
              <w:spacing w:before="20" w:after="20" w:line="220" w:lineRule="auto"/>
            </w:pPr>
            <w:r>
              <w:rPr>
                <w:sz w:val="15"/>
                <w:szCs w:val="15"/>
              </w:rPr>
              <w:t xml:space="preserve">13</w:t>
            </w:r>
          </w:p>
        </w:tc>
        <w:tc>
          <w:tcPr>
            <w:tcW w:w="1297" w:type="dxa"/>
          </w:tcPr>
          <w:p>
            <w:pPr>
              <w:pStyle w:val="Compact"/>
              <w:jc w:val="left"/>
              <w:spacing w:before="20" w:after="20" w:line="220" w:lineRule="auto"/>
            </w:pPr>
            <w:r>
              <w:rPr>
                <w:sz w:val="15"/>
                <w:szCs w:val="15"/>
              </w:rPr>
              <w:t xml:space="preserve">R16.29m</w:t>
            </w:r>
          </w:p>
        </w:tc>
        <w:tc>
          <w:tcPr>
            <w:tcW w:w="2780" w:type="dxa"/>
          </w:tcPr>
          <w:p>
            <w:pPr>
              <w:pStyle w:val="Compact"/>
              <w:jc w:val="left"/>
              <w:spacing w:before="20" w:after="20" w:line="220" w:lineRule="auto"/>
            </w:pPr>
            <w:r>
              <w:rPr>
                <w:sz w:val="15"/>
                <w:szCs w:val="15"/>
              </w:rPr>
              <w:t xml:space="preserve">R5.15m</w:t>
            </w:r>
          </w:p>
        </w:tc>
        <w:tc>
          <w:tcPr>
            <w:tcW w:w="1297" w:type="dxa"/>
          </w:tcPr>
          <w:p>
            <w:pPr>
              <w:pStyle w:val="Compact"/>
              <w:jc w:val="left"/>
              <w:spacing w:before="20" w:after="20" w:line="220" w:lineRule="auto"/>
            </w:pPr>
            <w:r>
              <w:rPr>
                <w:sz w:val="15"/>
                <w:szCs w:val="15"/>
              </w:rPr>
              <w:t xml:space="preserve">R86.54m</w:t>
            </w:r>
          </w:p>
        </w:tc>
        <w:tc>
          <w:tcPr>
            <w:tcW w:w="2335" w:type="dxa"/>
          </w:tcPr>
          <w:p>
            <w:pPr>
              <w:pStyle w:val="Compact"/>
              <w:spacing w:before="20" w:after="20" w:line="220" w:lineRule="auto"/>
            </w:pPr>
          </w:p>
        </w:tc>
        <w:tc>
          <w:tcPr>
            <w:tcW w:w="1668" w:type="dxa"/>
          </w:tcPr>
          <w:p>
            <w:pPr>
              <w:pStyle w:val="Compact"/>
              <w:spacing w:before="20" w:after="20" w:line="220" w:lineRule="auto"/>
            </w:pPr>
          </w:p>
        </w:tc>
      </w:tr>
      <w:tr>
        <w:tc>
          <w:tcPr>
            <w:tcW w:w="1112" w:type="dxa"/>
          </w:tcPr>
          <w:p>
            <w:pPr>
              <w:pStyle w:val="Compact"/>
              <w:jc w:val="left"/>
              <w:spacing w:before="20" w:after="20" w:line="220" w:lineRule="auto"/>
            </w:pPr>
            <w:r>
              <w:rPr>
                <w:sz w:val="15"/>
                <w:szCs w:val="15"/>
              </w:rPr>
              <w:t xml:space="preserve">M9</w:t>
            </w:r>
          </w:p>
        </w:tc>
        <w:tc>
          <w:tcPr>
            <w:tcW w:w="1853" w:type="dxa"/>
          </w:tcPr>
          <w:p>
            <w:pPr>
              <w:pStyle w:val="Compact"/>
              <w:jc w:val="left"/>
              <w:spacing w:before="20" w:after="20" w:line="220" w:lineRule="auto"/>
            </w:pPr>
            <w:r>
              <w:rPr>
                <w:sz w:val="15"/>
                <w:szCs w:val="15"/>
              </w:rPr>
              <w:t xml:space="preserve">all</w:t>
            </w:r>
          </w:p>
        </w:tc>
        <w:tc>
          <w:tcPr>
            <w:tcW w:w="1112" w:type="dxa"/>
          </w:tcPr>
          <w:p>
            <w:pPr>
              <w:pStyle w:val="Compact"/>
              <w:jc w:val="left"/>
              <w:spacing w:before="20" w:after="20" w:line="220" w:lineRule="auto"/>
            </w:pPr>
            <w:r>
              <w:rPr>
                <w:sz w:val="15"/>
                <w:szCs w:val="15"/>
              </w:rPr>
              <w:t xml:space="preserve">40.0%</w:t>
            </w:r>
          </w:p>
        </w:tc>
        <w:tc>
          <w:tcPr>
            <w:tcW w:w="1112" w:type="dxa"/>
          </w:tcPr>
          <w:p>
            <w:pPr>
              <w:pStyle w:val="Compact"/>
              <w:jc w:val="left"/>
              <w:spacing w:before="20" w:after="20" w:line="220" w:lineRule="auto"/>
            </w:pPr>
            <w:r>
              <w:rPr>
                <w:sz w:val="15"/>
                <w:szCs w:val="15"/>
              </w:rPr>
              <w:t xml:space="preserve">3</w:t>
            </w:r>
          </w:p>
        </w:tc>
        <w:tc>
          <w:tcPr>
            <w:tcW w:w="1297" w:type="dxa"/>
          </w:tcPr>
          <w:p>
            <w:pPr>
              <w:pStyle w:val="Compact"/>
              <w:jc w:val="left"/>
              <w:spacing w:before="20" w:after="20" w:line="220" w:lineRule="auto"/>
            </w:pPr>
            <w:r>
              <w:rPr>
                <w:sz w:val="15"/>
                <w:szCs w:val="15"/>
              </w:rPr>
              <w:t xml:space="preserve">21.4%</w:t>
            </w:r>
          </w:p>
        </w:tc>
        <w:tc>
          <w:tcPr>
            <w:tcW w:w="2780" w:type="dxa"/>
          </w:tcPr>
          <w:p>
            <w:pPr>
              <w:pStyle w:val="Compact"/>
              <w:jc w:val="left"/>
              <w:spacing w:before="20" w:after="20" w:line="220" w:lineRule="auto"/>
            </w:pPr>
            <w:r>
              <w:rPr>
                <w:sz w:val="15"/>
                <w:szCs w:val="15"/>
              </w:rPr>
              <w:t xml:space="preserve">18.7%</w:t>
            </w:r>
          </w:p>
        </w:tc>
        <w:tc>
          <w:tcPr>
            <w:tcW w:w="1297" w:type="dxa"/>
          </w:tcPr>
          <w:p>
            <w:pPr>
              <w:pStyle w:val="Compact"/>
              <w:jc w:val="left"/>
              <w:spacing w:before="20" w:after="20" w:line="220" w:lineRule="auto"/>
            </w:pPr>
            <w:r>
              <w:rPr>
                <w:sz w:val="15"/>
                <w:szCs w:val="15"/>
              </w:rPr>
              <w:t xml:space="preserve">47.1%</w:t>
            </w:r>
          </w:p>
        </w:tc>
        <w:tc>
          <w:tcPr>
            <w:tcW w:w="2335" w:type="dxa"/>
          </w:tcPr>
          <w:p>
            <w:pPr>
              <w:pStyle w:val="Compact"/>
              <w:jc w:val="left"/>
              <w:spacing w:before="20" w:after="20" w:line="220" w:lineRule="auto"/>
            </w:pPr>
            <w:r>
              <w:rPr>
                <w:sz w:val="15"/>
                <w:szCs w:val="15"/>
              </w:rPr>
              <w:t xml:space="preserve">18.6%</w:t>
            </w:r>
          </w:p>
        </w:tc>
        <w:tc>
          <w:tcPr>
            <w:tcW w:w="1668" w:type="dxa"/>
          </w:tcPr>
          <w:p>
            <w:pPr>
              <w:pStyle w:val="Compact"/>
              <w:jc w:val="left"/>
              <w:spacing w:before="20" w:after="20" w:line="220" w:lineRule="auto"/>
            </w:pPr>
            <w:r>
              <w:rPr>
                <w:sz w:val="15"/>
                <w:szCs w:val="15"/>
              </w:rPr>
              <w:t xml:space="preserve">21.3%</w:t>
            </w:r>
          </w:p>
        </w:tc>
      </w:tr>
      <w:tr>
        <w:tc>
          <w:tcPr>
            <w:tcW w:w="1112" w:type="dxa"/>
          </w:tcPr>
          <w:p>
            <w:pPr>
              <w:pStyle w:val="Compact"/>
              <w:jc w:val="left"/>
              <w:spacing w:before="20" w:after="20" w:line="220" w:lineRule="auto"/>
            </w:pPr>
            <w:r>
              <w:rPr>
                <w:sz w:val="15"/>
                <w:szCs w:val="15"/>
              </w:rPr>
              <w:t xml:space="preserve">M11</w:t>
            </w:r>
          </w:p>
        </w:tc>
        <w:tc>
          <w:tcPr>
            <w:tcW w:w="1853" w:type="dxa"/>
          </w:tcPr>
          <w:p>
            <w:pPr>
              <w:pStyle w:val="Compact"/>
              <w:jc w:val="left"/>
              <w:spacing w:before="20" w:after="20" w:line="220" w:lineRule="auto"/>
            </w:pPr>
            <w:r>
              <w:rPr>
                <w:sz w:val="15"/>
                <w:szCs w:val="15"/>
              </w:rPr>
              <w:t xml:space="preserve">all</w:t>
            </w:r>
          </w:p>
        </w:tc>
        <w:tc>
          <w:tcPr>
            <w:tcW w:w="1112" w:type="dxa"/>
          </w:tcPr>
          <w:p>
            <w:pPr>
              <w:pStyle w:val="Compact"/>
              <w:jc w:val="left"/>
              <w:spacing w:before="20" w:after="20" w:line="220" w:lineRule="auto"/>
            </w:pPr>
            <w:r>
              <w:rPr>
                <w:sz w:val="15"/>
                <w:szCs w:val="15"/>
              </w:rPr>
              <w:t xml:space="preserve">156.2%</w:t>
            </w:r>
          </w:p>
        </w:tc>
        <w:tc>
          <w:tcPr>
            <w:tcW w:w="1112" w:type="dxa"/>
          </w:tcPr>
          <w:p>
            <w:pPr>
              <w:pStyle w:val="Compact"/>
              <w:jc w:val="left"/>
              <w:spacing w:before="20" w:after="20" w:line="220" w:lineRule="auto"/>
            </w:pPr>
            <w:r>
              <w:rPr>
                <w:sz w:val="15"/>
                <w:szCs w:val="15"/>
              </w:rPr>
              <w:t xml:space="preserve">1</w:t>
            </w:r>
          </w:p>
        </w:tc>
        <w:tc>
          <w:tcPr>
            <w:tcW w:w="1297" w:type="dxa"/>
          </w:tcPr>
          <w:p>
            <w:pPr>
              <w:pStyle w:val="Compact"/>
              <w:jc w:val="left"/>
              <w:spacing w:before="20" w:after="20" w:line="220" w:lineRule="auto"/>
            </w:pPr>
            <w:r>
              <w:rPr>
                <w:sz w:val="15"/>
                <w:szCs w:val="15"/>
              </w:rPr>
              <w:t xml:space="preserve">5.6%</w:t>
            </w:r>
          </w:p>
        </w:tc>
        <w:tc>
          <w:tcPr>
            <w:tcW w:w="2780" w:type="dxa"/>
          </w:tcPr>
          <w:p>
            <w:pPr>
              <w:pStyle w:val="Compact"/>
              <w:spacing w:before="20" w:after="20" w:line="220" w:lineRule="auto"/>
            </w:pPr>
          </w:p>
        </w:tc>
        <w:tc>
          <w:tcPr>
            <w:tcW w:w="1297" w:type="dxa"/>
          </w:tcPr>
          <w:p>
            <w:pPr>
              <w:pStyle w:val="Compact"/>
              <w:spacing w:before="20" w:after="20" w:line="220" w:lineRule="auto"/>
            </w:pPr>
          </w:p>
        </w:tc>
        <w:tc>
          <w:tcPr>
            <w:tcW w:w="2335" w:type="dxa"/>
          </w:tcPr>
          <w:p>
            <w:pPr>
              <w:pStyle w:val="Compact"/>
              <w:jc w:val="left"/>
              <w:spacing w:before="20" w:after="20" w:line="220" w:lineRule="auto"/>
            </w:pPr>
            <w:r>
              <w:rPr>
                <w:sz w:val="15"/>
                <w:szCs w:val="15"/>
              </w:rPr>
              <w:t xml:space="preserve">150.6%</w:t>
            </w:r>
          </w:p>
        </w:tc>
        <w:tc>
          <w:tcPr>
            <w:tcW w:w="1668" w:type="dxa"/>
          </w:tcPr>
          <w:p>
            <w:pPr>
              <w:pStyle w:val="Compact"/>
              <w:spacing w:before="20" w:after="20" w:line="220" w:lineRule="auto"/>
            </w:pPr>
          </w:p>
        </w:tc>
      </w:tr>
    </w:tbl>
    <w:bookmarkEnd w:id="36"/>
    <w:bookmarkEnd w:id="37"/>
    <w:bookmarkStart w:id="38" w:name="gap-to-median-and-top-quartile-in-rand"/>
    <w:p>
      <w:pPr>
        <w:pStyle w:val="Heading2"/>
      </w:pPr>
      <w:r>
        <w:t xml:space="preserve">4. Gap to median and top quartile in rand</w:t>
      </w:r>
    </w:p>
    <w:p>
      <w:pPr>
        <w:pStyle w:val="FirstParagraph"/>
      </w:pPr>
      <w:r>
        <w:t xml:space="preserve">The table below multiplies the gap in percentage points by the FY2025 AFS base for the metric and applies the realisation factors on the Normalisation tab (gap to median at 0.5 and 0.75, gap to top quartile at 0.75). Negative values mean AFS is already better than the peer statistic on that measure; the saving on that line is nil, not negative. This is a hypothesis range.</w:t>
      </w:r>
    </w:p>
    <w:tbl>
      <w:tblPr>
        <w:tblStyle w:val="Table"/>
        <w:tblLook w:firstRow="1" w:lastRow="0" w:firstColumn="0" w:lastColumn="0" w:noHBand="0" w:noVBand="0" w:val="0020"/>
        <w:jc w:val="start"/>
        <w:tblW w:w="14563" w:type="dxa"/>
        <w:tblLayout w:type="fixed"/>
      </w:tblPr>
      <w:tblGrid>
        <w:gridCol w:w="357"/>
        <w:gridCol w:w="595"/>
        <w:gridCol w:w="357"/>
        <w:gridCol w:w="357"/>
        <w:gridCol w:w="714"/>
        <w:gridCol w:w="750"/>
        <w:gridCol w:w="929"/>
        <w:gridCol w:w="786"/>
        <w:gridCol w:w="929"/>
        <w:gridCol w:w="786"/>
        <w:gridCol w:w="357"/>
        <w:gridCol w:w="357"/>
        <w:gridCol w:w="357"/>
        <w:gridCol w:w="2430"/>
        <w:gridCol w:w="2215"/>
        <w:gridCol w:w="2287"/>
      </w:tblGrid>
      <w:tr>
        <w:trPr>
          <w:tblHeader w:val="true"/>
        </w:trPr>
        <w:tc>
          <w:tcPr>
            <w:tcW w:w="357" w:type="dxa"/>
          </w:tcPr>
          <w:p>
            <w:pPr>
              <w:pStyle w:val="Compact"/>
              <w:jc w:val="left"/>
              <w:spacing w:before="20" w:after="20" w:line="220" w:lineRule="auto"/>
            </w:pPr>
            <w:r>
              <w:rPr>
                <w:sz w:val="15"/>
                <w:szCs w:val="15"/>
              </w:rPr>
              <w:t xml:space="preserve">Metric</w:t>
            </w:r>
          </w:p>
        </w:tc>
        <w:tc>
          <w:tcPr>
            <w:tcW w:w="595" w:type="dxa"/>
          </w:tcPr>
          <w:p>
            <w:pPr>
              <w:pStyle w:val="Compact"/>
              <w:jc w:val="left"/>
              <w:spacing w:before="20" w:after="20" w:line="220" w:lineRule="auto"/>
            </w:pPr>
            <w:r>
              <w:rPr>
                <w:sz w:val="15"/>
                <w:szCs w:val="15"/>
              </w:rPr>
              <w:t xml:space="preserve">Peer group</w:t>
            </w:r>
          </w:p>
        </w:tc>
        <w:tc>
          <w:tcPr>
            <w:tcW w:w="357" w:type="dxa"/>
          </w:tcPr>
          <w:p>
            <w:pPr>
              <w:pStyle w:val="Compact"/>
              <w:jc w:val="left"/>
              <w:spacing w:before="20" w:after="20" w:line="220" w:lineRule="auto"/>
            </w:pPr>
            <w:r>
              <w:rPr>
                <w:sz w:val="15"/>
                <w:szCs w:val="15"/>
              </w:rPr>
              <w:t xml:space="preserve">AFS</w:t>
            </w:r>
          </w:p>
        </w:tc>
        <w:tc>
          <w:tcPr>
            <w:tcW w:w="357" w:type="dxa"/>
          </w:tcPr>
          <w:p>
            <w:pPr>
              <w:pStyle w:val="Compact"/>
              <w:jc w:val="left"/>
              <w:spacing w:before="20" w:after="20" w:line="220" w:lineRule="auto"/>
            </w:pPr>
            <w:r>
              <w:rPr>
                <w:sz w:val="15"/>
                <w:szCs w:val="15"/>
              </w:rPr>
              <w:t xml:space="preserve">Median</w:t>
            </w:r>
          </w:p>
        </w:tc>
        <w:tc>
          <w:tcPr>
            <w:tcW w:w="714" w:type="dxa"/>
          </w:tcPr>
          <w:p>
            <w:pPr>
              <w:pStyle w:val="Compact"/>
              <w:jc w:val="left"/>
              <w:spacing w:before="20" w:after="20" w:line="220" w:lineRule="auto"/>
            </w:pPr>
            <w:r>
              <w:rPr>
                <w:sz w:val="15"/>
                <w:szCs w:val="15"/>
              </w:rPr>
              <w:t xml:space="preserve">Top quartile</w:t>
            </w:r>
          </w:p>
        </w:tc>
        <w:tc>
          <w:tcPr>
            <w:tcW w:w="750" w:type="dxa"/>
          </w:tcPr>
          <w:p>
            <w:pPr>
              <w:pStyle w:val="Compact"/>
              <w:jc w:val="left"/>
              <w:spacing w:before="20" w:after="20" w:line="220" w:lineRule="auto"/>
            </w:pPr>
            <w:r>
              <w:rPr>
                <w:sz w:val="15"/>
                <w:szCs w:val="15"/>
              </w:rPr>
              <w:t xml:space="preserve">AFS base (Rm)</w:t>
            </w:r>
          </w:p>
        </w:tc>
        <w:tc>
          <w:tcPr>
            <w:tcW w:w="929" w:type="dxa"/>
          </w:tcPr>
          <w:p>
            <w:pPr>
              <w:pStyle w:val="Compact"/>
              <w:jc w:val="left"/>
              <w:spacing w:before="20" w:after="20" w:line="220" w:lineRule="auto"/>
            </w:pPr>
            <w:r>
              <w:rPr>
                <w:sz w:val="15"/>
                <w:szCs w:val="15"/>
              </w:rPr>
              <w:t xml:space="preserve">Gap to median (pp)</w:t>
            </w:r>
          </w:p>
        </w:tc>
        <w:tc>
          <w:tcPr>
            <w:tcW w:w="786" w:type="dxa"/>
          </w:tcPr>
          <w:p>
            <w:pPr>
              <w:pStyle w:val="Compact"/>
              <w:jc w:val="left"/>
              <w:spacing w:before="20" w:after="20" w:line="220" w:lineRule="auto"/>
            </w:pPr>
            <w:r>
              <w:rPr>
                <w:sz w:val="15"/>
                <w:szCs w:val="15"/>
              </w:rPr>
              <w:t xml:space="preserve">Gap to Q1 (pp)</w:t>
            </w:r>
          </w:p>
        </w:tc>
        <w:tc>
          <w:tcPr>
            <w:tcW w:w="929" w:type="dxa"/>
          </w:tcPr>
          <w:p>
            <w:pPr>
              <w:pStyle w:val="Compact"/>
              <w:jc w:val="left"/>
              <w:spacing w:before="20" w:after="20" w:line="220" w:lineRule="auto"/>
            </w:pPr>
            <w:r>
              <w:rPr>
                <w:sz w:val="15"/>
                <w:szCs w:val="15"/>
              </w:rPr>
              <w:t xml:space="preserve">Rand gap to median</w:t>
            </w:r>
          </w:p>
        </w:tc>
        <w:tc>
          <w:tcPr>
            <w:tcW w:w="786" w:type="dxa"/>
          </w:tcPr>
          <w:p>
            <w:pPr>
              <w:pStyle w:val="Compact"/>
              <w:jc w:val="left"/>
              <w:spacing w:before="20" w:after="20" w:line="220" w:lineRule="auto"/>
            </w:pPr>
            <w:r>
              <w:rPr>
                <w:sz w:val="15"/>
                <w:szCs w:val="15"/>
              </w:rPr>
              <w:t xml:space="preserve">Rand gap to Q1</w:t>
            </w:r>
          </w:p>
        </w:tc>
        <w:tc>
          <w:tcPr>
            <w:tcW w:w="357" w:type="dxa"/>
          </w:tcPr>
          <w:p>
            <w:pPr>
              <w:pStyle w:val="Compact"/>
              <w:jc w:val="left"/>
              <w:spacing w:before="20" w:after="20" w:line="220" w:lineRule="auto"/>
            </w:pPr>
            <w:r>
              <w:rPr>
                <w:sz w:val="15"/>
                <w:szCs w:val="15"/>
              </w:rPr>
              <w:t xml:space="preserve">Low</w:t>
            </w:r>
          </w:p>
        </w:tc>
        <w:tc>
          <w:tcPr>
            <w:tcW w:w="357" w:type="dxa"/>
          </w:tcPr>
          <w:p>
            <w:pPr>
              <w:pStyle w:val="Compact"/>
              <w:jc w:val="left"/>
              <w:spacing w:before="20" w:after="20" w:line="220" w:lineRule="auto"/>
            </w:pPr>
            <w:r>
              <w:rPr>
                <w:sz w:val="15"/>
                <w:szCs w:val="15"/>
              </w:rPr>
              <w:t xml:space="preserve">Base</w:t>
            </w:r>
          </w:p>
        </w:tc>
        <w:tc>
          <w:tcPr>
            <w:tcW w:w="357" w:type="dxa"/>
          </w:tcPr>
          <w:p>
            <w:pPr>
              <w:pStyle w:val="Compact"/>
              <w:jc w:val="left"/>
              <w:spacing w:before="20" w:after="20" w:line="220" w:lineRule="auto"/>
            </w:pPr>
            <w:r>
              <w:rPr>
                <w:sz w:val="15"/>
                <w:szCs w:val="15"/>
              </w:rPr>
              <w:t xml:space="preserve">High</w:t>
            </w:r>
          </w:p>
        </w:tc>
        <w:tc>
          <w:tcPr>
            <w:tcW w:w="2430" w:type="dxa"/>
          </w:tcPr>
          <w:p>
            <w:pPr>
              <w:pStyle w:val="Compact"/>
              <w:jc w:val="left"/>
              <w:spacing w:before="20" w:after="20" w:line="220" w:lineRule="auto"/>
            </w:pPr>
            <w:r>
              <w:rPr>
                <w:sz w:val="15"/>
                <w:szCs w:val="15"/>
              </w:rPr>
              <w:t xml:space="preserve">Pool</w:t>
            </w:r>
          </w:p>
        </w:tc>
        <w:tc>
          <w:tcPr>
            <w:tcW w:w="2215" w:type="dxa"/>
          </w:tcPr>
          <w:p>
            <w:pPr>
              <w:pStyle w:val="Compact"/>
              <w:jc w:val="left"/>
              <w:spacing w:before="20" w:after="20" w:line="220" w:lineRule="auto"/>
            </w:pPr>
            <w:r>
              <w:rPr>
                <w:sz w:val="15"/>
                <w:szCs w:val="15"/>
              </w:rPr>
              <w:t xml:space="preserve">Function</w:t>
            </w:r>
          </w:p>
        </w:tc>
        <w:tc>
          <w:tcPr>
            <w:tcW w:w="2287" w:type="dxa"/>
          </w:tcPr>
          <w:p>
            <w:pPr>
              <w:pStyle w:val="Compact"/>
              <w:jc w:val="left"/>
              <w:spacing w:before="20" w:after="20" w:line="220" w:lineRule="auto"/>
            </w:pPr>
            <w:r>
              <w:rPr>
                <w:sz w:val="15"/>
                <w:szCs w:val="15"/>
              </w:rPr>
              <w:t xml:space="preserve">Lever class</w:t>
            </w:r>
          </w:p>
        </w:tc>
      </w:tr>
      <w:tr>
        <w:tc>
          <w:tcPr>
            <w:tcW w:w="357" w:type="dxa"/>
          </w:tcPr>
          <w:p>
            <w:pPr>
              <w:pStyle w:val="Compact"/>
              <w:jc w:val="left"/>
              <w:spacing w:before="20" w:after="20" w:line="220" w:lineRule="auto"/>
            </w:pPr>
            <w:r>
              <w:rPr>
                <w:sz w:val="15"/>
                <w:szCs w:val="15"/>
              </w:rPr>
              <w:t xml:space="preserve">M1</w:t>
            </w:r>
          </w:p>
        </w:tc>
        <w:tc>
          <w:tcPr>
            <w:tcW w:w="595" w:type="dxa"/>
          </w:tcPr>
          <w:p>
            <w:pPr>
              <w:pStyle w:val="Compact"/>
              <w:jc w:val="left"/>
              <w:spacing w:before="20" w:after="20" w:line="220" w:lineRule="auto"/>
            </w:pPr>
            <w:r>
              <w:rPr>
                <w:sz w:val="15"/>
                <w:szCs w:val="15"/>
              </w:rPr>
              <w:t xml:space="preserve">all</w:t>
            </w:r>
          </w:p>
        </w:tc>
        <w:tc>
          <w:tcPr>
            <w:tcW w:w="357" w:type="dxa"/>
          </w:tcPr>
          <w:p>
            <w:pPr>
              <w:pStyle w:val="Compact"/>
              <w:jc w:val="left"/>
              <w:spacing w:before="20" w:after="20" w:line="220" w:lineRule="auto"/>
            </w:pPr>
            <w:r>
              <w:rPr>
                <w:sz w:val="15"/>
                <w:szCs w:val="15"/>
              </w:rPr>
              <w:t xml:space="preserve">11.5%</w:t>
            </w:r>
          </w:p>
        </w:tc>
        <w:tc>
          <w:tcPr>
            <w:tcW w:w="357" w:type="dxa"/>
          </w:tcPr>
          <w:p>
            <w:pPr>
              <w:pStyle w:val="Compact"/>
              <w:jc w:val="left"/>
              <w:spacing w:before="20" w:after="20" w:line="220" w:lineRule="auto"/>
            </w:pPr>
            <w:r>
              <w:rPr>
                <w:sz w:val="15"/>
                <w:szCs w:val="15"/>
              </w:rPr>
              <w:t xml:space="preserve">6.8%</w:t>
            </w:r>
          </w:p>
        </w:tc>
        <w:tc>
          <w:tcPr>
            <w:tcW w:w="714" w:type="dxa"/>
          </w:tcPr>
          <w:p>
            <w:pPr>
              <w:pStyle w:val="Compact"/>
              <w:jc w:val="left"/>
              <w:spacing w:before="20" w:after="20" w:line="220" w:lineRule="auto"/>
            </w:pPr>
            <w:r>
              <w:rPr>
                <w:sz w:val="15"/>
                <w:szCs w:val="15"/>
              </w:rPr>
              <w:t xml:space="preserve">3.3%</w:t>
            </w:r>
          </w:p>
        </w:tc>
        <w:tc>
          <w:tcPr>
            <w:tcW w:w="750" w:type="dxa"/>
          </w:tcPr>
          <w:p>
            <w:pPr>
              <w:pStyle w:val="Compact"/>
              <w:jc w:val="left"/>
              <w:spacing w:before="20" w:after="20" w:line="220" w:lineRule="auto"/>
            </w:pPr>
            <w:r>
              <w:rPr>
                <w:sz w:val="15"/>
                <w:szCs w:val="15"/>
              </w:rPr>
              <w:t xml:space="preserve">9,079</w:t>
            </w:r>
          </w:p>
        </w:tc>
        <w:tc>
          <w:tcPr>
            <w:tcW w:w="929" w:type="dxa"/>
          </w:tcPr>
          <w:p>
            <w:pPr>
              <w:pStyle w:val="Compact"/>
              <w:jc w:val="left"/>
              <w:spacing w:before="20" w:after="20" w:line="220" w:lineRule="auto"/>
            </w:pPr>
            <w:r>
              <w:rPr>
                <w:sz w:val="15"/>
                <w:szCs w:val="15"/>
              </w:rPr>
              <w:t xml:space="preserve">4.6%</w:t>
            </w:r>
          </w:p>
        </w:tc>
        <w:tc>
          <w:tcPr>
            <w:tcW w:w="786" w:type="dxa"/>
          </w:tcPr>
          <w:p>
            <w:pPr>
              <w:pStyle w:val="Compact"/>
              <w:jc w:val="left"/>
              <w:spacing w:before="20" w:after="20" w:line="220" w:lineRule="auto"/>
            </w:pPr>
            <w:r>
              <w:rPr>
                <w:sz w:val="15"/>
                <w:szCs w:val="15"/>
              </w:rPr>
              <w:t xml:space="preserve">8.2%</w:t>
            </w:r>
          </w:p>
        </w:tc>
        <w:tc>
          <w:tcPr>
            <w:tcW w:w="929" w:type="dxa"/>
          </w:tcPr>
          <w:p>
            <w:pPr>
              <w:pStyle w:val="Compact"/>
              <w:jc w:val="left"/>
              <w:spacing w:before="20" w:after="20" w:line="220" w:lineRule="auto"/>
            </w:pPr>
            <w:r>
              <w:rPr>
                <w:sz w:val="15"/>
                <w:szCs w:val="15"/>
              </w:rPr>
              <w:t xml:space="preserve">420</w:t>
            </w:r>
          </w:p>
        </w:tc>
        <w:tc>
          <w:tcPr>
            <w:tcW w:w="786" w:type="dxa"/>
          </w:tcPr>
          <w:p>
            <w:pPr>
              <w:pStyle w:val="Compact"/>
              <w:jc w:val="left"/>
              <w:spacing w:before="20" w:after="20" w:line="220" w:lineRule="auto"/>
            </w:pPr>
            <w:r>
              <w:rPr>
                <w:sz w:val="15"/>
                <w:szCs w:val="15"/>
              </w:rPr>
              <w:t xml:space="preserve">742</w:t>
            </w:r>
          </w:p>
        </w:tc>
        <w:tc>
          <w:tcPr>
            <w:tcW w:w="357" w:type="dxa"/>
          </w:tcPr>
          <w:p>
            <w:pPr>
              <w:pStyle w:val="Compact"/>
              <w:jc w:val="left"/>
              <w:spacing w:before="20" w:after="20" w:line="220" w:lineRule="auto"/>
            </w:pPr>
            <w:r>
              <w:rPr>
                <w:sz w:val="15"/>
                <w:szCs w:val="15"/>
              </w:rPr>
              <w:t xml:space="preserve">210</w:t>
            </w:r>
          </w:p>
        </w:tc>
        <w:tc>
          <w:tcPr>
            <w:tcW w:w="357" w:type="dxa"/>
          </w:tcPr>
          <w:p>
            <w:pPr>
              <w:pStyle w:val="Compact"/>
              <w:jc w:val="left"/>
              <w:spacing w:before="20" w:after="20" w:line="220" w:lineRule="auto"/>
            </w:pPr>
            <w:r>
              <w:rPr>
                <w:sz w:val="15"/>
                <w:szCs w:val="15"/>
              </w:rPr>
              <w:t xml:space="preserve">315</w:t>
            </w:r>
          </w:p>
        </w:tc>
        <w:tc>
          <w:tcPr>
            <w:tcW w:w="357" w:type="dxa"/>
          </w:tcPr>
          <w:p>
            <w:pPr>
              <w:pStyle w:val="Compact"/>
              <w:jc w:val="left"/>
              <w:spacing w:before="20" w:after="20" w:line="220" w:lineRule="auto"/>
            </w:pPr>
            <w:r>
              <w:rPr>
                <w:sz w:val="15"/>
                <w:szCs w:val="15"/>
              </w:rPr>
              <w:t xml:space="preserve">556</w:t>
            </w:r>
          </w:p>
        </w:tc>
        <w:tc>
          <w:tcPr>
            <w:tcW w:w="2430" w:type="dxa"/>
          </w:tcPr>
          <w:p>
            <w:pPr>
              <w:pStyle w:val="Compact"/>
              <w:jc w:val="left"/>
              <w:spacing w:before="20" w:after="20" w:line="220" w:lineRule="auto"/>
            </w:pPr>
            <w:r>
              <w:rPr>
                <w:sz w:val="15"/>
                <w:szCs w:val="15"/>
              </w:rPr>
              <w:t xml:space="preserve">Pool 3 operating expense</w:t>
            </w:r>
          </w:p>
        </w:tc>
        <w:tc>
          <w:tcPr>
            <w:tcW w:w="2215" w:type="dxa"/>
          </w:tcPr>
          <w:p>
            <w:pPr>
              <w:pStyle w:val="Compact"/>
              <w:jc w:val="left"/>
              <w:spacing w:before="20" w:after="20" w:line="220" w:lineRule="auto"/>
            </w:pPr>
            <w:r>
              <w:rPr>
                <w:sz w:val="15"/>
                <w:szCs w:val="15"/>
              </w:rPr>
              <w:t xml:space="preserve">All functions (governance, finance, technology weight)</w:t>
            </w:r>
          </w:p>
        </w:tc>
        <w:tc>
          <w:tcPr>
            <w:tcW w:w="2287" w:type="dxa"/>
          </w:tcPr>
          <w:p>
            <w:pPr>
              <w:pStyle w:val="Compact"/>
              <w:jc w:val="left"/>
              <w:spacing w:before="20" w:after="20" w:line="220" w:lineRule="auto"/>
            </w:pPr>
            <w:r>
              <w:rPr>
                <w:sz w:val="15"/>
                <w:szCs w:val="15"/>
              </w:rPr>
              <w:t xml:space="preserve">Consolidation / Structural (direct)</w:t>
            </w:r>
          </w:p>
        </w:tc>
      </w:tr>
      <w:tr>
        <w:tc>
          <w:tcPr>
            <w:tcW w:w="357" w:type="dxa"/>
          </w:tcPr>
          <w:p>
            <w:pPr>
              <w:pStyle w:val="Compact"/>
              <w:jc w:val="left"/>
              <w:spacing w:before="20" w:after="20" w:line="220" w:lineRule="auto"/>
            </w:pPr>
            <w:r>
              <w:rPr>
                <w:sz w:val="15"/>
                <w:szCs w:val="15"/>
              </w:rPr>
              <w:t xml:space="preserve">M1</w:t>
            </w:r>
          </w:p>
        </w:tc>
        <w:tc>
          <w:tcPr>
            <w:tcW w:w="595" w:type="dxa"/>
          </w:tcPr>
          <w:p>
            <w:pPr>
              <w:pStyle w:val="Compact"/>
              <w:jc w:val="left"/>
              <w:spacing w:before="20" w:after="20" w:line="220" w:lineRule="auto"/>
            </w:pPr>
            <w:r>
              <w:rPr>
                <w:sz w:val="15"/>
                <w:szCs w:val="15"/>
              </w:rPr>
              <w:t xml:space="preserve">life</w:t>
            </w:r>
          </w:p>
        </w:tc>
        <w:tc>
          <w:tcPr>
            <w:tcW w:w="357" w:type="dxa"/>
          </w:tcPr>
          <w:p>
            <w:pPr>
              <w:pStyle w:val="Compact"/>
              <w:jc w:val="left"/>
              <w:spacing w:before="20" w:after="20" w:line="220" w:lineRule="auto"/>
            </w:pPr>
            <w:r>
              <w:rPr>
                <w:sz w:val="15"/>
                <w:szCs w:val="15"/>
              </w:rPr>
              <w:t xml:space="preserve">4.0%</w:t>
            </w:r>
          </w:p>
        </w:tc>
        <w:tc>
          <w:tcPr>
            <w:tcW w:w="357" w:type="dxa"/>
          </w:tcPr>
          <w:p>
            <w:pPr>
              <w:pStyle w:val="Compact"/>
              <w:jc w:val="left"/>
              <w:spacing w:before="20" w:after="20" w:line="220" w:lineRule="auto"/>
            </w:pPr>
            <w:r>
              <w:rPr>
                <w:sz w:val="15"/>
                <w:szCs w:val="15"/>
              </w:rPr>
              <w:t xml:space="preserve">13.8%</w:t>
            </w:r>
          </w:p>
        </w:tc>
        <w:tc>
          <w:tcPr>
            <w:tcW w:w="714" w:type="dxa"/>
          </w:tcPr>
          <w:p>
            <w:pPr>
              <w:pStyle w:val="Compact"/>
              <w:jc w:val="left"/>
              <w:spacing w:before="20" w:after="20" w:line="220" w:lineRule="auto"/>
            </w:pPr>
            <w:r>
              <w:rPr>
                <w:sz w:val="15"/>
                <w:szCs w:val="15"/>
              </w:rPr>
              <w:t xml:space="preserve">4.2%</w:t>
            </w:r>
          </w:p>
        </w:tc>
        <w:tc>
          <w:tcPr>
            <w:tcW w:w="750" w:type="dxa"/>
          </w:tcPr>
          <w:p>
            <w:pPr>
              <w:pStyle w:val="Compact"/>
              <w:jc w:val="left"/>
              <w:spacing w:before="20" w:after="20" w:line="220" w:lineRule="auto"/>
            </w:pPr>
            <w:r>
              <w:rPr>
                <w:sz w:val="15"/>
                <w:szCs w:val="15"/>
              </w:rPr>
              <w:t xml:space="preserve">5,310</w:t>
            </w:r>
          </w:p>
        </w:tc>
        <w:tc>
          <w:tcPr>
            <w:tcW w:w="929" w:type="dxa"/>
          </w:tcPr>
          <w:p>
            <w:pPr>
              <w:pStyle w:val="Compact"/>
              <w:jc w:val="left"/>
              <w:spacing w:before="20" w:after="20" w:line="220" w:lineRule="auto"/>
            </w:pPr>
            <w:r>
              <w:rPr>
                <w:sz w:val="15"/>
                <w:szCs w:val="15"/>
              </w:rPr>
              <w:t xml:space="preserve">-9.8%</w:t>
            </w:r>
          </w:p>
        </w:tc>
        <w:tc>
          <w:tcPr>
            <w:tcW w:w="786" w:type="dxa"/>
          </w:tcPr>
          <w:p>
            <w:pPr>
              <w:pStyle w:val="Compact"/>
              <w:jc w:val="left"/>
              <w:spacing w:before="20" w:after="20" w:line="220" w:lineRule="auto"/>
            </w:pPr>
            <w:r>
              <w:rPr>
                <w:sz w:val="15"/>
                <w:szCs w:val="15"/>
              </w:rPr>
              <w:t xml:space="preserve">-0.2%</w:t>
            </w:r>
          </w:p>
        </w:tc>
        <w:tc>
          <w:tcPr>
            <w:tcW w:w="929" w:type="dxa"/>
          </w:tcPr>
          <w:p>
            <w:pPr>
              <w:pStyle w:val="Compact"/>
              <w:jc w:val="left"/>
              <w:spacing w:before="20" w:after="20" w:line="220" w:lineRule="auto"/>
            </w:pPr>
            <w:r>
              <w:rPr>
                <w:sz w:val="15"/>
                <w:szCs w:val="15"/>
              </w:rPr>
              <w:t xml:space="preserve">-522</w:t>
            </w:r>
          </w:p>
        </w:tc>
        <w:tc>
          <w:tcPr>
            <w:tcW w:w="786" w:type="dxa"/>
          </w:tcPr>
          <w:p>
            <w:pPr>
              <w:pStyle w:val="Compact"/>
              <w:jc w:val="left"/>
              <w:spacing w:before="20" w:after="20" w:line="220" w:lineRule="auto"/>
            </w:pPr>
            <w:r>
              <w:rPr>
                <w:sz w:val="15"/>
                <w:szCs w:val="15"/>
              </w:rPr>
              <w:t xml:space="preserve">-9</w:t>
            </w:r>
          </w:p>
        </w:tc>
        <w:tc>
          <w:tcPr>
            <w:tcW w:w="357" w:type="dxa"/>
          </w:tcPr>
          <w:p>
            <w:pPr>
              <w:pStyle w:val="Compact"/>
              <w:jc w:val="left"/>
              <w:spacing w:before="20" w:after="20" w:line="220" w:lineRule="auto"/>
            </w:pPr>
            <w:r>
              <w:rPr>
                <w:sz w:val="15"/>
                <w:szCs w:val="15"/>
              </w:rPr>
              <w:t xml:space="preserve">-261</w:t>
            </w:r>
          </w:p>
        </w:tc>
        <w:tc>
          <w:tcPr>
            <w:tcW w:w="357" w:type="dxa"/>
          </w:tcPr>
          <w:p>
            <w:pPr>
              <w:pStyle w:val="Compact"/>
              <w:jc w:val="left"/>
              <w:spacing w:before="20" w:after="20" w:line="220" w:lineRule="auto"/>
            </w:pPr>
            <w:r>
              <w:rPr>
                <w:sz w:val="15"/>
                <w:szCs w:val="15"/>
              </w:rPr>
              <w:t xml:space="preserve">-392</w:t>
            </w:r>
          </w:p>
        </w:tc>
        <w:tc>
          <w:tcPr>
            <w:tcW w:w="357" w:type="dxa"/>
          </w:tcPr>
          <w:p>
            <w:pPr>
              <w:pStyle w:val="Compact"/>
              <w:jc w:val="left"/>
              <w:spacing w:before="20" w:after="20" w:line="220" w:lineRule="auto"/>
            </w:pPr>
            <w:r>
              <w:rPr>
                <w:sz w:val="15"/>
                <w:szCs w:val="15"/>
              </w:rPr>
              <w:t xml:space="preserve">-7</w:t>
            </w:r>
          </w:p>
        </w:tc>
        <w:tc>
          <w:tcPr>
            <w:tcW w:w="2430" w:type="dxa"/>
          </w:tcPr>
          <w:p>
            <w:pPr>
              <w:pStyle w:val="Compact"/>
              <w:jc w:val="left"/>
              <w:spacing w:before="20" w:after="20" w:line="220" w:lineRule="auto"/>
            </w:pPr>
            <w:r>
              <w:rPr>
                <w:sz w:val="15"/>
                <w:szCs w:val="15"/>
              </w:rPr>
              <w:t xml:space="preserve">Pool 3</w:t>
            </w:r>
          </w:p>
        </w:tc>
        <w:tc>
          <w:tcPr>
            <w:tcW w:w="2215" w:type="dxa"/>
          </w:tcPr>
          <w:p>
            <w:pPr>
              <w:pStyle w:val="Compact"/>
              <w:jc w:val="left"/>
              <w:spacing w:before="20" w:after="20" w:line="220" w:lineRule="auto"/>
            </w:pPr>
            <w:r>
              <w:rPr>
                <w:sz w:val="15"/>
                <w:szCs w:val="15"/>
              </w:rPr>
              <w:t xml:space="preserve">Policy administration, finance</w:t>
            </w:r>
          </w:p>
        </w:tc>
        <w:tc>
          <w:tcPr>
            <w:tcW w:w="2287" w:type="dxa"/>
          </w:tcPr>
          <w:p>
            <w:pPr>
              <w:pStyle w:val="Compact"/>
              <w:jc w:val="left"/>
              <w:spacing w:before="20" w:after="20" w:line="220" w:lineRule="auto"/>
            </w:pPr>
            <w:r>
              <w:rPr>
                <w:sz w:val="15"/>
                <w:szCs w:val="15"/>
              </w:rPr>
              <w:t xml:space="preserve">Consolidation (direct)</w:t>
            </w:r>
          </w:p>
        </w:tc>
      </w:tr>
      <w:tr>
        <w:tc>
          <w:tcPr>
            <w:tcW w:w="357" w:type="dxa"/>
          </w:tcPr>
          <w:p>
            <w:pPr>
              <w:pStyle w:val="Compact"/>
              <w:jc w:val="left"/>
              <w:spacing w:before="20" w:after="20" w:line="220" w:lineRule="auto"/>
            </w:pPr>
            <w:r>
              <w:rPr>
                <w:sz w:val="15"/>
                <w:szCs w:val="15"/>
              </w:rPr>
              <w:t xml:space="preserve">M1</w:t>
            </w:r>
          </w:p>
        </w:tc>
        <w:tc>
          <w:tcPr>
            <w:tcW w:w="595" w:type="dxa"/>
          </w:tcPr>
          <w:p>
            <w:pPr>
              <w:pStyle w:val="Compact"/>
              <w:jc w:val="left"/>
              <w:spacing w:before="20" w:after="20" w:line="220" w:lineRule="auto"/>
            </w:pPr>
            <w:r>
              <w:rPr>
                <w:sz w:val="15"/>
                <w:szCs w:val="15"/>
              </w:rPr>
              <w:t xml:space="preserve">nonlife</w:t>
            </w:r>
          </w:p>
        </w:tc>
        <w:tc>
          <w:tcPr>
            <w:tcW w:w="357" w:type="dxa"/>
          </w:tcPr>
          <w:p>
            <w:pPr>
              <w:pStyle w:val="Compact"/>
              <w:jc w:val="left"/>
              <w:spacing w:before="20" w:after="20" w:line="220" w:lineRule="auto"/>
            </w:pPr>
            <w:r>
              <w:rPr>
                <w:sz w:val="15"/>
                <w:szCs w:val="15"/>
              </w:rPr>
              <w:t xml:space="preserve">12.3%</w:t>
            </w:r>
          </w:p>
        </w:tc>
        <w:tc>
          <w:tcPr>
            <w:tcW w:w="357" w:type="dxa"/>
          </w:tcPr>
          <w:p>
            <w:pPr>
              <w:pStyle w:val="Compact"/>
              <w:jc w:val="left"/>
              <w:spacing w:before="20" w:after="20" w:line="220" w:lineRule="auto"/>
            </w:pPr>
            <w:r>
              <w:rPr>
                <w:sz w:val="15"/>
                <w:szCs w:val="15"/>
              </w:rPr>
              <w:t xml:space="preserve">3.8%</w:t>
            </w:r>
          </w:p>
        </w:tc>
        <w:tc>
          <w:tcPr>
            <w:tcW w:w="714" w:type="dxa"/>
          </w:tcPr>
          <w:p>
            <w:pPr>
              <w:pStyle w:val="Compact"/>
              <w:jc w:val="left"/>
              <w:spacing w:before="20" w:after="20" w:line="220" w:lineRule="auto"/>
            </w:pPr>
            <w:r>
              <w:rPr>
                <w:sz w:val="15"/>
                <w:szCs w:val="15"/>
              </w:rPr>
              <w:t xml:space="preserve">3.0%</w:t>
            </w:r>
          </w:p>
        </w:tc>
        <w:tc>
          <w:tcPr>
            <w:tcW w:w="750" w:type="dxa"/>
          </w:tcPr>
          <w:p>
            <w:pPr>
              <w:pStyle w:val="Compact"/>
              <w:jc w:val="left"/>
              <w:spacing w:before="20" w:after="20" w:line="220" w:lineRule="auto"/>
            </w:pPr>
            <w:r>
              <w:rPr>
                <w:sz w:val="15"/>
                <w:szCs w:val="15"/>
              </w:rPr>
              <w:t xml:space="preserve">4,102</w:t>
            </w:r>
          </w:p>
        </w:tc>
        <w:tc>
          <w:tcPr>
            <w:tcW w:w="929" w:type="dxa"/>
          </w:tcPr>
          <w:p>
            <w:pPr>
              <w:pStyle w:val="Compact"/>
              <w:jc w:val="left"/>
              <w:spacing w:before="20" w:after="20" w:line="220" w:lineRule="auto"/>
            </w:pPr>
            <w:r>
              <w:rPr>
                <w:sz w:val="15"/>
                <w:szCs w:val="15"/>
              </w:rPr>
              <w:t xml:space="preserve">8.5%</w:t>
            </w:r>
          </w:p>
        </w:tc>
        <w:tc>
          <w:tcPr>
            <w:tcW w:w="786" w:type="dxa"/>
          </w:tcPr>
          <w:p>
            <w:pPr>
              <w:pStyle w:val="Compact"/>
              <w:jc w:val="left"/>
              <w:spacing w:before="20" w:after="20" w:line="220" w:lineRule="auto"/>
            </w:pPr>
            <w:r>
              <w:rPr>
                <w:sz w:val="15"/>
                <w:szCs w:val="15"/>
              </w:rPr>
              <w:t xml:space="preserve">9.3%</w:t>
            </w:r>
          </w:p>
        </w:tc>
        <w:tc>
          <w:tcPr>
            <w:tcW w:w="929" w:type="dxa"/>
          </w:tcPr>
          <w:p>
            <w:pPr>
              <w:pStyle w:val="Compact"/>
              <w:jc w:val="left"/>
              <w:spacing w:before="20" w:after="20" w:line="220" w:lineRule="auto"/>
            </w:pPr>
            <w:r>
              <w:rPr>
                <w:sz w:val="15"/>
                <w:szCs w:val="15"/>
              </w:rPr>
              <w:t xml:space="preserve">349</w:t>
            </w:r>
          </w:p>
        </w:tc>
        <w:tc>
          <w:tcPr>
            <w:tcW w:w="786" w:type="dxa"/>
          </w:tcPr>
          <w:p>
            <w:pPr>
              <w:pStyle w:val="Compact"/>
              <w:jc w:val="left"/>
              <w:spacing w:before="20" w:after="20" w:line="220" w:lineRule="auto"/>
            </w:pPr>
            <w:r>
              <w:rPr>
                <w:sz w:val="15"/>
                <w:szCs w:val="15"/>
              </w:rPr>
              <w:t xml:space="preserve">381</w:t>
            </w:r>
          </w:p>
        </w:tc>
        <w:tc>
          <w:tcPr>
            <w:tcW w:w="357" w:type="dxa"/>
          </w:tcPr>
          <w:p>
            <w:pPr>
              <w:pStyle w:val="Compact"/>
              <w:jc w:val="left"/>
              <w:spacing w:before="20" w:after="20" w:line="220" w:lineRule="auto"/>
            </w:pPr>
            <w:r>
              <w:rPr>
                <w:sz w:val="15"/>
                <w:szCs w:val="15"/>
              </w:rPr>
              <w:t xml:space="preserve">175</w:t>
            </w:r>
          </w:p>
        </w:tc>
        <w:tc>
          <w:tcPr>
            <w:tcW w:w="357" w:type="dxa"/>
          </w:tcPr>
          <w:p>
            <w:pPr>
              <w:pStyle w:val="Compact"/>
              <w:jc w:val="left"/>
              <w:spacing w:before="20" w:after="20" w:line="220" w:lineRule="auto"/>
            </w:pPr>
            <w:r>
              <w:rPr>
                <w:sz w:val="15"/>
                <w:szCs w:val="15"/>
              </w:rPr>
              <w:t xml:space="preserve">262</w:t>
            </w:r>
          </w:p>
        </w:tc>
        <w:tc>
          <w:tcPr>
            <w:tcW w:w="357" w:type="dxa"/>
          </w:tcPr>
          <w:p>
            <w:pPr>
              <w:pStyle w:val="Compact"/>
              <w:jc w:val="left"/>
              <w:spacing w:before="20" w:after="20" w:line="220" w:lineRule="auto"/>
            </w:pPr>
            <w:r>
              <w:rPr>
                <w:sz w:val="15"/>
                <w:szCs w:val="15"/>
              </w:rPr>
              <w:t xml:space="preserve">285</w:t>
            </w:r>
          </w:p>
        </w:tc>
        <w:tc>
          <w:tcPr>
            <w:tcW w:w="2430" w:type="dxa"/>
          </w:tcPr>
          <w:p>
            <w:pPr>
              <w:pStyle w:val="Compact"/>
              <w:jc w:val="left"/>
              <w:spacing w:before="20" w:after="20" w:line="220" w:lineRule="auto"/>
            </w:pPr>
            <w:r>
              <w:rPr>
                <w:sz w:val="15"/>
                <w:szCs w:val="15"/>
              </w:rPr>
              <w:t xml:space="preserve">Pool 3</w:t>
            </w:r>
          </w:p>
        </w:tc>
        <w:tc>
          <w:tcPr>
            <w:tcW w:w="2215" w:type="dxa"/>
          </w:tcPr>
          <w:p>
            <w:pPr>
              <w:pStyle w:val="Compact"/>
              <w:jc w:val="left"/>
              <w:spacing w:before="20" w:after="20" w:line="220" w:lineRule="auto"/>
            </w:pPr>
            <w:r>
              <w:rPr>
                <w:sz w:val="15"/>
                <w:szCs w:val="15"/>
              </w:rPr>
              <w:t xml:space="preserve">Policy administration, claims</w:t>
            </w:r>
          </w:p>
        </w:tc>
        <w:tc>
          <w:tcPr>
            <w:tcW w:w="2287" w:type="dxa"/>
          </w:tcPr>
          <w:p>
            <w:pPr>
              <w:pStyle w:val="Compact"/>
              <w:jc w:val="left"/>
              <w:spacing w:before="20" w:after="20" w:line="220" w:lineRule="auto"/>
            </w:pPr>
            <w:r>
              <w:rPr>
                <w:sz w:val="15"/>
                <w:szCs w:val="15"/>
              </w:rPr>
              <w:t xml:space="preserve">Consolidation (direct), Productivity (adjacent)</w:t>
            </w:r>
          </w:p>
        </w:tc>
      </w:tr>
      <w:tr>
        <w:tc>
          <w:tcPr>
            <w:tcW w:w="357" w:type="dxa"/>
          </w:tcPr>
          <w:p>
            <w:pPr>
              <w:pStyle w:val="Compact"/>
              <w:jc w:val="left"/>
              <w:spacing w:before="20" w:after="20" w:line="220" w:lineRule="auto"/>
            </w:pPr>
            <w:r>
              <w:rPr>
                <w:sz w:val="15"/>
                <w:szCs w:val="15"/>
              </w:rPr>
              <w:t xml:space="preserve">M2</w:t>
            </w:r>
          </w:p>
        </w:tc>
        <w:tc>
          <w:tcPr>
            <w:tcW w:w="595" w:type="dxa"/>
          </w:tcPr>
          <w:p>
            <w:pPr>
              <w:pStyle w:val="Compact"/>
              <w:jc w:val="left"/>
              <w:spacing w:before="20" w:after="20" w:line="220" w:lineRule="auto"/>
            </w:pPr>
            <w:r>
              <w:rPr>
                <w:sz w:val="15"/>
                <w:szCs w:val="15"/>
              </w:rPr>
              <w:t xml:space="preserve">all</w:t>
            </w:r>
          </w:p>
        </w:tc>
        <w:tc>
          <w:tcPr>
            <w:tcW w:w="357" w:type="dxa"/>
          </w:tcPr>
          <w:p>
            <w:pPr>
              <w:pStyle w:val="Compact"/>
              <w:jc w:val="left"/>
              <w:spacing w:before="20" w:after="20" w:line="220" w:lineRule="auto"/>
            </w:pPr>
            <w:r>
              <w:rPr>
                <w:sz w:val="15"/>
                <w:szCs w:val="15"/>
              </w:rPr>
              <w:t xml:space="preserve">19.5%</w:t>
            </w:r>
          </w:p>
        </w:tc>
        <w:tc>
          <w:tcPr>
            <w:tcW w:w="357" w:type="dxa"/>
          </w:tcPr>
          <w:p>
            <w:pPr>
              <w:pStyle w:val="Compact"/>
              <w:jc w:val="left"/>
              <w:spacing w:before="20" w:after="20" w:line="220" w:lineRule="auto"/>
            </w:pPr>
            <w:r>
              <w:rPr>
                <w:sz w:val="15"/>
                <w:szCs w:val="15"/>
              </w:rPr>
              <w:t xml:space="preserve">22.0%</w:t>
            </w:r>
          </w:p>
        </w:tc>
        <w:tc>
          <w:tcPr>
            <w:tcW w:w="714" w:type="dxa"/>
          </w:tcPr>
          <w:p>
            <w:pPr>
              <w:pStyle w:val="Compact"/>
              <w:jc w:val="left"/>
              <w:spacing w:before="20" w:after="20" w:line="220" w:lineRule="auto"/>
            </w:pPr>
            <w:r>
              <w:rPr>
                <w:sz w:val="15"/>
                <w:szCs w:val="15"/>
              </w:rPr>
              <w:t xml:space="preserve">13.3%</w:t>
            </w:r>
          </w:p>
        </w:tc>
        <w:tc>
          <w:tcPr>
            <w:tcW w:w="750" w:type="dxa"/>
          </w:tcPr>
          <w:p>
            <w:pPr>
              <w:pStyle w:val="Compact"/>
              <w:jc w:val="left"/>
              <w:spacing w:before="20" w:after="20" w:line="220" w:lineRule="auto"/>
            </w:pPr>
            <w:r>
              <w:rPr>
                <w:sz w:val="15"/>
                <w:szCs w:val="15"/>
              </w:rPr>
              <w:t xml:space="preserve">9,079</w:t>
            </w:r>
          </w:p>
        </w:tc>
        <w:tc>
          <w:tcPr>
            <w:tcW w:w="929" w:type="dxa"/>
          </w:tcPr>
          <w:p>
            <w:pPr>
              <w:pStyle w:val="Compact"/>
              <w:jc w:val="left"/>
              <w:spacing w:before="20" w:after="20" w:line="220" w:lineRule="auto"/>
            </w:pPr>
            <w:r>
              <w:rPr>
                <w:sz w:val="15"/>
                <w:szCs w:val="15"/>
              </w:rPr>
              <w:t xml:space="preserve">-2.6%</w:t>
            </w:r>
          </w:p>
        </w:tc>
        <w:tc>
          <w:tcPr>
            <w:tcW w:w="786" w:type="dxa"/>
          </w:tcPr>
          <w:p>
            <w:pPr>
              <w:pStyle w:val="Compact"/>
              <w:jc w:val="left"/>
              <w:spacing w:before="20" w:after="20" w:line="220" w:lineRule="auto"/>
            </w:pPr>
            <w:r>
              <w:rPr>
                <w:sz w:val="15"/>
                <w:szCs w:val="15"/>
              </w:rPr>
              <w:t xml:space="preserve">6.2%</w:t>
            </w:r>
          </w:p>
        </w:tc>
        <w:tc>
          <w:tcPr>
            <w:tcW w:w="929" w:type="dxa"/>
          </w:tcPr>
          <w:p>
            <w:pPr>
              <w:pStyle w:val="Compact"/>
              <w:jc w:val="left"/>
              <w:spacing w:before="20" w:after="20" w:line="220" w:lineRule="auto"/>
            </w:pPr>
            <w:r>
              <w:rPr>
                <w:sz w:val="15"/>
                <w:szCs w:val="15"/>
              </w:rPr>
              <w:t xml:space="preserve">-233</w:t>
            </w:r>
          </w:p>
        </w:tc>
        <w:tc>
          <w:tcPr>
            <w:tcW w:w="786" w:type="dxa"/>
          </w:tcPr>
          <w:p>
            <w:pPr>
              <w:pStyle w:val="Compact"/>
              <w:jc w:val="left"/>
              <w:spacing w:before="20" w:after="20" w:line="220" w:lineRule="auto"/>
            </w:pPr>
            <w:r>
              <w:rPr>
                <w:sz w:val="15"/>
                <w:szCs w:val="15"/>
              </w:rPr>
              <w:t xml:space="preserve">563</w:t>
            </w:r>
          </w:p>
        </w:tc>
        <w:tc>
          <w:tcPr>
            <w:tcW w:w="357" w:type="dxa"/>
          </w:tcPr>
          <w:p>
            <w:pPr>
              <w:pStyle w:val="Compact"/>
              <w:jc w:val="left"/>
              <w:spacing w:before="20" w:after="20" w:line="220" w:lineRule="auto"/>
            </w:pPr>
            <w:r>
              <w:rPr>
                <w:sz w:val="15"/>
                <w:szCs w:val="15"/>
              </w:rPr>
              <w:t xml:space="preserve">-117</w:t>
            </w:r>
          </w:p>
        </w:tc>
        <w:tc>
          <w:tcPr>
            <w:tcW w:w="357" w:type="dxa"/>
          </w:tcPr>
          <w:p>
            <w:pPr>
              <w:pStyle w:val="Compact"/>
              <w:jc w:val="left"/>
              <w:spacing w:before="20" w:after="20" w:line="220" w:lineRule="auto"/>
            </w:pPr>
            <w:r>
              <w:rPr>
                <w:sz w:val="15"/>
                <w:szCs w:val="15"/>
              </w:rPr>
              <w:t xml:space="preserve">-175</w:t>
            </w:r>
          </w:p>
        </w:tc>
        <w:tc>
          <w:tcPr>
            <w:tcW w:w="357" w:type="dxa"/>
          </w:tcPr>
          <w:p>
            <w:pPr>
              <w:pStyle w:val="Compact"/>
              <w:jc w:val="left"/>
              <w:spacing w:before="20" w:after="20" w:line="220" w:lineRule="auto"/>
            </w:pPr>
            <w:r>
              <w:rPr>
                <w:sz w:val="15"/>
                <w:szCs w:val="15"/>
              </w:rPr>
              <w:t xml:space="preserve">422</w:t>
            </w:r>
          </w:p>
        </w:tc>
        <w:tc>
          <w:tcPr>
            <w:tcW w:w="2430" w:type="dxa"/>
          </w:tcPr>
          <w:p>
            <w:pPr>
              <w:pStyle w:val="Compact"/>
              <w:jc w:val="left"/>
              <w:spacing w:before="20" w:after="20" w:line="220" w:lineRule="auto"/>
            </w:pPr>
            <w:r>
              <w:rPr>
                <w:sz w:val="15"/>
                <w:szCs w:val="15"/>
              </w:rPr>
              <w:t xml:space="preserve">Pool 3 operating expense</w:t>
            </w:r>
          </w:p>
        </w:tc>
        <w:tc>
          <w:tcPr>
            <w:tcW w:w="2215" w:type="dxa"/>
          </w:tcPr>
          <w:p>
            <w:pPr>
              <w:pStyle w:val="Compact"/>
              <w:jc w:val="left"/>
              <w:spacing w:before="20" w:after="20" w:line="220" w:lineRule="auto"/>
            </w:pPr>
            <w:r>
              <w:rPr>
                <w:sz w:val="15"/>
                <w:szCs w:val="15"/>
              </w:rPr>
              <w:t xml:space="preserve">All functions</w:t>
            </w:r>
          </w:p>
        </w:tc>
        <w:tc>
          <w:tcPr>
            <w:tcW w:w="2287" w:type="dxa"/>
          </w:tcPr>
          <w:p>
            <w:pPr>
              <w:pStyle w:val="Compact"/>
              <w:jc w:val="left"/>
              <w:spacing w:before="20" w:after="20" w:line="220" w:lineRule="auto"/>
            </w:pPr>
            <w:r>
              <w:rPr>
                <w:sz w:val="15"/>
                <w:szCs w:val="15"/>
              </w:rPr>
              <w:t xml:space="preserve">Consolidation, Productivity, Demand</w:t>
            </w:r>
          </w:p>
        </w:tc>
      </w:tr>
      <w:tr>
        <w:tc>
          <w:tcPr>
            <w:tcW w:w="357" w:type="dxa"/>
          </w:tcPr>
          <w:p>
            <w:pPr>
              <w:pStyle w:val="Compact"/>
              <w:jc w:val="left"/>
              <w:spacing w:before="20" w:after="20" w:line="220" w:lineRule="auto"/>
            </w:pPr>
            <w:r>
              <w:rPr>
                <w:sz w:val="15"/>
                <w:szCs w:val="15"/>
              </w:rPr>
              <w:t xml:space="preserve">M2</w:t>
            </w:r>
          </w:p>
        </w:tc>
        <w:tc>
          <w:tcPr>
            <w:tcW w:w="595" w:type="dxa"/>
          </w:tcPr>
          <w:p>
            <w:pPr>
              <w:pStyle w:val="Compact"/>
              <w:jc w:val="left"/>
              <w:spacing w:before="20" w:after="20" w:line="220" w:lineRule="auto"/>
            </w:pPr>
            <w:r>
              <w:rPr>
                <w:sz w:val="15"/>
                <w:szCs w:val="15"/>
              </w:rPr>
              <w:t xml:space="preserve">composite</w:t>
            </w:r>
          </w:p>
        </w:tc>
        <w:tc>
          <w:tcPr>
            <w:tcW w:w="357" w:type="dxa"/>
          </w:tcPr>
          <w:p>
            <w:pPr>
              <w:pStyle w:val="Compact"/>
              <w:jc w:val="left"/>
              <w:spacing w:before="20" w:after="20" w:line="220" w:lineRule="auto"/>
            </w:pPr>
            <w:r>
              <w:rPr>
                <w:sz w:val="15"/>
                <w:szCs w:val="15"/>
              </w:rPr>
              <w:t xml:space="preserve">19.5%</w:t>
            </w:r>
          </w:p>
        </w:tc>
        <w:tc>
          <w:tcPr>
            <w:tcW w:w="357" w:type="dxa"/>
          </w:tcPr>
          <w:p>
            <w:pPr>
              <w:pStyle w:val="Compact"/>
              <w:jc w:val="left"/>
              <w:spacing w:before="20" w:after="20" w:line="220" w:lineRule="auto"/>
            </w:pPr>
            <w:r>
              <w:rPr>
                <w:sz w:val="15"/>
                <w:szCs w:val="15"/>
              </w:rPr>
              <w:t xml:space="preserve">23.5%</w:t>
            </w:r>
          </w:p>
        </w:tc>
        <w:tc>
          <w:tcPr>
            <w:tcW w:w="714" w:type="dxa"/>
          </w:tcPr>
          <w:p>
            <w:pPr>
              <w:pStyle w:val="Compact"/>
              <w:jc w:val="left"/>
              <w:spacing w:before="20" w:after="20" w:line="220" w:lineRule="auto"/>
            </w:pPr>
            <w:r>
              <w:rPr>
                <w:sz w:val="15"/>
                <w:szCs w:val="15"/>
              </w:rPr>
              <w:t xml:space="preserve">14.7%</w:t>
            </w:r>
          </w:p>
        </w:tc>
        <w:tc>
          <w:tcPr>
            <w:tcW w:w="750" w:type="dxa"/>
          </w:tcPr>
          <w:p>
            <w:pPr>
              <w:pStyle w:val="Compact"/>
              <w:jc w:val="left"/>
              <w:spacing w:before="20" w:after="20" w:line="220" w:lineRule="auto"/>
            </w:pPr>
            <w:r>
              <w:rPr>
                <w:sz w:val="15"/>
                <w:szCs w:val="15"/>
              </w:rPr>
              <w:t xml:space="preserve">9,079</w:t>
            </w:r>
          </w:p>
        </w:tc>
        <w:tc>
          <w:tcPr>
            <w:tcW w:w="929" w:type="dxa"/>
          </w:tcPr>
          <w:p>
            <w:pPr>
              <w:pStyle w:val="Compact"/>
              <w:jc w:val="left"/>
              <w:spacing w:before="20" w:after="20" w:line="220" w:lineRule="auto"/>
            </w:pPr>
            <w:r>
              <w:rPr>
                <w:sz w:val="15"/>
                <w:szCs w:val="15"/>
              </w:rPr>
              <w:t xml:space="preserve">-4.0%</w:t>
            </w:r>
          </w:p>
        </w:tc>
        <w:tc>
          <w:tcPr>
            <w:tcW w:w="786" w:type="dxa"/>
          </w:tcPr>
          <w:p>
            <w:pPr>
              <w:pStyle w:val="Compact"/>
              <w:jc w:val="left"/>
              <w:spacing w:before="20" w:after="20" w:line="220" w:lineRule="auto"/>
            </w:pPr>
            <w:r>
              <w:rPr>
                <w:sz w:val="15"/>
                <w:szCs w:val="15"/>
              </w:rPr>
              <w:t xml:space="preserve">4.8%</w:t>
            </w:r>
          </w:p>
        </w:tc>
        <w:tc>
          <w:tcPr>
            <w:tcW w:w="929" w:type="dxa"/>
          </w:tcPr>
          <w:p>
            <w:pPr>
              <w:pStyle w:val="Compact"/>
              <w:jc w:val="left"/>
              <w:spacing w:before="20" w:after="20" w:line="220" w:lineRule="auto"/>
            </w:pPr>
            <w:r>
              <w:rPr>
                <w:sz w:val="15"/>
                <w:szCs w:val="15"/>
              </w:rPr>
              <w:t xml:space="preserve">-366</w:t>
            </w:r>
          </w:p>
        </w:tc>
        <w:tc>
          <w:tcPr>
            <w:tcW w:w="786" w:type="dxa"/>
          </w:tcPr>
          <w:p>
            <w:pPr>
              <w:pStyle w:val="Compact"/>
              <w:jc w:val="left"/>
              <w:spacing w:before="20" w:after="20" w:line="220" w:lineRule="auto"/>
            </w:pPr>
            <w:r>
              <w:rPr>
                <w:sz w:val="15"/>
                <w:szCs w:val="15"/>
              </w:rPr>
              <w:t xml:space="preserve">433</w:t>
            </w:r>
          </w:p>
        </w:tc>
        <w:tc>
          <w:tcPr>
            <w:tcW w:w="357" w:type="dxa"/>
          </w:tcPr>
          <w:p>
            <w:pPr>
              <w:pStyle w:val="Compact"/>
              <w:jc w:val="left"/>
              <w:spacing w:before="20" w:after="20" w:line="220" w:lineRule="auto"/>
            </w:pPr>
            <w:r>
              <w:rPr>
                <w:sz w:val="15"/>
                <w:szCs w:val="15"/>
              </w:rPr>
              <w:t xml:space="preserve">-183</w:t>
            </w:r>
          </w:p>
        </w:tc>
        <w:tc>
          <w:tcPr>
            <w:tcW w:w="357" w:type="dxa"/>
          </w:tcPr>
          <w:p>
            <w:pPr>
              <w:pStyle w:val="Compact"/>
              <w:jc w:val="left"/>
              <w:spacing w:before="20" w:after="20" w:line="220" w:lineRule="auto"/>
            </w:pPr>
            <w:r>
              <w:rPr>
                <w:sz w:val="15"/>
                <w:szCs w:val="15"/>
              </w:rPr>
              <w:t xml:space="preserve">-275</w:t>
            </w:r>
          </w:p>
        </w:tc>
        <w:tc>
          <w:tcPr>
            <w:tcW w:w="357" w:type="dxa"/>
          </w:tcPr>
          <w:p>
            <w:pPr>
              <w:pStyle w:val="Compact"/>
              <w:jc w:val="left"/>
              <w:spacing w:before="20" w:after="20" w:line="220" w:lineRule="auto"/>
            </w:pPr>
            <w:r>
              <w:rPr>
                <w:sz w:val="15"/>
                <w:szCs w:val="15"/>
              </w:rPr>
              <w:t xml:space="preserve">324</w:t>
            </w:r>
          </w:p>
        </w:tc>
        <w:tc>
          <w:tcPr>
            <w:tcW w:w="2430" w:type="dxa"/>
          </w:tcPr>
          <w:p>
            <w:pPr>
              <w:pStyle w:val="Compact"/>
              <w:jc w:val="left"/>
              <w:spacing w:before="20" w:after="20" w:line="220" w:lineRule="auto"/>
            </w:pPr>
            <w:r>
              <w:rPr>
                <w:sz w:val="15"/>
                <w:szCs w:val="15"/>
              </w:rPr>
              <w:t xml:space="preserve">Pool 3</w:t>
            </w:r>
          </w:p>
        </w:tc>
        <w:tc>
          <w:tcPr>
            <w:tcW w:w="2215" w:type="dxa"/>
          </w:tcPr>
          <w:p>
            <w:pPr>
              <w:pStyle w:val="Compact"/>
              <w:jc w:val="left"/>
              <w:spacing w:before="20" w:after="20" w:line="220" w:lineRule="auto"/>
            </w:pPr>
            <w:r>
              <w:rPr>
                <w:sz w:val="15"/>
                <w:szCs w:val="15"/>
              </w:rPr>
              <w:t xml:space="preserve">All functions</w:t>
            </w:r>
          </w:p>
        </w:tc>
        <w:tc>
          <w:tcPr>
            <w:tcW w:w="2287" w:type="dxa"/>
          </w:tcPr>
          <w:p>
            <w:pPr>
              <w:pStyle w:val="Compact"/>
              <w:jc w:val="left"/>
              <w:spacing w:before="20" w:after="20" w:line="220" w:lineRule="auto"/>
            </w:pPr>
            <w:r>
              <w:rPr>
                <w:sz w:val="15"/>
                <w:szCs w:val="15"/>
              </w:rPr>
              <w:t xml:space="preserve">Consolidation, Productivity, Demand</w:t>
            </w:r>
          </w:p>
        </w:tc>
      </w:tr>
      <w:tr>
        <w:tc>
          <w:tcPr>
            <w:tcW w:w="357" w:type="dxa"/>
          </w:tcPr>
          <w:p>
            <w:pPr>
              <w:pStyle w:val="Compact"/>
              <w:jc w:val="left"/>
              <w:spacing w:before="20" w:after="20" w:line="220" w:lineRule="auto"/>
            </w:pPr>
            <w:r>
              <w:rPr>
                <w:sz w:val="15"/>
                <w:szCs w:val="15"/>
              </w:rPr>
              <w:t xml:space="preserve">M3</w:t>
            </w:r>
          </w:p>
        </w:tc>
        <w:tc>
          <w:tcPr>
            <w:tcW w:w="595" w:type="dxa"/>
          </w:tcPr>
          <w:p>
            <w:pPr>
              <w:pStyle w:val="Compact"/>
              <w:jc w:val="left"/>
              <w:spacing w:before="20" w:after="20" w:line="220" w:lineRule="auto"/>
            </w:pPr>
            <w:r>
              <w:rPr>
                <w:sz w:val="15"/>
                <w:szCs w:val="15"/>
              </w:rPr>
              <w:t xml:space="preserve">composite</w:t>
            </w:r>
          </w:p>
        </w:tc>
        <w:tc>
          <w:tcPr>
            <w:tcW w:w="357" w:type="dxa"/>
          </w:tcPr>
          <w:p>
            <w:pPr>
              <w:pStyle w:val="Compact"/>
              <w:jc w:val="left"/>
              <w:spacing w:before="20" w:after="20" w:line="220" w:lineRule="auto"/>
            </w:pPr>
            <w:r>
              <w:rPr>
                <w:sz w:val="15"/>
                <w:szCs w:val="15"/>
              </w:rPr>
              <w:t xml:space="preserve">6.7%</w:t>
            </w:r>
          </w:p>
        </w:tc>
        <w:tc>
          <w:tcPr>
            <w:tcW w:w="357" w:type="dxa"/>
          </w:tcPr>
          <w:p>
            <w:pPr>
              <w:pStyle w:val="Compact"/>
              <w:jc w:val="left"/>
              <w:spacing w:before="20" w:after="20" w:line="220" w:lineRule="auto"/>
            </w:pPr>
            <w:r>
              <w:rPr>
                <w:sz w:val="15"/>
                <w:szCs w:val="15"/>
              </w:rPr>
              <w:t xml:space="preserve">10.6%</w:t>
            </w:r>
          </w:p>
        </w:tc>
        <w:tc>
          <w:tcPr>
            <w:tcW w:w="714" w:type="dxa"/>
          </w:tcPr>
          <w:p>
            <w:pPr>
              <w:pStyle w:val="Compact"/>
              <w:jc w:val="left"/>
              <w:spacing w:before="20" w:after="20" w:line="220" w:lineRule="auto"/>
            </w:pPr>
            <w:r>
              <w:rPr>
                <w:sz w:val="15"/>
                <w:szCs w:val="15"/>
              </w:rPr>
              <w:t xml:space="preserve">6.5%</w:t>
            </w:r>
          </w:p>
        </w:tc>
        <w:tc>
          <w:tcPr>
            <w:tcW w:w="750" w:type="dxa"/>
          </w:tcPr>
          <w:p>
            <w:pPr>
              <w:pStyle w:val="Compact"/>
              <w:jc w:val="left"/>
              <w:spacing w:before="20" w:after="20" w:line="220" w:lineRule="auto"/>
            </w:pPr>
            <w:r>
              <w:rPr>
                <w:sz w:val="15"/>
                <w:szCs w:val="15"/>
              </w:rPr>
              <w:t xml:space="preserve">9,079</w:t>
            </w:r>
          </w:p>
        </w:tc>
        <w:tc>
          <w:tcPr>
            <w:tcW w:w="929" w:type="dxa"/>
          </w:tcPr>
          <w:p>
            <w:pPr>
              <w:pStyle w:val="Compact"/>
              <w:jc w:val="left"/>
              <w:spacing w:before="20" w:after="20" w:line="220" w:lineRule="auto"/>
            </w:pPr>
            <w:r>
              <w:rPr>
                <w:sz w:val="15"/>
                <w:szCs w:val="15"/>
              </w:rPr>
              <w:t xml:space="preserve">-3.9%</w:t>
            </w:r>
          </w:p>
        </w:tc>
        <w:tc>
          <w:tcPr>
            <w:tcW w:w="786" w:type="dxa"/>
          </w:tcPr>
          <w:p>
            <w:pPr>
              <w:pStyle w:val="Compact"/>
              <w:jc w:val="left"/>
              <w:spacing w:before="20" w:after="20" w:line="220" w:lineRule="auto"/>
            </w:pPr>
            <w:r>
              <w:rPr>
                <w:sz w:val="15"/>
                <w:szCs w:val="15"/>
              </w:rPr>
              <w:t xml:space="preserve">0.2%</w:t>
            </w:r>
          </w:p>
        </w:tc>
        <w:tc>
          <w:tcPr>
            <w:tcW w:w="929" w:type="dxa"/>
          </w:tcPr>
          <w:p>
            <w:pPr>
              <w:pStyle w:val="Compact"/>
              <w:jc w:val="left"/>
              <w:spacing w:before="20" w:after="20" w:line="220" w:lineRule="auto"/>
            </w:pPr>
            <w:r>
              <w:rPr>
                <w:sz w:val="15"/>
                <w:szCs w:val="15"/>
              </w:rPr>
              <w:t xml:space="preserve">-350</w:t>
            </w:r>
          </w:p>
        </w:tc>
        <w:tc>
          <w:tcPr>
            <w:tcW w:w="786" w:type="dxa"/>
          </w:tcPr>
          <w:p>
            <w:pPr>
              <w:pStyle w:val="Compact"/>
              <w:jc w:val="left"/>
              <w:spacing w:before="20" w:after="20" w:line="220" w:lineRule="auto"/>
            </w:pPr>
            <w:r>
              <w:rPr>
                <w:sz w:val="15"/>
                <w:szCs w:val="15"/>
              </w:rPr>
              <w:t xml:space="preserve">21</w:t>
            </w:r>
          </w:p>
        </w:tc>
        <w:tc>
          <w:tcPr>
            <w:tcW w:w="357" w:type="dxa"/>
          </w:tcPr>
          <w:p>
            <w:pPr>
              <w:pStyle w:val="Compact"/>
              <w:jc w:val="left"/>
              <w:spacing w:before="20" w:after="20" w:line="220" w:lineRule="auto"/>
            </w:pPr>
            <w:r>
              <w:rPr>
                <w:sz w:val="15"/>
                <w:szCs w:val="15"/>
              </w:rPr>
              <w:t xml:space="preserve">-175</w:t>
            </w:r>
          </w:p>
        </w:tc>
        <w:tc>
          <w:tcPr>
            <w:tcW w:w="357" w:type="dxa"/>
          </w:tcPr>
          <w:p>
            <w:pPr>
              <w:pStyle w:val="Compact"/>
              <w:jc w:val="left"/>
              <w:spacing w:before="20" w:after="20" w:line="220" w:lineRule="auto"/>
            </w:pPr>
            <w:r>
              <w:rPr>
                <w:sz w:val="15"/>
                <w:szCs w:val="15"/>
              </w:rPr>
              <w:t xml:space="preserve">-263</w:t>
            </w:r>
          </w:p>
        </w:tc>
        <w:tc>
          <w:tcPr>
            <w:tcW w:w="357" w:type="dxa"/>
          </w:tcPr>
          <w:p>
            <w:pPr>
              <w:pStyle w:val="Compact"/>
              <w:jc w:val="left"/>
              <w:spacing w:before="20" w:after="20" w:line="220" w:lineRule="auto"/>
            </w:pPr>
            <w:r>
              <w:rPr>
                <w:sz w:val="15"/>
                <w:szCs w:val="15"/>
              </w:rPr>
              <w:t xml:space="preserve">16</w:t>
            </w:r>
          </w:p>
        </w:tc>
        <w:tc>
          <w:tcPr>
            <w:tcW w:w="2430" w:type="dxa"/>
          </w:tcPr>
          <w:p>
            <w:pPr>
              <w:pStyle w:val="Compact"/>
              <w:jc w:val="left"/>
              <w:spacing w:before="20" w:after="20" w:line="220" w:lineRule="auto"/>
            </w:pPr>
            <w:r>
              <w:rPr>
                <w:sz w:val="15"/>
                <w:szCs w:val="15"/>
              </w:rPr>
              <w:t xml:space="preserve">Pool 2 acquisition cost</w:t>
            </w:r>
          </w:p>
        </w:tc>
        <w:tc>
          <w:tcPr>
            <w:tcW w:w="2215" w:type="dxa"/>
          </w:tcPr>
          <w:p>
            <w:pPr>
              <w:pStyle w:val="Compact"/>
              <w:jc w:val="left"/>
              <w:spacing w:before="20" w:after="20" w:line="220" w:lineRule="auto"/>
            </w:pPr>
            <w:r>
              <w:rPr>
                <w:sz w:val="15"/>
                <w:szCs w:val="15"/>
              </w:rPr>
              <w:t xml:space="preserve">Distribution</w:t>
            </w:r>
          </w:p>
        </w:tc>
        <w:tc>
          <w:tcPr>
            <w:tcW w:w="2287" w:type="dxa"/>
          </w:tcPr>
          <w:p>
            <w:pPr>
              <w:pStyle w:val="Compact"/>
              <w:jc w:val="left"/>
              <w:spacing w:before="20" w:after="20" w:line="220" w:lineRule="auto"/>
            </w:pPr>
            <w:r>
              <w:rPr>
                <w:sz w:val="15"/>
                <w:szCs w:val="15"/>
              </w:rPr>
              <w:t xml:space="preserve">Price (adjacent), Structural (FSP consolidation)</w:t>
            </w:r>
          </w:p>
        </w:tc>
      </w:tr>
      <w:tr>
        <w:tc>
          <w:tcPr>
            <w:tcW w:w="357" w:type="dxa"/>
          </w:tcPr>
          <w:p>
            <w:pPr>
              <w:pStyle w:val="Compact"/>
              <w:jc w:val="left"/>
              <w:spacing w:before="20" w:after="20" w:line="220" w:lineRule="auto"/>
            </w:pPr>
            <w:r>
              <w:rPr>
                <w:sz w:val="15"/>
                <w:szCs w:val="15"/>
              </w:rPr>
              <w:t xml:space="preserve">M3</w:t>
            </w:r>
          </w:p>
        </w:tc>
        <w:tc>
          <w:tcPr>
            <w:tcW w:w="595" w:type="dxa"/>
          </w:tcPr>
          <w:p>
            <w:pPr>
              <w:pStyle w:val="Compact"/>
              <w:jc w:val="left"/>
              <w:spacing w:before="20" w:after="20" w:line="220" w:lineRule="auto"/>
            </w:pPr>
            <w:r>
              <w:rPr>
                <w:sz w:val="15"/>
                <w:szCs w:val="15"/>
              </w:rPr>
              <w:t xml:space="preserve">nonlife</w:t>
            </w:r>
          </w:p>
        </w:tc>
        <w:tc>
          <w:tcPr>
            <w:tcW w:w="357" w:type="dxa"/>
          </w:tcPr>
          <w:p>
            <w:pPr>
              <w:pStyle w:val="Compact"/>
              <w:jc w:val="left"/>
              <w:spacing w:before="20" w:after="20" w:line="220" w:lineRule="auto"/>
            </w:pPr>
            <w:r>
              <w:rPr>
                <w:sz w:val="15"/>
                <w:szCs w:val="15"/>
              </w:rPr>
              <w:t xml:space="preserve">13.0%</w:t>
            </w:r>
          </w:p>
        </w:tc>
        <w:tc>
          <w:tcPr>
            <w:tcW w:w="357" w:type="dxa"/>
          </w:tcPr>
          <w:p>
            <w:pPr>
              <w:pStyle w:val="Compact"/>
              <w:jc w:val="left"/>
              <w:spacing w:before="20" w:after="20" w:line="220" w:lineRule="auto"/>
            </w:pPr>
            <w:r>
              <w:rPr>
                <w:sz w:val="15"/>
                <w:szCs w:val="15"/>
              </w:rPr>
              <w:t xml:space="preserve">13.9%</w:t>
            </w:r>
          </w:p>
        </w:tc>
        <w:tc>
          <w:tcPr>
            <w:tcW w:w="714" w:type="dxa"/>
          </w:tcPr>
          <w:p>
            <w:pPr>
              <w:pStyle w:val="Compact"/>
              <w:jc w:val="left"/>
              <w:spacing w:before="20" w:after="20" w:line="220" w:lineRule="auto"/>
            </w:pPr>
            <w:r>
              <w:rPr>
                <w:sz w:val="15"/>
                <w:szCs w:val="15"/>
              </w:rPr>
              <w:t xml:space="preserve">10.7%</w:t>
            </w:r>
          </w:p>
        </w:tc>
        <w:tc>
          <w:tcPr>
            <w:tcW w:w="750" w:type="dxa"/>
          </w:tcPr>
          <w:p>
            <w:pPr>
              <w:pStyle w:val="Compact"/>
              <w:jc w:val="left"/>
              <w:spacing w:before="20" w:after="20" w:line="220" w:lineRule="auto"/>
            </w:pPr>
            <w:r>
              <w:rPr>
                <w:sz w:val="15"/>
                <w:szCs w:val="15"/>
              </w:rPr>
              <w:t xml:space="preserve">4,102</w:t>
            </w:r>
          </w:p>
        </w:tc>
        <w:tc>
          <w:tcPr>
            <w:tcW w:w="929" w:type="dxa"/>
          </w:tcPr>
          <w:p>
            <w:pPr>
              <w:pStyle w:val="Compact"/>
              <w:jc w:val="left"/>
              <w:spacing w:before="20" w:after="20" w:line="220" w:lineRule="auto"/>
            </w:pPr>
            <w:r>
              <w:rPr>
                <w:sz w:val="15"/>
                <w:szCs w:val="15"/>
              </w:rPr>
              <w:t xml:space="preserve">-0.9%</w:t>
            </w:r>
          </w:p>
        </w:tc>
        <w:tc>
          <w:tcPr>
            <w:tcW w:w="786" w:type="dxa"/>
          </w:tcPr>
          <w:p>
            <w:pPr>
              <w:pStyle w:val="Compact"/>
              <w:jc w:val="left"/>
              <w:spacing w:before="20" w:after="20" w:line="220" w:lineRule="auto"/>
            </w:pPr>
            <w:r>
              <w:rPr>
                <w:sz w:val="15"/>
                <w:szCs w:val="15"/>
              </w:rPr>
              <w:t xml:space="preserve">2.3%</w:t>
            </w:r>
          </w:p>
        </w:tc>
        <w:tc>
          <w:tcPr>
            <w:tcW w:w="929" w:type="dxa"/>
          </w:tcPr>
          <w:p>
            <w:pPr>
              <w:pStyle w:val="Compact"/>
              <w:jc w:val="left"/>
              <w:spacing w:before="20" w:after="20" w:line="220" w:lineRule="auto"/>
            </w:pPr>
            <w:r>
              <w:rPr>
                <w:sz w:val="15"/>
                <w:szCs w:val="15"/>
              </w:rPr>
              <w:t xml:space="preserve">-37</w:t>
            </w:r>
          </w:p>
        </w:tc>
        <w:tc>
          <w:tcPr>
            <w:tcW w:w="786" w:type="dxa"/>
          </w:tcPr>
          <w:p>
            <w:pPr>
              <w:pStyle w:val="Compact"/>
              <w:jc w:val="left"/>
              <w:spacing w:before="20" w:after="20" w:line="220" w:lineRule="auto"/>
            </w:pPr>
            <w:r>
              <w:rPr>
                <w:sz w:val="15"/>
                <w:szCs w:val="15"/>
              </w:rPr>
              <w:t xml:space="preserve">94</w:t>
            </w:r>
          </w:p>
        </w:tc>
        <w:tc>
          <w:tcPr>
            <w:tcW w:w="357" w:type="dxa"/>
          </w:tcPr>
          <w:p>
            <w:pPr>
              <w:pStyle w:val="Compact"/>
              <w:jc w:val="left"/>
              <w:spacing w:before="20" w:after="20" w:line="220" w:lineRule="auto"/>
            </w:pPr>
            <w:r>
              <w:rPr>
                <w:sz w:val="15"/>
                <w:szCs w:val="15"/>
              </w:rPr>
              <w:t xml:space="preserve">-19</w:t>
            </w:r>
          </w:p>
        </w:tc>
        <w:tc>
          <w:tcPr>
            <w:tcW w:w="357" w:type="dxa"/>
          </w:tcPr>
          <w:p>
            <w:pPr>
              <w:pStyle w:val="Compact"/>
              <w:jc w:val="left"/>
              <w:spacing w:before="20" w:after="20" w:line="220" w:lineRule="auto"/>
            </w:pPr>
            <w:r>
              <w:rPr>
                <w:sz w:val="15"/>
                <w:szCs w:val="15"/>
              </w:rPr>
              <w:t xml:space="preserve">-28</w:t>
            </w:r>
          </w:p>
        </w:tc>
        <w:tc>
          <w:tcPr>
            <w:tcW w:w="357" w:type="dxa"/>
          </w:tcPr>
          <w:p>
            <w:pPr>
              <w:pStyle w:val="Compact"/>
              <w:jc w:val="left"/>
              <w:spacing w:before="20" w:after="20" w:line="220" w:lineRule="auto"/>
            </w:pPr>
            <w:r>
              <w:rPr>
                <w:sz w:val="15"/>
                <w:szCs w:val="15"/>
              </w:rPr>
              <w:t xml:space="preserve">71</w:t>
            </w:r>
          </w:p>
        </w:tc>
        <w:tc>
          <w:tcPr>
            <w:tcW w:w="2430" w:type="dxa"/>
          </w:tcPr>
          <w:p>
            <w:pPr>
              <w:pStyle w:val="Compact"/>
              <w:jc w:val="left"/>
              <w:spacing w:before="20" w:after="20" w:line="220" w:lineRule="auto"/>
            </w:pPr>
            <w:r>
              <w:rPr>
                <w:sz w:val="15"/>
                <w:szCs w:val="15"/>
              </w:rPr>
              <w:t xml:space="preserve">Pool 2</w:t>
            </w:r>
          </w:p>
        </w:tc>
        <w:tc>
          <w:tcPr>
            <w:tcW w:w="2215" w:type="dxa"/>
          </w:tcPr>
          <w:p>
            <w:pPr>
              <w:pStyle w:val="Compact"/>
              <w:jc w:val="left"/>
              <w:spacing w:before="20" w:after="20" w:line="220" w:lineRule="auto"/>
            </w:pPr>
            <w:r>
              <w:rPr>
                <w:sz w:val="15"/>
                <w:szCs w:val="15"/>
              </w:rPr>
              <w:t xml:space="preserve">Distribution</w:t>
            </w:r>
          </w:p>
        </w:tc>
        <w:tc>
          <w:tcPr>
            <w:tcW w:w="2287" w:type="dxa"/>
          </w:tcPr>
          <w:p>
            <w:pPr>
              <w:pStyle w:val="Compact"/>
              <w:jc w:val="left"/>
              <w:spacing w:before="20" w:after="20" w:line="220" w:lineRule="auto"/>
            </w:pPr>
            <w:r>
              <w:rPr>
                <w:sz w:val="15"/>
                <w:szCs w:val="15"/>
              </w:rPr>
              <w:t xml:space="preserve">Price (adjacent)</w:t>
            </w:r>
          </w:p>
        </w:tc>
      </w:tr>
      <w:tr>
        <w:tc>
          <w:tcPr>
            <w:tcW w:w="357" w:type="dxa"/>
          </w:tcPr>
          <w:p>
            <w:pPr>
              <w:pStyle w:val="Compact"/>
              <w:jc w:val="left"/>
              <w:spacing w:before="20" w:after="20" w:line="220" w:lineRule="auto"/>
            </w:pPr>
            <w:r>
              <w:rPr>
                <w:sz w:val="15"/>
                <w:szCs w:val="15"/>
              </w:rPr>
              <w:t xml:space="preserve">M5</w:t>
            </w:r>
          </w:p>
        </w:tc>
        <w:tc>
          <w:tcPr>
            <w:tcW w:w="595" w:type="dxa"/>
          </w:tcPr>
          <w:p>
            <w:pPr>
              <w:pStyle w:val="Compact"/>
              <w:jc w:val="left"/>
              <w:spacing w:before="20" w:after="20" w:line="220" w:lineRule="auto"/>
            </w:pPr>
            <w:r>
              <w:rPr>
                <w:sz w:val="15"/>
                <w:szCs w:val="15"/>
              </w:rPr>
              <w:t xml:space="preserve">nonlife</w:t>
            </w:r>
          </w:p>
        </w:tc>
        <w:tc>
          <w:tcPr>
            <w:tcW w:w="357" w:type="dxa"/>
          </w:tcPr>
          <w:p>
            <w:pPr>
              <w:pStyle w:val="Compact"/>
              <w:jc w:val="left"/>
              <w:spacing w:before="20" w:after="20" w:line="220" w:lineRule="auto"/>
            </w:pPr>
            <w:r>
              <w:rPr>
                <w:sz w:val="15"/>
                <w:szCs w:val="15"/>
              </w:rPr>
              <w:t xml:space="preserve">81.5%</w:t>
            </w:r>
          </w:p>
        </w:tc>
        <w:tc>
          <w:tcPr>
            <w:tcW w:w="357" w:type="dxa"/>
          </w:tcPr>
          <w:p>
            <w:pPr>
              <w:pStyle w:val="Compact"/>
              <w:jc w:val="left"/>
              <w:spacing w:before="20" w:after="20" w:line="220" w:lineRule="auto"/>
            </w:pPr>
            <w:r>
              <w:rPr>
                <w:sz w:val="15"/>
                <w:szCs w:val="15"/>
              </w:rPr>
              <w:t xml:space="preserve">89.5%</w:t>
            </w:r>
          </w:p>
        </w:tc>
        <w:tc>
          <w:tcPr>
            <w:tcW w:w="714" w:type="dxa"/>
          </w:tcPr>
          <w:p>
            <w:pPr>
              <w:pStyle w:val="Compact"/>
              <w:jc w:val="left"/>
              <w:spacing w:before="20" w:after="20" w:line="220" w:lineRule="auto"/>
            </w:pPr>
            <w:r>
              <w:rPr>
                <w:sz w:val="15"/>
                <w:szCs w:val="15"/>
              </w:rPr>
              <w:t xml:space="preserve">87.7%</w:t>
            </w:r>
          </w:p>
        </w:tc>
        <w:tc>
          <w:tcPr>
            <w:tcW w:w="750" w:type="dxa"/>
          </w:tcPr>
          <w:p>
            <w:pPr>
              <w:pStyle w:val="Compact"/>
              <w:jc w:val="left"/>
              <w:spacing w:before="20" w:after="20" w:line="220" w:lineRule="auto"/>
            </w:pPr>
            <w:r>
              <w:rPr>
                <w:sz w:val="15"/>
                <w:szCs w:val="15"/>
              </w:rPr>
              <w:t xml:space="preserve">4,102</w:t>
            </w:r>
          </w:p>
        </w:tc>
        <w:tc>
          <w:tcPr>
            <w:tcW w:w="929" w:type="dxa"/>
          </w:tcPr>
          <w:p>
            <w:pPr>
              <w:pStyle w:val="Compact"/>
              <w:jc w:val="left"/>
              <w:spacing w:before="20" w:after="20" w:line="220" w:lineRule="auto"/>
            </w:pPr>
            <w:r>
              <w:rPr>
                <w:sz w:val="15"/>
                <w:szCs w:val="15"/>
              </w:rPr>
              <w:t xml:space="preserve">-8.0%</w:t>
            </w:r>
          </w:p>
        </w:tc>
        <w:tc>
          <w:tcPr>
            <w:tcW w:w="786" w:type="dxa"/>
          </w:tcPr>
          <w:p>
            <w:pPr>
              <w:pStyle w:val="Compact"/>
              <w:jc w:val="left"/>
              <w:spacing w:before="20" w:after="20" w:line="220" w:lineRule="auto"/>
            </w:pPr>
            <w:r>
              <w:rPr>
                <w:sz w:val="15"/>
                <w:szCs w:val="15"/>
              </w:rPr>
              <w:t xml:space="preserve">-6.2%</w:t>
            </w:r>
          </w:p>
        </w:tc>
        <w:tc>
          <w:tcPr>
            <w:tcW w:w="929" w:type="dxa"/>
          </w:tcPr>
          <w:p>
            <w:pPr>
              <w:pStyle w:val="Compact"/>
              <w:jc w:val="left"/>
              <w:spacing w:before="20" w:after="20" w:line="220" w:lineRule="auto"/>
            </w:pPr>
            <w:r>
              <w:rPr>
                <w:sz w:val="15"/>
                <w:szCs w:val="15"/>
              </w:rPr>
              <w:t xml:space="preserve">-327</w:t>
            </w:r>
          </w:p>
        </w:tc>
        <w:tc>
          <w:tcPr>
            <w:tcW w:w="786" w:type="dxa"/>
          </w:tcPr>
          <w:p>
            <w:pPr>
              <w:pStyle w:val="Compact"/>
              <w:jc w:val="left"/>
              <w:spacing w:before="20" w:after="20" w:line="220" w:lineRule="auto"/>
            </w:pPr>
            <w:r>
              <w:rPr>
                <w:sz w:val="15"/>
                <w:szCs w:val="15"/>
              </w:rPr>
              <w:t xml:space="preserve">-254</w:t>
            </w:r>
          </w:p>
        </w:tc>
        <w:tc>
          <w:tcPr>
            <w:tcW w:w="357" w:type="dxa"/>
          </w:tcPr>
          <w:p>
            <w:pPr>
              <w:pStyle w:val="Compact"/>
              <w:jc w:val="left"/>
              <w:spacing w:before="20" w:after="20" w:line="220" w:lineRule="auto"/>
            </w:pPr>
            <w:r>
              <w:rPr>
                <w:sz w:val="15"/>
                <w:szCs w:val="15"/>
              </w:rPr>
              <w:t xml:space="preserve">-164</w:t>
            </w:r>
          </w:p>
        </w:tc>
        <w:tc>
          <w:tcPr>
            <w:tcW w:w="357" w:type="dxa"/>
          </w:tcPr>
          <w:p>
            <w:pPr>
              <w:pStyle w:val="Compact"/>
              <w:jc w:val="left"/>
              <w:spacing w:before="20" w:after="20" w:line="220" w:lineRule="auto"/>
            </w:pPr>
            <w:r>
              <w:rPr>
                <w:sz w:val="15"/>
                <w:szCs w:val="15"/>
              </w:rPr>
              <w:t xml:space="preserve">-245</w:t>
            </w:r>
          </w:p>
        </w:tc>
        <w:tc>
          <w:tcPr>
            <w:tcW w:w="357" w:type="dxa"/>
          </w:tcPr>
          <w:p>
            <w:pPr>
              <w:pStyle w:val="Compact"/>
              <w:jc w:val="left"/>
              <w:spacing w:before="20" w:after="20" w:line="220" w:lineRule="auto"/>
            </w:pPr>
            <w:r>
              <w:rPr>
                <w:sz w:val="15"/>
                <w:szCs w:val="15"/>
              </w:rPr>
              <w:t xml:space="preserve">-190</w:t>
            </w:r>
          </w:p>
        </w:tc>
        <w:tc>
          <w:tcPr>
            <w:tcW w:w="2430" w:type="dxa"/>
          </w:tcPr>
          <w:p>
            <w:pPr>
              <w:pStyle w:val="Compact"/>
              <w:jc w:val="left"/>
              <w:spacing w:before="20" w:after="20" w:line="220" w:lineRule="auto"/>
            </w:pPr>
            <w:r>
              <w:rPr>
                <w:sz w:val="15"/>
                <w:szCs w:val="15"/>
              </w:rPr>
              <w:t xml:space="preserve">Pool 1 claims and benefits (with attributable handling cost)</w:t>
            </w:r>
          </w:p>
        </w:tc>
        <w:tc>
          <w:tcPr>
            <w:tcW w:w="2215" w:type="dxa"/>
          </w:tcPr>
          <w:p>
            <w:pPr>
              <w:pStyle w:val="Compact"/>
              <w:jc w:val="left"/>
              <w:spacing w:before="20" w:after="20" w:line="220" w:lineRule="auto"/>
            </w:pPr>
            <w:r>
              <w:rPr>
                <w:sz w:val="15"/>
                <w:szCs w:val="15"/>
              </w:rPr>
              <w:t xml:space="preserve">Claims, Product and pricing</w:t>
            </w:r>
          </w:p>
        </w:tc>
        <w:tc>
          <w:tcPr>
            <w:tcW w:w="2287" w:type="dxa"/>
          </w:tcPr>
          <w:p>
            <w:pPr>
              <w:pStyle w:val="Compact"/>
              <w:jc w:val="left"/>
              <w:spacing w:before="20" w:after="20" w:line="220" w:lineRule="auto"/>
            </w:pPr>
            <w:r>
              <w:rPr>
                <w:sz w:val="15"/>
                <w:szCs w:val="15"/>
              </w:rPr>
              <w:t xml:space="preserve">Leakage (independent), Price (reinsurance), Productivity</w:t>
            </w:r>
          </w:p>
        </w:tc>
      </w:tr>
      <w:tr>
        <w:tc>
          <w:tcPr>
            <w:tcW w:w="357" w:type="dxa"/>
          </w:tcPr>
          <w:p>
            <w:pPr>
              <w:pStyle w:val="Compact"/>
              <w:jc w:val="left"/>
              <w:spacing w:before="20" w:after="20" w:line="220" w:lineRule="auto"/>
            </w:pPr>
            <w:r>
              <w:rPr>
                <w:sz w:val="15"/>
                <w:szCs w:val="15"/>
              </w:rPr>
              <w:t xml:space="preserve">M5b</w:t>
            </w:r>
          </w:p>
        </w:tc>
        <w:tc>
          <w:tcPr>
            <w:tcW w:w="595" w:type="dxa"/>
          </w:tcPr>
          <w:p>
            <w:pPr>
              <w:pStyle w:val="Compact"/>
              <w:jc w:val="left"/>
              <w:spacing w:before="20" w:after="20" w:line="220" w:lineRule="auto"/>
            </w:pPr>
            <w:r>
              <w:rPr>
                <w:sz w:val="15"/>
                <w:szCs w:val="15"/>
              </w:rPr>
              <w:t xml:space="preserve">nonlife</w:t>
            </w:r>
          </w:p>
        </w:tc>
        <w:tc>
          <w:tcPr>
            <w:tcW w:w="357" w:type="dxa"/>
          </w:tcPr>
          <w:p>
            <w:pPr>
              <w:pStyle w:val="Compact"/>
              <w:jc w:val="left"/>
              <w:spacing w:before="20" w:after="20" w:line="220" w:lineRule="auto"/>
            </w:pPr>
            <w:r>
              <w:rPr>
                <w:sz w:val="15"/>
                <w:szCs w:val="15"/>
              </w:rPr>
              <w:t xml:space="preserve">93.8%</w:t>
            </w:r>
          </w:p>
        </w:tc>
        <w:tc>
          <w:tcPr>
            <w:tcW w:w="357" w:type="dxa"/>
          </w:tcPr>
          <w:p>
            <w:pPr>
              <w:pStyle w:val="Compact"/>
              <w:jc w:val="left"/>
              <w:spacing w:before="20" w:after="20" w:line="220" w:lineRule="auto"/>
            </w:pPr>
            <w:r>
              <w:rPr>
                <w:sz w:val="15"/>
                <w:szCs w:val="15"/>
              </w:rPr>
              <w:t xml:space="preserve">93.0%</w:t>
            </w:r>
          </w:p>
        </w:tc>
        <w:tc>
          <w:tcPr>
            <w:tcW w:w="714" w:type="dxa"/>
          </w:tcPr>
          <w:p>
            <w:pPr>
              <w:pStyle w:val="Compact"/>
              <w:jc w:val="left"/>
              <w:spacing w:before="20" w:after="20" w:line="220" w:lineRule="auto"/>
            </w:pPr>
            <w:r>
              <w:rPr>
                <w:sz w:val="15"/>
                <w:szCs w:val="15"/>
              </w:rPr>
              <w:t xml:space="preserve">90.7%</w:t>
            </w:r>
          </w:p>
        </w:tc>
        <w:tc>
          <w:tcPr>
            <w:tcW w:w="750" w:type="dxa"/>
          </w:tcPr>
          <w:p>
            <w:pPr>
              <w:pStyle w:val="Compact"/>
              <w:jc w:val="left"/>
              <w:spacing w:before="20" w:after="20" w:line="220" w:lineRule="auto"/>
            </w:pPr>
            <w:r>
              <w:rPr>
                <w:sz w:val="15"/>
                <w:szCs w:val="15"/>
              </w:rPr>
              <w:t xml:space="preserve">4,102</w:t>
            </w:r>
          </w:p>
        </w:tc>
        <w:tc>
          <w:tcPr>
            <w:tcW w:w="929" w:type="dxa"/>
          </w:tcPr>
          <w:p>
            <w:pPr>
              <w:pStyle w:val="Compact"/>
              <w:jc w:val="left"/>
              <w:spacing w:before="20" w:after="20" w:line="220" w:lineRule="auto"/>
            </w:pPr>
            <w:r>
              <w:rPr>
                <w:sz w:val="15"/>
                <w:szCs w:val="15"/>
              </w:rPr>
              <w:t xml:space="preserve">0.8%</w:t>
            </w:r>
          </w:p>
        </w:tc>
        <w:tc>
          <w:tcPr>
            <w:tcW w:w="786" w:type="dxa"/>
          </w:tcPr>
          <w:p>
            <w:pPr>
              <w:pStyle w:val="Compact"/>
              <w:jc w:val="left"/>
              <w:spacing w:before="20" w:after="20" w:line="220" w:lineRule="auto"/>
            </w:pPr>
            <w:r>
              <w:rPr>
                <w:sz w:val="15"/>
                <w:szCs w:val="15"/>
              </w:rPr>
              <w:t xml:space="preserve">3.1%</w:t>
            </w:r>
          </w:p>
        </w:tc>
        <w:tc>
          <w:tcPr>
            <w:tcW w:w="929" w:type="dxa"/>
          </w:tcPr>
          <w:p>
            <w:pPr>
              <w:pStyle w:val="Compact"/>
              <w:jc w:val="left"/>
              <w:spacing w:before="20" w:after="20" w:line="220" w:lineRule="auto"/>
            </w:pPr>
            <w:r>
              <w:rPr>
                <w:sz w:val="15"/>
                <w:szCs w:val="15"/>
              </w:rPr>
              <w:t xml:space="preserve">35</w:t>
            </w:r>
          </w:p>
        </w:tc>
        <w:tc>
          <w:tcPr>
            <w:tcW w:w="786" w:type="dxa"/>
          </w:tcPr>
          <w:p>
            <w:pPr>
              <w:pStyle w:val="Compact"/>
              <w:jc w:val="left"/>
              <w:spacing w:before="20" w:after="20" w:line="220" w:lineRule="auto"/>
            </w:pPr>
            <w:r>
              <w:rPr>
                <w:sz w:val="15"/>
                <w:szCs w:val="15"/>
              </w:rPr>
              <w:t xml:space="preserve">127</w:t>
            </w:r>
          </w:p>
        </w:tc>
        <w:tc>
          <w:tcPr>
            <w:tcW w:w="357" w:type="dxa"/>
          </w:tcPr>
          <w:p>
            <w:pPr>
              <w:pStyle w:val="Compact"/>
              <w:jc w:val="left"/>
              <w:spacing w:before="20" w:after="20" w:line="220" w:lineRule="auto"/>
            </w:pPr>
            <w:r>
              <w:rPr>
                <w:sz w:val="15"/>
                <w:szCs w:val="15"/>
              </w:rPr>
              <w:t xml:space="preserve">17</w:t>
            </w:r>
          </w:p>
        </w:tc>
        <w:tc>
          <w:tcPr>
            <w:tcW w:w="357" w:type="dxa"/>
          </w:tcPr>
          <w:p>
            <w:pPr>
              <w:pStyle w:val="Compact"/>
              <w:jc w:val="left"/>
              <w:spacing w:before="20" w:after="20" w:line="220" w:lineRule="auto"/>
            </w:pPr>
            <w:r>
              <w:rPr>
                <w:sz w:val="15"/>
                <w:szCs w:val="15"/>
              </w:rPr>
              <w:t xml:space="preserve">26</w:t>
            </w:r>
          </w:p>
        </w:tc>
        <w:tc>
          <w:tcPr>
            <w:tcW w:w="357" w:type="dxa"/>
          </w:tcPr>
          <w:p>
            <w:pPr>
              <w:pStyle w:val="Compact"/>
              <w:jc w:val="left"/>
              <w:spacing w:before="20" w:after="20" w:line="220" w:lineRule="auto"/>
            </w:pPr>
            <w:r>
              <w:rPr>
                <w:sz w:val="15"/>
                <w:szCs w:val="15"/>
              </w:rPr>
              <w:t xml:space="preserve">95</w:t>
            </w:r>
          </w:p>
        </w:tc>
        <w:tc>
          <w:tcPr>
            <w:tcW w:w="2430" w:type="dxa"/>
          </w:tcPr>
          <w:p>
            <w:pPr>
              <w:pStyle w:val="Compact"/>
              <w:jc w:val="left"/>
              <w:spacing w:before="20" w:after="20" w:line="220" w:lineRule="auto"/>
            </w:pPr>
            <w:r>
              <w:rPr>
                <w:sz w:val="15"/>
                <w:szCs w:val="15"/>
              </w:rPr>
              <w:t xml:space="preserve">Pools 1 and 3</w:t>
            </w:r>
          </w:p>
        </w:tc>
        <w:tc>
          <w:tcPr>
            <w:tcW w:w="2215" w:type="dxa"/>
          </w:tcPr>
          <w:p>
            <w:pPr>
              <w:pStyle w:val="Compact"/>
              <w:jc w:val="left"/>
              <w:spacing w:before="20" w:after="20" w:line="220" w:lineRule="auto"/>
            </w:pPr>
            <w:r>
              <w:rPr>
                <w:sz w:val="15"/>
                <w:szCs w:val="15"/>
              </w:rPr>
              <w:t xml:space="preserve">Claims, Policy administration</w:t>
            </w:r>
          </w:p>
        </w:tc>
        <w:tc>
          <w:tcPr>
            <w:tcW w:w="2287" w:type="dxa"/>
          </w:tcPr>
          <w:p>
            <w:pPr>
              <w:pStyle w:val="Compact"/>
              <w:jc w:val="left"/>
              <w:spacing w:before="20" w:after="20" w:line="220" w:lineRule="auto"/>
            </w:pPr>
            <w:r>
              <w:rPr>
                <w:sz w:val="15"/>
                <w:szCs w:val="15"/>
              </w:rPr>
              <w:t xml:space="preserve">Leakage, Consolidation</w:t>
            </w:r>
          </w:p>
        </w:tc>
      </w:tr>
    </w:tbl>
    <w:p>
      <w:pPr>
        <w:pStyle w:val="BodyText"/>
      </w:pPr>
      <w:r>
        <w:t xml:space="preserve">Reading the gaps against the Phase 1 tree, the money is in pool 3 and it is in the non-life book and the head office. The as-reported measure puts R349m of the R420m gap in Non-Life SA, where the levers are consolidation of policy administration and claims platforms (direct) and productivity in the contact centre and claims handling (adjacent). The comparable measure says AFS as a whole is at median, with a R563m stretch to top quartile that would need the structural levers in the head office and finance functions as well. Acquisition is not a lever once the bank fee is set aside; its gap is negative. The non-life combined ratio including overhead has a small positive gap of R35m to median and R127m to top quartile, which belongs to pools 1 and 3 through claims leakage and claims handling cost.</w:t>
      </w:r>
    </w:p>
    <w:p>
      <w:pPr>
        <w:pStyle w:val="BodyText"/>
      </w:pPr>
      <w:r>
        <w:t xml:space="preserve">The benchmark hypothesis of roughly R210m to R556m on the opex pools and the precedent-based hypothesis of R211m to R594m on the addressable base are two independent routes to the same order of magnitude. Both exclude claims leakage, reinsurance and capital, which add R75m to R382m on the AFS cost base tab. The combined range of R276m to R806m should be presented as the envelope within which management information will place the number.</w:t>
      </w:r>
    </w:p>
    <w:bookmarkEnd w:id="38"/>
    <w:bookmarkStart w:id="39" w:name="precedents"/>
    <w:p>
      <w:pPr>
        <w:pStyle w:val="Heading2"/>
      </w:pPr>
      <w:r>
        <w:t xml:space="preserve">5. Precedents</w:t>
      </w:r>
    </w:p>
    <w:p>
      <w:pPr>
        <w:pStyle w:val="FirstParagraph"/>
      </w:pPr>
      <w:r>
        <w:t xml:space="preserve">The precedents cluster captured 26 programmes from primary documents, 20 with hard numbers. The table lists each with its data_ids; press-sourced figures are marked with a dagger. Full narrative is in the precedents notes held with the research files.</w:t>
      </w:r>
    </w:p>
    <w:tbl>
      <w:tblPr>
        <w:tblStyle w:val="Table"/>
        <w:tblLook w:firstRow="1" w:lastRow="0" w:firstColumn="0" w:lastColumn="0" w:noHBand="0" w:noVBand="0" w:val="0020"/>
        <w:jc w:val="start"/>
        <w:tblW w:w="14564" w:type="dxa"/>
        <w:tblLayout w:type="fixed"/>
      </w:tblPr>
      <w:tblGrid>
        <w:gridCol w:w="2309"/>
        <w:gridCol w:w="747"/>
        <w:gridCol w:w="1290"/>
        <w:gridCol w:w="950"/>
        <w:gridCol w:w="1086"/>
        <w:gridCol w:w="849"/>
        <w:gridCol w:w="1901"/>
        <w:gridCol w:w="1086"/>
        <w:gridCol w:w="2037"/>
        <w:gridCol w:w="2309"/>
      </w:tblGrid>
      <w:tr>
        <w:trPr>
          <w:tblHeader w:val="true"/>
        </w:trPr>
        <w:tc>
          <w:tcPr>
            <w:tcW w:w="2309" w:type="dxa"/>
          </w:tcPr>
          <w:p>
            <w:pPr>
              <w:pStyle w:val="Compact"/>
              <w:jc w:val="left"/>
              <w:spacing w:before="20" w:after="20" w:line="220" w:lineRule="auto"/>
            </w:pPr>
            <w:r>
              <w:rPr>
                <w:sz w:val="15"/>
                <w:szCs w:val="15"/>
              </w:rPr>
              <w:t xml:space="preserve">Programme</w:t>
            </w:r>
          </w:p>
        </w:tc>
        <w:tc>
          <w:tcPr>
            <w:tcW w:w="747" w:type="dxa"/>
          </w:tcPr>
          <w:p>
            <w:pPr>
              <w:pStyle w:val="Compact"/>
              <w:jc w:val="left"/>
              <w:spacing w:before="20" w:after="20" w:line="220" w:lineRule="auto"/>
            </w:pPr>
            <w:r>
              <w:rPr>
                <w:sz w:val="15"/>
                <w:szCs w:val="15"/>
              </w:rPr>
              <w:t xml:space="preserve">Announced</w:t>
            </w:r>
          </w:p>
        </w:tc>
        <w:tc>
          <w:tcPr>
            <w:tcW w:w="1290" w:type="dxa"/>
          </w:tcPr>
          <w:p>
            <w:pPr>
              <w:pStyle w:val="Compact"/>
              <w:jc w:val="left"/>
              <w:spacing w:before="20" w:after="20" w:line="220" w:lineRule="auto"/>
            </w:pPr>
            <w:r>
              <w:rPr>
                <w:sz w:val="15"/>
                <w:szCs w:val="15"/>
              </w:rPr>
              <w:t xml:space="preserve">Cost base at start</w:t>
            </w:r>
          </w:p>
        </w:tc>
        <w:tc>
          <w:tcPr>
            <w:tcW w:w="950" w:type="dxa"/>
          </w:tcPr>
          <w:p>
            <w:pPr>
              <w:pStyle w:val="Compact"/>
              <w:jc w:val="left"/>
              <w:spacing w:before="20" w:after="20" w:line="220" w:lineRule="auto"/>
            </w:pPr>
            <w:r>
              <w:rPr>
                <w:sz w:val="15"/>
                <w:szCs w:val="15"/>
              </w:rPr>
              <w:t xml:space="preserve">Savings target</w:t>
            </w:r>
          </w:p>
        </w:tc>
        <w:tc>
          <w:tcPr>
            <w:tcW w:w="1086" w:type="dxa"/>
          </w:tcPr>
          <w:p>
            <w:pPr>
              <w:pStyle w:val="Compact"/>
              <w:jc w:val="left"/>
              <w:spacing w:before="20" w:after="20" w:line="220" w:lineRule="auto"/>
            </w:pPr>
            <w:r>
              <w:rPr>
                <w:sz w:val="15"/>
                <w:szCs w:val="15"/>
              </w:rPr>
              <w:t xml:space="preserve">Target as % of base</w:t>
            </w:r>
          </w:p>
        </w:tc>
        <w:tc>
          <w:tcPr>
            <w:tcW w:w="849" w:type="dxa"/>
          </w:tcPr>
          <w:p>
            <w:pPr>
              <w:pStyle w:val="Compact"/>
              <w:jc w:val="left"/>
              <w:spacing w:before="20" w:after="20" w:line="220" w:lineRule="auto"/>
            </w:pPr>
            <w:r>
              <w:rPr>
                <w:sz w:val="15"/>
                <w:szCs w:val="15"/>
              </w:rPr>
              <w:t xml:space="preserve">Timeframe (years)</w:t>
            </w:r>
          </w:p>
        </w:tc>
        <w:tc>
          <w:tcPr>
            <w:tcW w:w="1901" w:type="dxa"/>
          </w:tcPr>
          <w:p>
            <w:pPr>
              <w:pStyle w:val="Compact"/>
              <w:jc w:val="left"/>
              <w:spacing w:before="20" w:after="20" w:line="220" w:lineRule="auto"/>
            </w:pPr>
            <w:r>
              <w:rPr>
                <w:sz w:val="15"/>
                <w:szCs w:val="15"/>
              </w:rPr>
              <w:t xml:space="preserve">Cost to achieve</w:t>
            </w:r>
          </w:p>
        </w:tc>
        <w:tc>
          <w:tcPr>
            <w:tcW w:w="1086" w:type="dxa"/>
          </w:tcPr>
          <w:p>
            <w:pPr>
              <w:pStyle w:val="Compact"/>
              <w:jc w:val="left"/>
              <w:spacing w:before="20" w:after="20" w:line="220" w:lineRule="auto"/>
            </w:pPr>
            <w:r>
              <w:rPr>
                <w:sz w:val="15"/>
                <w:szCs w:val="15"/>
              </w:rPr>
              <w:t xml:space="preserve">Cost to achieve ratio</w:t>
            </w:r>
          </w:p>
        </w:tc>
        <w:tc>
          <w:tcPr>
            <w:tcW w:w="2037" w:type="dxa"/>
          </w:tcPr>
          <w:p>
            <w:pPr>
              <w:pStyle w:val="Compact"/>
              <w:jc w:val="left"/>
              <w:spacing w:before="20" w:after="20" w:line="220" w:lineRule="auto"/>
            </w:pPr>
            <w:r>
              <w:rPr>
                <w:sz w:val="15"/>
                <w:szCs w:val="15"/>
              </w:rPr>
              <w:t xml:space="preserve">Delivered</w:t>
            </w:r>
          </w:p>
        </w:tc>
        <w:tc>
          <w:tcPr>
            <w:tcW w:w="2309" w:type="dxa"/>
          </w:tcPr>
          <w:p>
            <w:pPr>
              <w:pStyle w:val="Compact"/>
              <w:jc w:val="left"/>
              <w:spacing w:before="20" w:after="20" w:line="220" w:lineRule="auto"/>
            </w:pPr>
            <w:r>
              <w:rPr>
                <w:sz w:val="15"/>
                <w:szCs w:val="15"/>
              </w:rPr>
              <w:t xml:space="preserve">Levers disclosed</w:t>
            </w:r>
          </w:p>
        </w:tc>
      </w:tr>
      <w:tr>
        <w:tc>
          <w:tcPr>
            <w:tcW w:w="2309" w:type="dxa"/>
          </w:tcPr>
          <w:p>
            <w:pPr>
              <w:pStyle w:val="Compact"/>
              <w:jc w:val="left"/>
              <w:spacing w:before="20" w:after="20" w:line="220" w:lineRule="auto"/>
            </w:pPr>
            <w:r>
              <w:rPr>
                <w:sz w:val="15"/>
                <w:szCs w:val="15"/>
              </w:rPr>
              <w:t xml:space="preserve">Old Mutual Limited: R1 billion cost efficiency programme (2017-2019)</w:t>
            </w:r>
          </w:p>
        </w:tc>
        <w:tc>
          <w:tcPr>
            <w:tcW w:w="747" w:type="dxa"/>
          </w:tcPr>
          <w:p>
            <w:pPr>
              <w:pStyle w:val="Compact"/>
              <w:jc w:val="left"/>
              <w:spacing w:before="20" w:after="20" w:line="220" w:lineRule="auto"/>
            </w:pPr>
            <w:r>
              <w:rPr>
                <w:sz w:val="15"/>
                <w:szCs w:val="15"/>
              </w:rPr>
              <w:t xml:space="preserve">2017 [PR-001]</w:t>
            </w:r>
          </w:p>
        </w:tc>
        <w:tc>
          <w:tcPr>
            <w:tcW w:w="1290" w:type="dxa"/>
          </w:tcPr>
          <w:p>
            <w:pPr>
              <w:pStyle w:val="Compact"/>
              <w:jc w:val="left"/>
              <w:spacing w:before="20" w:after="20" w:line="220" w:lineRule="auto"/>
            </w:pPr>
            <w:r>
              <w:rPr>
                <w:sz w:val="15"/>
                <w:szCs w:val="15"/>
              </w:rPr>
              <w:t xml:space="preserve">ZAR 16,960m [PR-002]</w:t>
            </w:r>
          </w:p>
        </w:tc>
        <w:tc>
          <w:tcPr>
            <w:tcW w:w="950" w:type="dxa"/>
          </w:tcPr>
          <w:p>
            <w:pPr>
              <w:pStyle w:val="Compact"/>
              <w:jc w:val="left"/>
              <w:spacing w:before="20" w:after="20" w:line="220" w:lineRule="auto"/>
            </w:pPr>
            <w:r>
              <w:rPr>
                <w:sz w:val="15"/>
                <w:szCs w:val="15"/>
              </w:rPr>
              <w:t xml:space="preserve">ZAR 1,000m [PR-004]</w:t>
            </w:r>
          </w:p>
        </w:tc>
        <w:tc>
          <w:tcPr>
            <w:tcW w:w="1086" w:type="dxa"/>
          </w:tcPr>
          <w:p>
            <w:pPr>
              <w:pStyle w:val="Compact"/>
              <w:jc w:val="left"/>
              <w:spacing w:before="20" w:after="20" w:line="220" w:lineRule="auto"/>
            </w:pPr>
            <w:r>
              <w:rPr>
                <w:sz w:val="15"/>
                <w:szCs w:val="15"/>
              </w:rPr>
              <w:t xml:space="preserve">5.9% (derived) [PR-005]</w:t>
            </w:r>
          </w:p>
        </w:tc>
        <w:tc>
          <w:tcPr>
            <w:tcW w:w="849" w:type="dxa"/>
          </w:tcPr>
          <w:p>
            <w:pPr>
              <w:pStyle w:val="Compact"/>
              <w:jc w:val="left"/>
              <w:spacing w:before="20" w:after="20" w:line="220" w:lineRule="auto"/>
            </w:pPr>
            <w:r>
              <w:rPr>
                <w:sz w:val="15"/>
                <w:szCs w:val="15"/>
              </w:rPr>
              <w:t xml:space="preserve">2 [PR-006]</w:t>
            </w:r>
          </w:p>
        </w:tc>
        <w:tc>
          <w:tcPr>
            <w:tcW w:w="1901" w:type="dxa"/>
          </w:tcPr>
          <w:p>
            <w:pPr>
              <w:pStyle w:val="Compact"/>
              <w:jc w:val="left"/>
              <w:spacing w:before="20" w:after="20" w:line="220" w:lineRule="auto"/>
            </w:pPr>
            <w:r>
              <w:rPr>
                <w:sz w:val="15"/>
                <w:szCs w:val="15"/>
              </w:rPr>
              <w:t xml:space="preserve">ZAR 70m [PR-008]</w:t>
            </w:r>
          </w:p>
        </w:tc>
        <w:tc>
          <w:tcPr>
            <w:tcW w:w="1086" w:type="dxa"/>
          </w:tcPr>
          <w:p>
            <w:pPr>
              <w:pStyle w:val="Compact"/>
              <w:jc w:val="left"/>
              <w:spacing w:before="20" w:after="20" w:line="220" w:lineRule="auto"/>
            </w:pPr>
            <w:r>
              <w:rPr>
                <w:sz w:val="15"/>
                <w:szCs w:val="15"/>
              </w:rPr>
              <w:t xml:space="preserve">0.26x (derived) [PR-009]</w:t>
            </w:r>
          </w:p>
        </w:tc>
        <w:tc>
          <w:tcPr>
            <w:tcW w:w="2037" w:type="dxa"/>
          </w:tcPr>
          <w:p>
            <w:pPr>
              <w:pStyle w:val="Compact"/>
              <w:jc w:val="left"/>
              <w:spacing w:before="20" w:after="20" w:line="220" w:lineRule="auto"/>
            </w:pPr>
            <w:r>
              <w:rPr>
                <w:sz w:val="15"/>
                <w:szCs w:val="15"/>
              </w:rPr>
              <w:t xml:space="preserve">ZAR 750m [PR-010] (2018); ZAR 1,236m [PR-012] (2019)</w:t>
            </w:r>
          </w:p>
        </w:tc>
        <w:tc>
          <w:tcPr>
            <w:tcW w:w="2309" w:type="dxa"/>
          </w:tcPr>
          <w:p>
            <w:pPr>
              <w:pStyle w:val="Compact"/>
              <w:jc w:val="left"/>
              <w:spacing w:before="20" w:after="20" w:line="220" w:lineRule="auto"/>
            </w:pPr>
            <w:r>
              <w:rPr>
                <w:sz w:val="15"/>
                <w:szCs w:val="15"/>
              </w:rPr>
              <w:t xml:space="preserve">people and operating model 48.0% [PR-014]; IT and IT processes 18.0% [PR-015]; consultants and procurement 7.0% [PR-016]</w:t>
            </w:r>
          </w:p>
        </w:tc>
      </w:tr>
      <w:tr>
        <w:tc>
          <w:tcPr>
            <w:tcW w:w="2309" w:type="dxa"/>
          </w:tcPr>
          <w:p>
            <w:pPr>
              <w:pStyle w:val="Compact"/>
              <w:jc w:val="left"/>
              <w:spacing w:before="20" w:after="20" w:line="220" w:lineRule="auto"/>
            </w:pPr>
            <w:r>
              <w:rPr>
                <w:sz w:val="15"/>
                <w:szCs w:val="15"/>
              </w:rPr>
              <w:t xml:space="preserve">Old Mutual plc: managed separation, plc head office wind-down (2016-2018)</w:t>
            </w:r>
          </w:p>
        </w:tc>
        <w:tc>
          <w:tcPr>
            <w:tcW w:w="747" w:type="dxa"/>
          </w:tcPr>
          <w:p>
            <w:pPr>
              <w:pStyle w:val="Compact"/>
              <w:jc w:val="left"/>
              <w:spacing w:before="20" w:after="20" w:line="220" w:lineRule="auto"/>
            </w:pPr>
            <w:r>
              <w:rPr>
                <w:sz w:val="15"/>
                <w:szCs w:val="15"/>
              </w:rPr>
              <w:t xml:space="preserve">2016 [PR-018]</w:t>
            </w:r>
          </w:p>
        </w:tc>
        <w:tc>
          <w:tcPr>
            <w:tcW w:w="1290" w:type="dxa"/>
          </w:tcPr>
          <w:p>
            <w:pPr>
              <w:pStyle w:val="Compact"/>
              <w:jc w:val="left"/>
              <w:spacing w:before="20" w:after="20" w:line="220" w:lineRule="auto"/>
            </w:pPr>
            <w:r>
              <w:rPr>
                <w:sz w:val="15"/>
                <w:szCs w:val="15"/>
              </w:rPr>
              <w:t xml:space="preserve">n/d</w:t>
            </w:r>
          </w:p>
        </w:tc>
        <w:tc>
          <w:tcPr>
            <w:tcW w:w="950" w:type="dxa"/>
          </w:tcPr>
          <w:p>
            <w:pPr>
              <w:pStyle w:val="Compact"/>
              <w:jc w:val="left"/>
              <w:spacing w:before="20" w:after="20" w:line="220" w:lineRule="auto"/>
            </w:pPr>
            <w:r>
              <w:rPr>
                <w:sz w:val="15"/>
                <w:szCs w:val="15"/>
              </w:rPr>
              <w:t xml:space="preserve">GBP 95m [PR-019]</w:t>
            </w:r>
          </w:p>
        </w:tc>
        <w:tc>
          <w:tcPr>
            <w:tcW w:w="1086" w:type="dxa"/>
          </w:tcPr>
          <w:p>
            <w:pPr>
              <w:pStyle w:val="Compact"/>
              <w:jc w:val="left"/>
              <w:spacing w:before="20" w:after="20" w:line="220" w:lineRule="auto"/>
            </w:pPr>
            <w:r>
              <w:rPr>
                <w:sz w:val="15"/>
                <w:szCs w:val="15"/>
              </w:rPr>
              <w:t xml:space="preserve">n/d</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n/d</w:t>
            </w:r>
          </w:p>
        </w:tc>
        <w:tc>
          <w:tcPr>
            <w:tcW w:w="2037" w:type="dxa"/>
          </w:tcPr>
          <w:p>
            <w:pPr>
              <w:pStyle w:val="Compact"/>
              <w:jc w:val="left"/>
              <w:spacing w:before="20" w:after="20" w:line="220" w:lineRule="auto"/>
            </w:pPr>
            <w:r>
              <w:rPr>
                <w:sz w:val="15"/>
                <w:szCs w:val="15"/>
              </w:rPr>
              <w:t xml:space="preserve">n/d</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Old Mutual Limited: R750 million cost efficiency programme (2020-2022)</w:t>
            </w:r>
          </w:p>
        </w:tc>
        <w:tc>
          <w:tcPr>
            <w:tcW w:w="747" w:type="dxa"/>
          </w:tcPr>
          <w:p>
            <w:pPr>
              <w:pStyle w:val="Compact"/>
              <w:jc w:val="left"/>
              <w:spacing w:before="20" w:after="20" w:line="220" w:lineRule="auto"/>
            </w:pPr>
            <w:r>
              <w:rPr>
                <w:sz w:val="15"/>
                <w:szCs w:val="15"/>
              </w:rPr>
              <w:t xml:space="preserve">2020 [PR-022]</w:t>
            </w:r>
          </w:p>
        </w:tc>
        <w:tc>
          <w:tcPr>
            <w:tcW w:w="1290" w:type="dxa"/>
          </w:tcPr>
          <w:p>
            <w:pPr>
              <w:pStyle w:val="Compact"/>
              <w:jc w:val="left"/>
              <w:spacing w:before="20" w:after="20" w:line="220" w:lineRule="auto"/>
            </w:pPr>
            <w:r>
              <w:rPr>
                <w:sz w:val="15"/>
                <w:szCs w:val="15"/>
              </w:rPr>
              <w:t xml:space="preserve">n/d</w:t>
            </w:r>
          </w:p>
        </w:tc>
        <w:tc>
          <w:tcPr>
            <w:tcW w:w="950" w:type="dxa"/>
          </w:tcPr>
          <w:p>
            <w:pPr>
              <w:pStyle w:val="Compact"/>
              <w:jc w:val="left"/>
              <w:spacing w:before="20" w:after="20" w:line="220" w:lineRule="auto"/>
            </w:pPr>
            <w:r>
              <w:rPr>
                <w:sz w:val="15"/>
                <w:szCs w:val="15"/>
              </w:rPr>
              <w:t xml:space="preserve">ZAR 750m [PR-023]</w:t>
            </w:r>
          </w:p>
        </w:tc>
        <w:tc>
          <w:tcPr>
            <w:tcW w:w="1086" w:type="dxa"/>
          </w:tcPr>
          <w:p>
            <w:pPr>
              <w:pStyle w:val="Compact"/>
              <w:jc w:val="left"/>
              <w:spacing w:before="20" w:after="20" w:line="220" w:lineRule="auto"/>
            </w:pPr>
            <w:r>
              <w:rPr>
                <w:sz w:val="15"/>
                <w:szCs w:val="15"/>
              </w:rPr>
              <w:t xml:space="preserve">n/d</w:t>
            </w:r>
          </w:p>
        </w:tc>
        <w:tc>
          <w:tcPr>
            <w:tcW w:w="849" w:type="dxa"/>
          </w:tcPr>
          <w:p>
            <w:pPr>
              <w:pStyle w:val="Compact"/>
              <w:jc w:val="left"/>
              <w:spacing w:before="20" w:after="20" w:line="220" w:lineRule="auto"/>
            </w:pPr>
            <w:r>
              <w:rPr>
                <w:sz w:val="15"/>
                <w:szCs w:val="15"/>
              </w:rPr>
              <w:t xml:space="preserve">2 [PR-024]</w:t>
            </w:r>
          </w:p>
        </w:tc>
        <w:tc>
          <w:tcPr>
            <w:tcW w:w="1901"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n/d</w:t>
            </w:r>
          </w:p>
        </w:tc>
        <w:tc>
          <w:tcPr>
            <w:tcW w:w="2037" w:type="dxa"/>
          </w:tcPr>
          <w:p>
            <w:pPr>
              <w:pStyle w:val="Compact"/>
              <w:jc w:val="left"/>
              <w:spacing w:before="20" w:after="20" w:line="220" w:lineRule="auto"/>
            </w:pPr>
            <w:r>
              <w:rPr>
                <w:sz w:val="15"/>
                <w:szCs w:val="15"/>
              </w:rPr>
              <w:t xml:space="preserve">ZAR 500m [PR-026] (2021); ZAR 942m [PR-027] (2022)</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MMI Holdings: R750 million expense reduction programme (FY2016-FY2019)</w:t>
            </w:r>
          </w:p>
        </w:tc>
        <w:tc>
          <w:tcPr>
            <w:tcW w:w="747" w:type="dxa"/>
          </w:tcPr>
          <w:p>
            <w:pPr>
              <w:pStyle w:val="Compact"/>
              <w:jc w:val="left"/>
              <w:spacing w:before="20" w:after="20" w:line="220" w:lineRule="auto"/>
            </w:pPr>
            <w:r>
              <w:rPr>
                <w:sz w:val="15"/>
                <w:szCs w:val="15"/>
              </w:rPr>
              <w:t xml:space="preserve">2016 [PR-029]</w:t>
            </w:r>
          </w:p>
        </w:tc>
        <w:tc>
          <w:tcPr>
            <w:tcW w:w="1290" w:type="dxa"/>
          </w:tcPr>
          <w:p>
            <w:pPr>
              <w:pStyle w:val="Compact"/>
              <w:jc w:val="left"/>
              <w:spacing w:before="20" w:after="20" w:line="220" w:lineRule="auto"/>
            </w:pPr>
            <w:r>
              <w:rPr>
                <w:sz w:val="15"/>
                <w:szCs w:val="15"/>
              </w:rPr>
              <w:t xml:space="preserve">ZAR 13,444m (derived) [PR-033]</w:t>
            </w:r>
          </w:p>
        </w:tc>
        <w:tc>
          <w:tcPr>
            <w:tcW w:w="950" w:type="dxa"/>
          </w:tcPr>
          <w:p>
            <w:pPr>
              <w:pStyle w:val="Compact"/>
              <w:jc w:val="left"/>
              <w:spacing w:before="20" w:after="20" w:line="220" w:lineRule="auto"/>
            </w:pPr>
            <w:r>
              <w:rPr>
                <w:sz w:val="15"/>
                <w:szCs w:val="15"/>
              </w:rPr>
              <w:t xml:space="preserve">ZAR 750m [PR-030]</w:t>
            </w:r>
          </w:p>
        </w:tc>
        <w:tc>
          <w:tcPr>
            <w:tcW w:w="1086" w:type="dxa"/>
          </w:tcPr>
          <w:p>
            <w:pPr>
              <w:pStyle w:val="Compact"/>
              <w:jc w:val="left"/>
              <w:spacing w:before="20" w:after="20" w:line="220" w:lineRule="auto"/>
            </w:pPr>
            <w:r>
              <w:rPr>
                <w:sz w:val="15"/>
                <w:szCs w:val="15"/>
              </w:rPr>
              <w:t xml:space="preserve">5.6% (derived) [PR-034]</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n/d</w:t>
            </w:r>
          </w:p>
        </w:tc>
        <w:tc>
          <w:tcPr>
            <w:tcW w:w="2037" w:type="dxa"/>
          </w:tcPr>
          <w:p>
            <w:pPr>
              <w:pStyle w:val="Compact"/>
              <w:jc w:val="left"/>
              <w:spacing w:before="20" w:after="20" w:line="220" w:lineRule="auto"/>
            </w:pPr>
            <w:r>
              <w:rPr>
                <w:sz w:val="15"/>
                <w:szCs w:val="15"/>
              </w:rPr>
              <w:t xml:space="preserve">ZAR 104m [PR-035] (2016); ZAR 323m [PR-036] (2017)</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Momentum Metropolitan Holdings: Reset and Grow efficiency programme (F2018-F2021)</w:t>
            </w:r>
          </w:p>
        </w:tc>
        <w:tc>
          <w:tcPr>
            <w:tcW w:w="747" w:type="dxa"/>
          </w:tcPr>
          <w:p>
            <w:pPr>
              <w:pStyle w:val="Compact"/>
              <w:jc w:val="left"/>
              <w:spacing w:before="20" w:after="20" w:line="220" w:lineRule="auto"/>
            </w:pPr>
            <w:r>
              <w:rPr>
                <w:sz w:val="15"/>
                <w:szCs w:val="15"/>
              </w:rPr>
              <w:t xml:space="preserve">2018 [PR-038]</w:t>
            </w:r>
          </w:p>
        </w:tc>
        <w:tc>
          <w:tcPr>
            <w:tcW w:w="1290" w:type="dxa"/>
          </w:tcPr>
          <w:p>
            <w:pPr>
              <w:pStyle w:val="Compact"/>
              <w:jc w:val="left"/>
              <w:spacing w:before="20" w:after="20" w:line="220" w:lineRule="auto"/>
            </w:pPr>
            <w:r>
              <w:rPr>
                <w:sz w:val="15"/>
                <w:szCs w:val="15"/>
              </w:rPr>
              <w:t xml:space="preserve">ZAR 9,200m [PR-039]</w:t>
            </w:r>
          </w:p>
        </w:tc>
        <w:tc>
          <w:tcPr>
            <w:tcW w:w="950" w:type="dxa"/>
          </w:tcPr>
          <w:p>
            <w:pPr>
              <w:pStyle w:val="Compact"/>
              <w:jc w:val="left"/>
              <w:spacing w:before="20" w:after="20" w:line="220" w:lineRule="auto"/>
            </w:pPr>
            <w:r>
              <w:rPr>
                <w:sz w:val="15"/>
                <w:szCs w:val="15"/>
              </w:rPr>
              <w:t xml:space="preserve">ZAR 700m [PR-040]</w:t>
            </w:r>
          </w:p>
        </w:tc>
        <w:tc>
          <w:tcPr>
            <w:tcW w:w="1086" w:type="dxa"/>
          </w:tcPr>
          <w:p>
            <w:pPr>
              <w:pStyle w:val="Compact"/>
              <w:jc w:val="left"/>
              <w:spacing w:before="20" w:after="20" w:line="220" w:lineRule="auto"/>
            </w:pPr>
            <w:r>
              <w:rPr>
                <w:sz w:val="15"/>
                <w:szCs w:val="15"/>
              </w:rPr>
              <w:t xml:space="preserve">7.6% (derived) [PR-041]</w:t>
            </w:r>
          </w:p>
        </w:tc>
        <w:tc>
          <w:tcPr>
            <w:tcW w:w="849" w:type="dxa"/>
          </w:tcPr>
          <w:p>
            <w:pPr>
              <w:pStyle w:val="Compact"/>
              <w:jc w:val="left"/>
              <w:spacing w:before="20" w:after="20" w:line="220" w:lineRule="auto"/>
            </w:pPr>
            <w:r>
              <w:rPr>
                <w:sz w:val="15"/>
                <w:szCs w:val="15"/>
              </w:rPr>
              <w:t xml:space="preserve">3 [PR-042]</w:t>
            </w:r>
          </w:p>
        </w:tc>
        <w:tc>
          <w:tcPr>
            <w:tcW w:w="1901"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n/d</w:t>
            </w:r>
          </w:p>
        </w:tc>
        <w:tc>
          <w:tcPr>
            <w:tcW w:w="2037" w:type="dxa"/>
          </w:tcPr>
          <w:p>
            <w:pPr>
              <w:pStyle w:val="Compact"/>
              <w:jc w:val="left"/>
              <w:spacing w:before="20" w:after="20" w:line="220" w:lineRule="auto"/>
            </w:pPr>
            <w:r>
              <w:rPr>
                <w:sz w:val="15"/>
                <w:szCs w:val="15"/>
              </w:rPr>
              <w:t xml:space="preserve">ZAR 700m [PR-044] (2019); ZAR 900m [PR-045] (2021)</w:t>
            </w:r>
          </w:p>
        </w:tc>
        <w:tc>
          <w:tcPr>
            <w:tcW w:w="2309" w:type="dxa"/>
          </w:tcPr>
          <w:p>
            <w:pPr>
              <w:pStyle w:val="Compact"/>
              <w:jc w:val="left"/>
              <w:spacing w:before="20" w:after="20" w:line="220" w:lineRule="auto"/>
            </w:pPr>
            <w:r>
              <w:rPr>
                <w:sz w:val="15"/>
                <w:szCs w:val="15"/>
              </w:rPr>
              <w:t xml:space="preserve">head office functions cost change -2.0% [PR-047]</w:t>
            </w:r>
          </w:p>
        </w:tc>
      </w:tr>
      <w:tr>
        <w:tc>
          <w:tcPr>
            <w:tcW w:w="2309" w:type="dxa"/>
          </w:tcPr>
          <w:p>
            <w:pPr>
              <w:pStyle w:val="Compact"/>
              <w:jc w:val="left"/>
              <w:spacing w:before="20" w:after="20" w:line="220" w:lineRule="auto"/>
            </w:pPr>
            <w:r>
              <w:rPr>
                <w:sz w:val="15"/>
                <w:szCs w:val="15"/>
              </w:rPr>
              <w:t xml:space="preserve">Momentum Metropolitan Holdings: Reinvent and Grow cost efficiencies (F2022-F2024)</w:t>
            </w:r>
          </w:p>
        </w:tc>
        <w:tc>
          <w:tcPr>
            <w:tcW w:w="747" w:type="dxa"/>
          </w:tcPr>
          <w:p>
            <w:pPr>
              <w:pStyle w:val="Compact"/>
              <w:jc w:val="left"/>
              <w:spacing w:before="20" w:after="20" w:line="220" w:lineRule="auto"/>
            </w:pPr>
            <w:r>
              <w:rPr>
                <w:sz w:val="15"/>
                <w:szCs w:val="15"/>
              </w:rPr>
              <w:t xml:space="preserve">2021 [PR-048]</w:t>
            </w:r>
          </w:p>
        </w:tc>
        <w:tc>
          <w:tcPr>
            <w:tcW w:w="1290" w:type="dxa"/>
          </w:tcPr>
          <w:p>
            <w:pPr>
              <w:pStyle w:val="Compact"/>
              <w:jc w:val="left"/>
              <w:spacing w:before="20" w:after="20" w:line="220" w:lineRule="auto"/>
            </w:pPr>
            <w:r>
              <w:rPr>
                <w:sz w:val="15"/>
                <w:szCs w:val="15"/>
              </w:rPr>
              <w:t xml:space="preserve">n/d</w:t>
            </w:r>
          </w:p>
        </w:tc>
        <w:tc>
          <w:tcPr>
            <w:tcW w:w="950" w:type="dxa"/>
          </w:tcPr>
          <w:p>
            <w:pPr>
              <w:pStyle w:val="Compact"/>
              <w:jc w:val="left"/>
              <w:spacing w:before="20" w:after="20" w:line="220" w:lineRule="auto"/>
            </w:pPr>
            <w:r>
              <w:rPr>
                <w:sz w:val="15"/>
                <w:szCs w:val="15"/>
              </w:rPr>
              <w:t xml:space="preserve">ZAR 500m [PR-049]</w:t>
            </w:r>
          </w:p>
        </w:tc>
        <w:tc>
          <w:tcPr>
            <w:tcW w:w="1086" w:type="dxa"/>
          </w:tcPr>
          <w:p>
            <w:pPr>
              <w:pStyle w:val="Compact"/>
              <w:jc w:val="left"/>
              <w:spacing w:before="20" w:after="20" w:line="220" w:lineRule="auto"/>
            </w:pPr>
            <w:r>
              <w:rPr>
                <w:sz w:val="15"/>
                <w:szCs w:val="15"/>
              </w:rPr>
              <w:t xml:space="preserve">n/d</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n/d</w:t>
            </w:r>
          </w:p>
        </w:tc>
        <w:tc>
          <w:tcPr>
            <w:tcW w:w="2037" w:type="dxa"/>
          </w:tcPr>
          <w:p>
            <w:pPr>
              <w:pStyle w:val="Compact"/>
              <w:jc w:val="left"/>
              <w:spacing w:before="20" w:after="20" w:line="220" w:lineRule="auto"/>
            </w:pPr>
            <w:r>
              <w:rPr>
                <w:sz w:val="15"/>
                <w:szCs w:val="15"/>
              </w:rPr>
              <w:t xml:space="preserve">n/d</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Aviva plc: Friends Life acquisition integration (2015-2017)</w:t>
            </w:r>
          </w:p>
        </w:tc>
        <w:tc>
          <w:tcPr>
            <w:tcW w:w="747" w:type="dxa"/>
          </w:tcPr>
          <w:p>
            <w:pPr>
              <w:pStyle w:val="Compact"/>
              <w:jc w:val="left"/>
              <w:spacing w:before="20" w:after="20" w:line="220" w:lineRule="auto"/>
            </w:pPr>
            <w:r>
              <w:rPr>
                <w:sz w:val="15"/>
                <w:szCs w:val="15"/>
              </w:rPr>
              <w:t xml:space="preserve">2014 [PR-051]</w:t>
            </w:r>
          </w:p>
        </w:tc>
        <w:tc>
          <w:tcPr>
            <w:tcW w:w="1290" w:type="dxa"/>
          </w:tcPr>
          <w:p>
            <w:pPr>
              <w:pStyle w:val="Compact"/>
              <w:jc w:val="left"/>
              <w:spacing w:before="20" w:after="20" w:line="220" w:lineRule="auto"/>
            </w:pPr>
            <w:r>
              <w:rPr>
                <w:sz w:val="15"/>
                <w:szCs w:val="15"/>
              </w:rPr>
              <w:t xml:space="preserve">GBP 815m [PR-053]</w:t>
            </w:r>
          </w:p>
        </w:tc>
        <w:tc>
          <w:tcPr>
            <w:tcW w:w="950" w:type="dxa"/>
          </w:tcPr>
          <w:p>
            <w:pPr>
              <w:pStyle w:val="Compact"/>
              <w:jc w:val="left"/>
              <w:spacing w:before="20" w:after="20" w:line="220" w:lineRule="auto"/>
            </w:pPr>
            <w:r>
              <w:rPr>
                <w:sz w:val="15"/>
                <w:szCs w:val="15"/>
              </w:rPr>
              <w:t xml:space="preserve">GBP 225m [PR-052]</w:t>
            </w:r>
          </w:p>
        </w:tc>
        <w:tc>
          <w:tcPr>
            <w:tcW w:w="1086" w:type="dxa"/>
          </w:tcPr>
          <w:p>
            <w:pPr>
              <w:pStyle w:val="Compact"/>
              <w:jc w:val="left"/>
              <w:spacing w:before="20" w:after="20" w:line="220" w:lineRule="auto"/>
            </w:pPr>
            <w:r>
              <w:rPr>
                <w:sz w:val="15"/>
                <w:szCs w:val="15"/>
              </w:rPr>
              <w:t xml:space="preserve">n/d</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1.56x (derived) [PR-055]</w:t>
            </w:r>
          </w:p>
        </w:tc>
        <w:tc>
          <w:tcPr>
            <w:tcW w:w="2037" w:type="dxa"/>
          </w:tcPr>
          <w:p>
            <w:pPr>
              <w:pStyle w:val="Compact"/>
              <w:jc w:val="left"/>
              <w:spacing w:before="20" w:after="20" w:line="220" w:lineRule="auto"/>
            </w:pPr>
            <w:r>
              <w:rPr>
                <w:sz w:val="15"/>
                <w:szCs w:val="15"/>
              </w:rPr>
              <w:t xml:space="preserve">GBP 63m [PR-057] (2015); GBP 168m [PR-058] (2015)</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Aviva plc: cost reduction programme (2018 baseline, 2019 CMD; upgraded 2022)</w:t>
            </w:r>
          </w:p>
        </w:tc>
        <w:tc>
          <w:tcPr>
            <w:tcW w:w="747" w:type="dxa"/>
          </w:tcPr>
          <w:p>
            <w:pPr>
              <w:pStyle w:val="Compact"/>
              <w:jc w:val="left"/>
              <w:spacing w:before="20" w:after="20" w:line="220" w:lineRule="auto"/>
            </w:pPr>
            <w:r>
              <w:rPr>
                <w:sz w:val="15"/>
                <w:szCs w:val="15"/>
              </w:rPr>
              <w:t xml:space="preserve">2019 [PR-061]</w:t>
            </w:r>
          </w:p>
        </w:tc>
        <w:tc>
          <w:tcPr>
            <w:tcW w:w="1290" w:type="dxa"/>
          </w:tcPr>
          <w:p>
            <w:pPr>
              <w:pStyle w:val="Compact"/>
              <w:jc w:val="left"/>
              <w:spacing w:before="20" w:after="20" w:line="220" w:lineRule="auto"/>
            </w:pPr>
            <w:r>
              <w:rPr>
                <w:sz w:val="15"/>
                <w:szCs w:val="15"/>
              </w:rPr>
              <w:t xml:space="preserve">n/d</w:t>
            </w:r>
          </w:p>
        </w:tc>
        <w:tc>
          <w:tcPr>
            <w:tcW w:w="950" w:type="dxa"/>
          </w:tcPr>
          <w:p>
            <w:pPr>
              <w:pStyle w:val="Compact"/>
              <w:jc w:val="left"/>
              <w:spacing w:before="20" w:after="20" w:line="220" w:lineRule="auto"/>
            </w:pPr>
            <w:r>
              <w:rPr>
                <w:sz w:val="15"/>
                <w:szCs w:val="15"/>
              </w:rPr>
              <w:t xml:space="preserve">GBP 300m [PR-062]</w:t>
            </w:r>
          </w:p>
        </w:tc>
        <w:tc>
          <w:tcPr>
            <w:tcW w:w="1086" w:type="dxa"/>
          </w:tcPr>
          <w:p>
            <w:pPr>
              <w:pStyle w:val="Compact"/>
              <w:jc w:val="left"/>
              <w:spacing w:before="20" w:after="20" w:line="220" w:lineRule="auto"/>
            </w:pPr>
            <w:r>
              <w:rPr>
                <w:sz w:val="15"/>
                <w:szCs w:val="15"/>
              </w:rPr>
              <w:t xml:space="preserve">n/d</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GBP 200m [PR-068]</w:t>
            </w:r>
          </w:p>
        </w:tc>
        <w:tc>
          <w:tcPr>
            <w:tcW w:w="1086" w:type="dxa"/>
          </w:tcPr>
          <w:p>
            <w:pPr>
              <w:pStyle w:val="Compact"/>
              <w:jc w:val="left"/>
              <w:spacing w:before="20" w:after="20" w:line="220" w:lineRule="auto"/>
            </w:pPr>
            <w:r>
              <w:rPr>
                <w:sz w:val="15"/>
                <w:szCs w:val="15"/>
              </w:rPr>
              <w:t xml:space="preserve">0.44x (derived) [PR-069]</w:t>
            </w:r>
          </w:p>
        </w:tc>
        <w:tc>
          <w:tcPr>
            <w:tcW w:w="2037" w:type="dxa"/>
          </w:tcPr>
          <w:p>
            <w:pPr>
              <w:pStyle w:val="Compact"/>
              <w:jc w:val="left"/>
              <w:spacing w:before="20" w:after="20" w:line="220" w:lineRule="auto"/>
            </w:pPr>
            <w:r>
              <w:rPr>
                <w:sz w:val="15"/>
                <w:szCs w:val="15"/>
              </w:rPr>
              <w:t xml:space="preserve">GBP 244m [PR-066] (2021)</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Zurich Insurance Group: 2017-2019 net savings programme (vs 2015 baseline)</w:t>
            </w:r>
          </w:p>
        </w:tc>
        <w:tc>
          <w:tcPr>
            <w:tcW w:w="747" w:type="dxa"/>
          </w:tcPr>
          <w:p>
            <w:pPr>
              <w:pStyle w:val="Compact"/>
              <w:jc w:val="left"/>
              <w:spacing w:before="20" w:after="20" w:line="220" w:lineRule="auto"/>
            </w:pPr>
            <w:r>
              <w:rPr>
                <w:sz w:val="15"/>
                <w:szCs w:val="15"/>
              </w:rPr>
              <w:t xml:space="preserve">2016 [PR-071]</w:t>
            </w:r>
          </w:p>
        </w:tc>
        <w:tc>
          <w:tcPr>
            <w:tcW w:w="1290" w:type="dxa"/>
          </w:tcPr>
          <w:p>
            <w:pPr>
              <w:pStyle w:val="Compact"/>
              <w:jc w:val="left"/>
              <w:spacing w:before="20" w:after="20" w:line="220" w:lineRule="auto"/>
            </w:pPr>
            <w:r>
              <w:rPr>
                <w:sz w:val="15"/>
                <w:szCs w:val="15"/>
              </w:rPr>
              <w:t xml:space="preserve">n/d</w:t>
            </w:r>
          </w:p>
        </w:tc>
        <w:tc>
          <w:tcPr>
            <w:tcW w:w="950" w:type="dxa"/>
          </w:tcPr>
          <w:p>
            <w:pPr>
              <w:pStyle w:val="Compact"/>
              <w:jc w:val="left"/>
              <w:spacing w:before="20" w:after="20" w:line="220" w:lineRule="auto"/>
            </w:pPr>
            <w:r>
              <w:rPr>
                <w:sz w:val="15"/>
                <w:szCs w:val="15"/>
              </w:rPr>
              <w:t xml:space="preserve">USD 1,500m [PR-072]</w:t>
            </w:r>
          </w:p>
        </w:tc>
        <w:tc>
          <w:tcPr>
            <w:tcW w:w="1086" w:type="dxa"/>
          </w:tcPr>
          <w:p>
            <w:pPr>
              <w:pStyle w:val="Compact"/>
              <w:jc w:val="left"/>
              <w:spacing w:before="20" w:after="20" w:line="220" w:lineRule="auto"/>
            </w:pPr>
            <w:r>
              <w:rPr>
                <w:sz w:val="15"/>
                <w:szCs w:val="15"/>
              </w:rPr>
              <w:t xml:space="preserve">n/d</w:t>
            </w:r>
          </w:p>
        </w:tc>
        <w:tc>
          <w:tcPr>
            <w:tcW w:w="849" w:type="dxa"/>
          </w:tcPr>
          <w:p>
            <w:pPr>
              <w:pStyle w:val="Compact"/>
              <w:jc w:val="left"/>
              <w:spacing w:before="20" w:after="20" w:line="220" w:lineRule="auto"/>
            </w:pPr>
            <w:r>
              <w:rPr>
                <w:sz w:val="15"/>
                <w:szCs w:val="15"/>
              </w:rPr>
              <w:t xml:space="preserve">4 [PR-078]</w:t>
            </w:r>
          </w:p>
        </w:tc>
        <w:tc>
          <w:tcPr>
            <w:tcW w:w="1901" w:type="dxa"/>
          </w:tcPr>
          <w:p>
            <w:pPr>
              <w:pStyle w:val="Compact"/>
              <w:jc w:val="left"/>
              <w:spacing w:before="20" w:after="20" w:line="220" w:lineRule="auto"/>
            </w:pPr>
            <w:r>
              <w:rPr>
                <w:sz w:val="15"/>
                <w:szCs w:val="15"/>
              </w:rPr>
              <w:t xml:space="preserve">USD 500m [PR-074]; USD 1,000m (derived) [PR-075]</w:t>
            </w:r>
          </w:p>
        </w:tc>
        <w:tc>
          <w:tcPr>
            <w:tcW w:w="1086" w:type="dxa"/>
          </w:tcPr>
          <w:p>
            <w:pPr>
              <w:pStyle w:val="Compact"/>
              <w:jc w:val="left"/>
              <w:spacing w:before="20" w:after="20" w:line="220" w:lineRule="auto"/>
            </w:pPr>
            <w:r>
              <w:rPr>
                <w:sz w:val="15"/>
                <w:szCs w:val="15"/>
              </w:rPr>
              <w:t xml:space="preserve">0.67x (derived) [PR-076]</w:t>
            </w:r>
          </w:p>
        </w:tc>
        <w:tc>
          <w:tcPr>
            <w:tcW w:w="2037" w:type="dxa"/>
          </w:tcPr>
          <w:p>
            <w:pPr>
              <w:pStyle w:val="Compact"/>
              <w:jc w:val="left"/>
              <w:spacing w:before="20" w:after="20" w:line="220" w:lineRule="auto"/>
            </w:pPr>
            <w:r>
              <w:rPr>
                <w:sz w:val="15"/>
                <w:szCs w:val="15"/>
              </w:rPr>
              <w:t xml:space="preserve">USD 1,560m [PR-077] (2019)</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Manulife Financial: expense efficiency programme (2018-2022)</w:t>
            </w:r>
          </w:p>
        </w:tc>
        <w:tc>
          <w:tcPr>
            <w:tcW w:w="747" w:type="dxa"/>
          </w:tcPr>
          <w:p>
            <w:pPr>
              <w:pStyle w:val="Compact"/>
              <w:jc w:val="left"/>
              <w:spacing w:before="20" w:after="20" w:line="220" w:lineRule="auto"/>
            </w:pPr>
            <w:r>
              <w:rPr>
                <w:sz w:val="15"/>
                <w:szCs w:val="15"/>
              </w:rPr>
              <w:t xml:space="preserve">2018 [PR-079]</w:t>
            </w:r>
          </w:p>
        </w:tc>
        <w:tc>
          <w:tcPr>
            <w:tcW w:w="1290" w:type="dxa"/>
          </w:tcPr>
          <w:p>
            <w:pPr>
              <w:pStyle w:val="Compact"/>
              <w:jc w:val="left"/>
              <w:spacing w:before="20" w:after="20" w:line="220" w:lineRule="auto"/>
            </w:pPr>
            <w:r>
              <w:rPr>
                <w:sz w:val="15"/>
                <w:szCs w:val="15"/>
              </w:rPr>
              <w:t xml:space="preserve">n/d</w:t>
            </w:r>
          </w:p>
        </w:tc>
        <w:tc>
          <w:tcPr>
            <w:tcW w:w="950" w:type="dxa"/>
          </w:tcPr>
          <w:p>
            <w:pPr>
              <w:pStyle w:val="Compact"/>
              <w:jc w:val="left"/>
              <w:spacing w:before="20" w:after="20" w:line="220" w:lineRule="auto"/>
            </w:pPr>
            <w:r>
              <w:rPr>
                <w:sz w:val="15"/>
                <w:szCs w:val="15"/>
              </w:rPr>
              <w:t xml:space="preserve">CAD 1,000m [PR-080]</w:t>
            </w:r>
          </w:p>
        </w:tc>
        <w:tc>
          <w:tcPr>
            <w:tcW w:w="1086" w:type="dxa"/>
          </w:tcPr>
          <w:p>
            <w:pPr>
              <w:pStyle w:val="Compact"/>
              <w:jc w:val="left"/>
              <w:spacing w:before="20" w:after="20" w:line="220" w:lineRule="auto"/>
            </w:pPr>
            <w:r>
              <w:rPr>
                <w:sz w:val="15"/>
                <w:szCs w:val="15"/>
              </w:rPr>
              <w:t xml:space="preserve">n/d</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CAD 250m [PR-081]</w:t>
            </w:r>
          </w:p>
        </w:tc>
        <w:tc>
          <w:tcPr>
            <w:tcW w:w="1086" w:type="dxa"/>
          </w:tcPr>
          <w:p>
            <w:pPr>
              <w:pStyle w:val="Compact"/>
              <w:jc w:val="left"/>
              <w:spacing w:before="20" w:after="20" w:line="220" w:lineRule="auto"/>
            </w:pPr>
            <w:r>
              <w:rPr>
                <w:sz w:val="15"/>
                <w:szCs w:val="15"/>
              </w:rPr>
              <w:t xml:space="preserve">0.25x (derived) [PR-082]</w:t>
            </w:r>
          </w:p>
        </w:tc>
        <w:tc>
          <w:tcPr>
            <w:tcW w:w="2037" w:type="dxa"/>
          </w:tcPr>
          <w:p>
            <w:pPr>
              <w:pStyle w:val="Compact"/>
              <w:jc w:val="left"/>
              <w:spacing w:before="20" w:after="20" w:line="220" w:lineRule="auto"/>
            </w:pPr>
            <w:r>
              <w:rPr>
                <w:sz w:val="15"/>
                <w:szCs w:val="15"/>
              </w:rPr>
              <w:t xml:space="preserve">CAD 1,000m [PR-084] (2020)</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MetLife: unit cost initiative (2016-2020)</w:t>
            </w:r>
          </w:p>
        </w:tc>
        <w:tc>
          <w:tcPr>
            <w:tcW w:w="747" w:type="dxa"/>
          </w:tcPr>
          <w:p>
            <w:pPr>
              <w:pStyle w:val="Compact"/>
              <w:jc w:val="left"/>
              <w:spacing w:before="20" w:after="20" w:line="220" w:lineRule="auto"/>
            </w:pPr>
            <w:r>
              <w:rPr>
                <w:sz w:val="15"/>
                <w:szCs w:val="15"/>
              </w:rPr>
              <w:t xml:space="preserve">2016 [PR-085]</w:t>
            </w:r>
          </w:p>
        </w:tc>
        <w:tc>
          <w:tcPr>
            <w:tcW w:w="1290" w:type="dxa"/>
          </w:tcPr>
          <w:p>
            <w:pPr>
              <w:pStyle w:val="Compact"/>
              <w:jc w:val="left"/>
              <w:spacing w:before="20" w:after="20" w:line="220" w:lineRule="auto"/>
            </w:pPr>
            <w:r>
              <w:rPr>
                <w:sz w:val="15"/>
                <w:szCs w:val="15"/>
              </w:rPr>
              <w:t xml:space="preserve">n/d</w:t>
            </w:r>
          </w:p>
        </w:tc>
        <w:tc>
          <w:tcPr>
            <w:tcW w:w="950" w:type="dxa"/>
          </w:tcPr>
          <w:p>
            <w:pPr>
              <w:pStyle w:val="Compact"/>
              <w:jc w:val="left"/>
              <w:spacing w:before="20" w:after="20" w:line="220" w:lineRule="auto"/>
            </w:pPr>
            <w:r>
              <w:rPr>
                <w:sz w:val="15"/>
                <w:szCs w:val="15"/>
              </w:rPr>
              <w:t xml:space="preserve">USD 1,100m [PR-086]</w:t>
            </w:r>
          </w:p>
        </w:tc>
        <w:tc>
          <w:tcPr>
            <w:tcW w:w="1086" w:type="dxa"/>
          </w:tcPr>
          <w:p>
            <w:pPr>
              <w:pStyle w:val="Compact"/>
              <w:jc w:val="left"/>
              <w:spacing w:before="20" w:after="20" w:line="220" w:lineRule="auto"/>
            </w:pPr>
            <w:r>
              <w:rPr>
                <w:sz w:val="15"/>
                <w:szCs w:val="15"/>
              </w:rPr>
              <w:t xml:space="preserve">n/d</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USD 800m [PR-088]</w:t>
            </w:r>
          </w:p>
        </w:tc>
        <w:tc>
          <w:tcPr>
            <w:tcW w:w="1086" w:type="dxa"/>
          </w:tcPr>
          <w:p>
            <w:pPr>
              <w:pStyle w:val="Compact"/>
              <w:jc w:val="left"/>
              <w:spacing w:before="20" w:after="20" w:line="220" w:lineRule="auto"/>
            </w:pPr>
            <w:r>
              <w:rPr>
                <w:sz w:val="15"/>
                <w:szCs w:val="15"/>
              </w:rPr>
              <w:t xml:space="preserve">0.73x (derived) [PR-089]</w:t>
            </w:r>
          </w:p>
        </w:tc>
        <w:tc>
          <w:tcPr>
            <w:tcW w:w="2037" w:type="dxa"/>
          </w:tcPr>
          <w:p>
            <w:pPr>
              <w:pStyle w:val="Compact"/>
              <w:jc w:val="left"/>
              <w:spacing w:before="20" w:after="20" w:line="220" w:lineRule="auto"/>
            </w:pPr>
            <w:r>
              <w:rPr>
                <w:sz w:val="15"/>
                <w:szCs w:val="15"/>
              </w:rPr>
              <w:t xml:space="preserve">USD 900m† [PR-091] (2019)</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Phoenix Group: Standard Life Assurance acquisition transition programme (2018-2023)</w:t>
            </w:r>
          </w:p>
        </w:tc>
        <w:tc>
          <w:tcPr>
            <w:tcW w:w="747" w:type="dxa"/>
          </w:tcPr>
          <w:p>
            <w:pPr>
              <w:pStyle w:val="Compact"/>
              <w:jc w:val="left"/>
              <w:spacing w:before="20" w:after="20" w:line="220" w:lineRule="auto"/>
            </w:pPr>
            <w:r>
              <w:rPr>
                <w:sz w:val="15"/>
                <w:szCs w:val="15"/>
              </w:rPr>
              <w:t xml:space="preserve">2018 [PR-092]</w:t>
            </w:r>
          </w:p>
        </w:tc>
        <w:tc>
          <w:tcPr>
            <w:tcW w:w="1290" w:type="dxa"/>
          </w:tcPr>
          <w:p>
            <w:pPr>
              <w:pStyle w:val="Compact"/>
              <w:jc w:val="left"/>
              <w:spacing w:before="20" w:after="20" w:line="220" w:lineRule="auto"/>
            </w:pPr>
            <w:r>
              <w:rPr>
                <w:sz w:val="15"/>
                <w:szCs w:val="15"/>
              </w:rPr>
              <w:t xml:space="preserve">GBP 600m [PR-093]</w:t>
            </w:r>
          </w:p>
        </w:tc>
        <w:tc>
          <w:tcPr>
            <w:tcW w:w="950" w:type="dxa"/>
          </w:tcPr>
          <w:p>
            <w:pPr>
              <w:pStyle w:val="Compact"/>
              <w:jc w:val="left"/>
              <w:spacing w:before="20" w:after="20" w:line="220" w:lineRule="auto"/>
            </w:pPr>
            <w:r>
              <w:rPr>
                <w:sz w:val="15"/>
                <w:szCs w:val="15"/>
              </w:rPr>
              <w:t xml:space="preserve">GBP 75m [PR-094]</w:t>
            </w:r>
          </w:p>
        </w:tc>
        <w:tc>
          <w:tcPr>
            <w:tcW w:w="1086" w:type="dxa"/>
          </w:tcPr>
          <w:p>
            <w:pPr>
              <w:pStyle w:val="Compact"/>
              <w:jc w:val="left"/>
              <w:spacing w:before="20" w:after="20" w:line="220" w:lineRule="auto"/>
            </w:pPr>
            <w:r>
              <w:rPr>
                <w:sz w:val="15"/>
                <w:szCs w:val="15"/>
              </w:rPr>
              <w:t xml:space="preserve">12.5% (derived) [PR-095]</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GBP 150m [PR-096]</w:t>
            </w:r>
          </w:p>
        </w:tc>
        <w:tc>
          <w:tcPr>
            <w:tcW w:w="1086" w:type="dxa"/>
          </w:tcPr>
          <w:p>
            <w:pPr>
              <w:pStyle w:val="Compact"/>
              <w:jc w:val="left"/>
              <w:spacing w:before="20" w:after="20" w:line="220" w:lineRule="auto"/>
            </w:pPr>
            <w:r>
              <w:rPr>
                <w:sz w:val="15"/>
                <w:szCs w:val="15"/>
              </w:rPr>
              <w:t xml:space="preserve">2.00x (derived) [PR-097]</w:t>
            </w:r>
          </w:p>
        </w:tc>
        <w:tc>
          <w:tcPr>
            <w:tcW w:w="2037" w:type="dxa"/>
          </w:tcPr>
          <w:p>
            <w:pPr>
              <w:pStyle w:val="Compact"/>
              <w:jc w:val="left"/>
              <w:spacing w:before="20" w:after="20" w:line="220" w:lineRule="auto"/>
            </w:pPr>
            <w:r>
              <w:rPr>
                <w:sz w:val="15"/>
                <w:szCs w:val="15"/>
              </w:rPr>
              <w:t xml:space="preserve">GBP 33m [PR-099] (2019)</w:t>
            </w:r>
          </w:p>
        </w:tc>
        <w:tc>
          <w:tcPr>
            <w:tcW w:w="2309" w:type="dxa"/>
          </w:tcPr>
          <w:p>
            <w:pPr>
              <w:pStyle w:val="Compact"/>
              <w:jc w:val="left"/>
              <w:spacing w:before="20" w:after="20" w:line="220" w:lineRule="auto"/>
            </w:pPr>
            <w:r>
              <w:rPr>
                <w:sz w:val="15"/>
                <w:szCs w:val="15"/>
              </w:rPr>
              <w:t xml:space="preserve">entity consolidation, single LifeCo Part VII capital benefit GBP 100m [PR-101]</w:t>
            </w:r>
          </w:p>
        </w:tc>
      </w:tr>
      <w:tr>
        <w:tc>
          <w:tcPr>
            <w:tcW w:w="2309" w:type="dxa"/>
          </w:tcPr>
          <w:p>
            <w:pPr>
              <w:pStyle w:val="Compact"/>
              <w:jc w:val="left"/>
              <w:spacing w:before="20" w:after="20" w:line="220" w:lineRule="auto"/>
            </w:pPr>
            <w:r>
              <w:rPr>
                <w:sz w:val="15"/>
                <w:szCs w:val="15"/>
              </w:rPr>
              <w:t xml:space="preserve">Phoenix Group: Part VII transfer of L&amp;G Mature Savings business into Phoenix (2020)</w:t>
            </w:r>
          </w:p>
        </w:tc>
        <w:tc>
          <w:tcPr>
            <w:tcW w:w="747" w:type="dxa"/>
          </w:tcPr>
          <w:p>
            <w:pPr>
              <w:pStyle w:val="Compact"/>
              <w:jc w:val="left"/>
              <w:spacing w:before="20" w:after="20" w:line="220" w:lineRule="auto"/>
            </w:pPr>
            <w:r>
              <w:rPr>
                <w:sz w:val="15"/>
                <w:szCs w:val="15"/>
              </w:rPr>
              <w:t xml:space="preserve">2017 [PR-102]</w:t>
            </w:r>
          </w:p>
        </w:tc>
        <w:tc>
          <w:tcPr>
            <w:tcW w:w="1290" w:type="dxa"/>
          </w:tcPr>
          <w:p>
            <w:pPr>
              <w:pStyle w:val="Compact"/>
              <w:jc w:val="left"/>
              <w:spacing w:before="20" w:after="20" w:line="220" w:lineRule="auto"/>
            </w:pPr>
            <w:r>
              <w:rPr>
                <w:sz w:val="15"/>
                <w:szCs w:val="15"/>
              </w:rPr>
              <w:t xml:space="preserve">n/d</w:t>
            </w:r>
          </w:p>
        </w:tc>
        <w:tc>
          <w:tcPr>
            <w:tcW w:w="950"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n/d</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n/d</w:t>
            </w:r>
          </w:p>
        </w:tc>
        <w:tc>
          <w:tcPr>
            <w:tcW w:w="2037" w:type="dxa"/>
          </w:tcPr>
          <w:p>
            <w:pPr>
              <w:pStyle w:val="Compact"/>
              <w:jc w:val="left"/>
              <w:spacing w:before="20" w:after="20" w:line="220" w:lineRule="auto"/>
            </w:pPr>
            <w:r>
              <w:rPr>
                <w:sz w:val="15"/>
                <w:szCs w:val="15"/>
              </w:rPr>
              <w:t xml:space="preserve">n/d</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Phoenix Group: £250m cost savings programme (2024-2026)</w:t>
            </w:r>
          </w:p>
        </w:tc>
        <w:tc>
          <w:tcPr>
            <w:tcW w:w="747" w:type="dxa"/>
          </w:tcPr>
          <w:p>
            <w:pPr>
              <w:pStyle w:val="Compact"/>
              <w:jc w:val="left"/>
              <w:spacing w:before="20" w:after="20" w:line="220" w:lineRule="auto"/>
            </w:pPr>
            <w:r>
              <w:rPr>
                <w:sz w:val="15"/>
                <w:szCs w:val="15"/>
              </w:rPr>
              <w:t xml:space="preserve">2024 [PR-105]</w:t>
            </w:r>
          </w:p>
        </w:tc>
        <w:tc>
          <w:tcPr>
            <w:tcW w:w="1290" w:type="dxa"/>
          </w:tcPr>
          <w:p>
            <w:pPr>
              <w:pStyle w:val="Compact"/>
              <w:jc w:val="left"/>
              <w:spacing w:before="20" w:after="20" w:line="220" w:lineRule="auto"/>
            </w:pPr>
            <w:r>
              <w:rPr>
                <w:sz w:val="15"/>
                <w:szCs w:val="15"/>
              </w:rPr>
              <w:t xml:space="preserve">n/d</w:t>
            </w:r>
          </w:p>
        </w:tc>
        <w:tc>
          <w:tcPr>
            <w:tcW w:w="950" w:type="dxa"/>
          </w:tcPr>
          <w:p>
            <w:pPr>
              <w:pStyle w:val="Compact"/>
              <w:jc w:val="left"/>
              <w:spacing w:before="20" w:after="20" w:line="220" w:lineRule="auto"/>
            </w:pPr>
            <w:r>
              <w:rPr>
                <w:sz w:val="15"/>
                <w:szCs w:val="15"/>
              </w:rPr>
              <w:t xml:space="preserve">GBP 250m [PR-106]</w:t>
            </w:r>
          </w:p>
        </w:tc>
        <w:tc>
          <w:tcPr>
            <w:tcW w:w="1086" w:type="dxa"/>
          </w:tcPr>
          <w:p>
            <w:pPr>
              <w:pStyle w:val="Compact"/>
              <w:jc w:val="left"/>
              <w:spacing w:before="20" w:after="20" w:line="220" w:lineRule="auto"/>
            </w:pPr>
            <w:r>
              <w:rPr>
                <w:sz w:val="15"/>
                <w:szCs w:val="15"/>
              </w:rPr>
              <w:t xml:space="preserve">n/d</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GBP 700m† [PR-109]</w:t>
            </w:r>
          </w:p>
        </w:tc>
        <w:tc>
          <w:tcPr>
            <w:tcW w:w="1086" w:type="dxa"/>
          </w:tcPr>
          <w:p>
            <w:pPr>
              <w:pStyle w:val="Compact"/>
              <w:jc w:val="left"/>
              <w:spacing w:before="20" w:after="20" w:line="220" w:lineRule="auto"/>
            </w:pPr>
            <w:r>
              <w:rPr>
                <w:sz w:val="15"/>
                <w:szCs w:val="15"/>
              </w:rPr>
              <w:t xml:space="preserve">2.80x (derived) [PR-110]</w:t>
            </w:r>
          </w:p>
        </w:tc>
        <w:tc>
          <w:tcPr>
            <w:tcW w:w="2037" w:type="dxa"/>
          </w:tcPr>
          <w:p>
            <w:pPr>
              <w:pStyle w:val="Compact"/>
              <w:jc w:val="left"/>
              <w:spacing w:before="20" w:after="20" w:line="220" w:lineRule="auto"/>
            </w:pPr>
            <w:r>
              <w:rPr>
                <w:sz w:val="15"/>
                <w:szCs w:val="15"/>
              </w:rPr>
              <w:t xml:space="preserve">GBP 63m [PR-107] (2024)</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Aegon: expense savings programme (2021-2023, vs 2019 addressable expense base)</w:t>
            </w:r>
          </w:p>
        </w:tc>
        <w:tc>
          <w:tcPr>
            <w:tcW w:w="747" w:type="dxa"/>
          </w:tcPr>
          <w:p>
            <w:pPr>
              <w:pStyle w:val="Compact"/>
              <w:jc w:val="left"/>
              <w:spacing w:before="20" w:after="20" w:line="220" w:lineRule="auto"/>
            </w:pPr>
            <w:r>
              <w:rPr>
                <w:sz w:val="15"/>
                <w:szCs w:val="15"/>
              </w:rPr>
              <w:t xml:space="preserve">2020 [PR-111]</w:t>
            </w:r>
          </w:p>
        </w:tc>
        <w:tc>
          <w:tcPr>
            <w:tcW w:w="1290" w:type="dxa"/>
          </w:tcPr>
          <w:p>
            <w:pPr>
              <w:pStyle w:val="Compact"/>
              <w:jc w:val="left"/>
              <w:spacing w:before="20" w:after="20" w:line="220" w:lineRule="auto"/>
            </w:pPr>
            <w:r>
              <w:rPr>
                <w:sz w:val="15"/>
                <w:szCs w:val="15"/>
              </w:rPr>
              <w:t xml:space="preserve">EUR 3,077m (derived) [PR-114]</w:t>
            </w:r>
          </w:p>
        </w:tc>
        <w:tc>
          <w:tcPr>
            <w:tcW w:w="950" w:type="dxa"/>
          </w:tcPr>
          <w:p>
            <w:pPr>
              <w:pStyle w:val="Compact"/>
              <w:jc w:val="left"/>
              <w:spacing w:before="20" w:after="20" w:line="220" w:lineRule="auto"/>
            </w:pPr>
            <w:r>
              <w:rPr>
                <w:sz w:val="15"/>
                <w:szCs w:val="15"/>
              </w:rPr>
              <w:t xml:space="preserve">EUR 400m [PR-112]</w:t>
            </w:r>
          </w:p>
        </w:tc>
        <w:tc>
          <w:tcPr>
            <w:tcW w:w="1086" w:type="dxa"/>
          </w:tcPr>
          <w:p>
            <w:pPr>
              <w:pStyle w:val="Compact"/>
              <w:jc w:val="left"/>
              <w:spacing w:before="20" w:after="20" w:line="220" w:lineRule="auto"/>
            </w:pPr>
            <w:r>
              <w:rPr>
                <w:sz w:val="15"/>
                <w:szCs w:val="15"/>
              </w:rPr>
              <w:t xml:space="preserve">13.0% [PR-113]</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EUR 650m [PR-115]</w:t>
            </w:r>
          </w:p>
        </w:tc>
        <w:tc>
          <w:tcPr>
            <w:tcW w:w="1086" w:type="dxa"/>
          </w:tcPr>
          <w:p>
            <w:pPr>
              <w:pStyle w:val="Compact"/>
              <w:jc w:val="left"/>
              <w:spacing w:before="20" w:after="20" w:line="220" w:lineRule="auto"/>
            </w:pPr>
            <w:r>
              <w:rPr>
                <w:sz w:val="15"/>
                <w:szCs w:val="15"/>
              </w:rPr>
              <w:t xml:space="preserve">1.62x (derived) [PR-116]</w:t>
            </w:r>
          </w:p>
        </w:tc>
        <w:tc>
          <w:tcPr>
            <w:tcW w:w="2037" w:type="dxa"/>
          </w:tcPr>
          <w:p>
            <w:pPr>
              <w:pStyle w:val="Compact"/>
              <w:jc w:val="left"/>
              <w:spacing w:before="20" w:after="20" w:line="220" w:lineRule="auto"/>
            </w:pPr>
            <w:r>
              <w:rPr>
                <w:sz w:val="15"/>
                <w:szCs w:val="15"/>
              </w:rPr>
              <w:t xml:space="preserve">EUR 244m [PR-117] (2021); EUR 366m [PR-118] (2022)</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AXA: Ambition 2020 cost savings (2016-2020) and Driving Progress 2023</w:t>
            </w:r>
          </w:p>
        </w:tc>
        <w:tc>
          <w:tcPr>
            <w:tcW w:w="747" w:type="dxa"/>
          </w:tcPr>
          <w:p>
            <w:pPr>
              <w:pStyle w:val="Compact"/>
              <w:jc w:val="left"/>
              <w:spacing w:before="20" w:after="20" w:line="220" w:lineRule="auto"/>
            </w:pPr>
            <w:r>
              <w:rPr>
                <w:sz w:val="15"/>
                <w:szCs w:val="15"/>
              </w:rPr>
              <w:t xml:space="preserve">2016 [PR-120]</w:t>
            </w:r>
          </w:p>
        </w:tc>
        <w:tc>
          <w:tcPr>
            <w:tcW w:w="1290" w:type="dxa"/>
          </w:tcPr>
          <w:p>
            <w:pPr>
              <w:pStyle w:val="Compact"/>
              <w:jc w:val="left"/>
              <w:spacing w:before="20" w:after="20" w:line="220" w:lineRule="auto"/>
            </w:pPr>
            <w:r>
              <w:rPr>
                <w:sz w:val="15"/>
                <w:szCs w:val="15"/>
              </w:rPr>
              <w:t xml:space="preserve">n/d</w:t>
            </w:r>
          </w:p>
        </w:tc>
        <w:tc>
          <w:tcPr>
            <w:tcW w:w="950" w:type="dxa"/>
          </w:tcPr>
          <w:p>
            <w:pPr>
              <w:pStyle w:val="Compact"/>
              <w:jc w:val="left"/>
              <w:spacing w:before="20" w:after="20" w:line="220" w:lineRule="auto"/>
            </w:pPr>
            <w:r>
              <w:rPr>
                <w:sz w:val="15"/>
                <w:szCs w:val="15"/>
              </w:rPr>
              <w:t xml:space="preserve">EUR 2,100m [PR-121]</w:t>
            </w:r>
          </w:p>
        </w:tc>
        <w:tc>
          <w:tcPr>
            <w:tcW w:w="1086" w:type="dxa"/>
          </w:tcPr>
          <w:p>
            <w:pPr>
              <w:pStyle w:val="Compact"/>
              <w:jc w:val="left"/>
              <w:spacing w:before="20" w:after="20" w:line="220" w:lineRule="auto"/>
            </w:pPr>
            <w:r>
              <w:rPr>
                <w:sz w:val="15"/>
                <w:szCs w:val="15"/>
              </w:rPr>
              <w:t xml:space="preserve">n/d</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n/d</w:t>
            </w:r>
          </w:p>
        </w:tc>
        <w:tc>
          <w:tcPr>
            <w:tcW w:w="2037" w:type="dxa"/>
          </w:tcPr>
          <w:p>
            <w:pPr>
              <w:pStyle w:val="Compact"/>
              <w:jc w:val="left"/>
              <w:spacing w:before="20" w:after="20" w:line="220" w:lineRule="auto"/>
            </w:pPr>
            <w:r>
              <w:rPr>
                <w:sz w:val="15"/>
                <w:szCs w:val="15"/>
              </w:rPr>
              <w:t xml:space="preserve">n/d</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Generali: mature markets net operating cost reduction (2016-2019)</w:t>
            </w:r>
          </w:p>
        </w:tc>
        <w:tc>
          <w:tcPr>
            <w:tcW w:w="747" w:type="dxa"/>
          </w:tcPr>
          <w:p>
            <w:pPr>
              <w:pStyle w:val="Compact"/>
              <w:jc w:val="left"/>
              <w:spacing w:before="20" w:after="20" w:line="220" w:lineRule="auto"/>
            </w:pPr>
            <w:r>
              <w:rPr>
                <w:sz w:val="15"/>
                <w:szCs w:val="15"/>
              </w:rPr>
              <w:t xml:space="preserve">2016 [PR-125]</w:t>
            </w:r>
          </w:p>
        </w:tc>
        <w:tc>
          <w:tcPr>
            <w:tcW w:w="1290" w:type="dxa"/>
          </w:tcPr>
          <w:p>
            <w:pPr>
              <w:pStyle w:val="Compact"/>
              <w:jc w:val="left"/>
              <w:spacing w:before="20" w:after="20" w:line="220" w:lineRule="auto"/>
            </w:pPr>
            <w:r>
              <w:rPr>
                <w:sz w:val="15"/>
                <w:szCs w:val="15"/>
              </w:rPr>
              <w:t xml:space="preserve">n/d</w:t>
            </w:r>
          </w:p>
        </w:tc>
        <w:tc>
          <w:tcPr>
            <w:tcW w:w="950" w:type="dxa"/>
          </w:tcPr>
          <w:p>
            <w:pPr>
              <w:pStyle w:val="Compact"/>
              <w:jc w:val="left"/>
              <w:spacing w:before="20" w:after="20" w:line="220" w:lineRule="auto"/>
            </w:pPr>
            <w:r>
              <w:rPr>
                <w:sz w:val="15"/>
                <w:szCs w:val="15"/>
              </w:rPr>
              <w:t xml:space="preserve">EUR 200m [PR-126]</w:t>
            </w:r>
          </w:p>
        </w:tc>
        <w:tc>
          <w:tcPr>
            <w:tcW w:w="1086" w:type="dxa"/>
          </w:tcPr>
          <w:p>
            <w:pPr>
              <w:pStyle w:val="Compact"/>
              <w:jc w:val="left"/>
              <w:spacing w:before="20" w:after="20" w:line="220" w:lineRule="auto"/>
            </w:pPr>
            <w:r>
              <w:rPr>
                <w:sz w:val="15"/>
                <w:szCs w:val="15"/>
              </w:rPr>
              <w:t xml:space="preserve">n/d</w:t>
            </w:r>
          </w:p>
        </w:tc>
        <w:tc>
          <w:tcPr>
            <w:tcW w:w="849" w:type="dxa"/>
          </w:tcPr>
          <w:p>
            <w:pPr>
              <w:pStyle w:val="Compact"/>
              <w:jc w:val="left"/>
              <w:spacing w:before="20" w:after="20" w:line="220" w:lineRule="auto"/>
            </w:pPr>
            <w:r>
              <w:rPr>
                <w:sz w:val="15"/>
                <w:szCs w:val="15"/>
              </w:rPr>
              <w:t xml:space="preserve">2018 [PR-128]</w:t>
            </w:r>
          </w:p>
        </w:tc>
        <w:tc>
          <w:tcPr>
            <w:tcW w:w="1901"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n/d</w:t>
            </w:r>
          </w:p>
        </w:tc>
        <w:tc>
          <w:tcPr>
            <w:tcW w:w="2037" w:type="dxa"/>
          </w:tcPr>
          <w:p>
            <w:pPr>
              <w:pStyle w:val="Compact"/>
              <w:jc w:val="left"/>
              <w:spacing w:before="20" w:after="20" w:line="220" w:lineRule="auto"/>
            </w:pPr>
            <w:r>
              <w:rPr>
                <w:sz w:val="15"/>
                <w:szCs w:val="15"/>
              </w:rPr>
              <w:t xml:space="preserve">EUR 200m [PR-129] (2017)</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Allianz: Renewal Agenda productivity gains (2016-2018)</w:t>
            </w:r>
          </w:p>
        </w:tc>
        <w:tc>
          <w:tcPr>
            <w:tcW w:w="747" w:type="dxa"/>
          </w:tcPr>
          <w:p>
            <w:pPr>
              <w:pStyle w:val="Compact"/>
              <w:jc w:val="left"/>
              <w:spacing w:before="20" w:after="20" w:line="220" w:lineRule="auto"/>
            </w:pPr>
            <w:r>
              <w:rPr>
                <w:sz w:val="15"/>
                <w:szCs w:val="15"/>
              </w:rPr>
              <w:t xml:space="preserve">2015† [PR-131]</w:t>
            </w:r>
          </w:p>
        </w:tc>
        <w:tc>
          <w:tcPr>
            <w:tcW w:w="1290" w:type="dxa"/>
          </w:tcPr>
          <w:p>
            <w:pPr>
              <w:pStyle w:val="Compact"/>
              <w:jc w:val="left"/>
              <w:spacing w:before="20" w:after="20" w:line="220" w:lineRule="auto"/>
            </w:pPr>
            <w:r>
              <w:rPr>
                <w:sz w:val="15"/>
                <w:szCs w:val="15"/>
              </w:rPr>
              <w:t xml:space="preserve">n/d</w:t>
            </w:r>
          </w:p>
        </w:tc>
        <w:tc>
          <w:tcPr>
            <w:tcW w:w="950" w:type="dxa"/>
          </w:tcPr>
          <w:p>
            <w:pPr>
              <w:pStyle w:val="Compact"/>
              <w:jc w:val="left"/>
              <w:spacing w:before="20" w:after="20" w:line="220" w:lineRule="auto"/>
            </w:pPr>
            <w:r>
              <w:rPr>
                <w:sz w:val="15"/>
                <w:szCs w:val="15"/>
              </w:rPr>
              <w:t xml:space="preserve">EUR 1,000m† [PR-132]</w:t>
            </w:r>
          </w:p>
        </w:tc>
        <w:tc>
          <w:tcPr>
            <w:tcW w:w="1086" w:type="dxa"/>
          </w:tcPr>
          <w:p>
            <w:pPr>
              <w:pStyle w:val="Compact"/>
              <w:jc w:val="left"/>
              <w:spacing w:before="20" w:after="20" w:line="220" w:lineRule="auto"/>
            </w:pPr>
            <w:r>
              <w:rPr>
                <w:sz w:val="15"/>
                <w:szCs w:val="15"/>
              </w:rPr>
              <w:t xml:space="preserve">n/d</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n/d</w:t>
            </w:r>
          </w:p>
        </w:tc>
        <w:tc>
          <w:tcPr>
            <w:tcW w:w="2037" w:type="dxa"/>
          </w:tcPr>
          <w:p>
            <w:pPr>
              <w:pStyle w:val="Compact"/>
              <w:jc w:val="left"/>
              <w:spacing w:before="20" w:after="20" w:line="220" w:lineRule="auto"/>
            </w:pPr>
            <w:r>
              <w:rPr>
                <w:sz w:val="15"/>
                <w:szCs w:val="15"/>
              </w:rPr>
              <w:t xml:space="preserve">n/d</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Prudential plc: head office cost reduction after M&amp;G demerger (2019-2021) and Jackson separation (2023)</w:t>
            </w:r>
          </w:p>
        </w:tc>
        <w:tc>
          <w:tcPr>
            <w:tcW w:w="747" w:type="dxa"/>
          </w:tcPr>
          <w:p>
            <w:pPr>
              <w:pStyle w:val="Compact"/>
              <w:jc w:val="left"/>
              <w:spacing w:before="20" w:after="20" w:line="220" w:lineRule="auto"/>
            </w:pPr>
            <w:r>
              <w:rPr>
                <w:sz w:val="15"/>
                <w:szCs w:val="15"/>
              </w:rPr>
              <w:t xml:space="preserve">2019 [PR-133]</w:t>
            </w:r>
          </w:p>
        </w:tc>
        <w:tc>
          <w:tcPr>
            <w:tcW w:w="1290" w:type="dxa"/>
          </w:tcPr>
          <w:p>
            <w:pPr>
              <w:pStyle w:val="Compact"/>
              <w:jc w:val="left"/>
              <w:spacing w:before="20" w:after="20" w:line="220" w:lineRule="auto"/>
            </w:pPr>
            <w:r>
              <w:rPr>
                <w:sz w:val="15"/>
                <w:szCs w:val="15"/>
              </w:rPr>
              <w:t xml:space="preserve">USD 490m [PR-134]</w:t>
            </w:r>
          </w:p>
        </w:tc>
        <w:tc>
          <w:tcPr>
            <w:tcW w:w="950" w:type="dxa"/>
          </w:tcPr>
          <w:p>
            <w:pPr>
              <w:pStyle w:val="Compact"/>
              <w:jc w:val="left"/>
              <w:spacing w:before="20" w:after="20" w:line="220" w:lineRule="auto"/>
            </w:pPr>
            <w:r>
              <w:rPr>
                <w:sz w:val="15"/>
                <w:szCs w:val="15"/>
              </w:rPr>
              <w:t xml:space="preserve">USD 180m [PR-136]</w:t>
            </w:r>
          </w:p>
        </w:tc>
        <w:tc>
          <w:tcPr>
            <w:tcW w:w="1086" w:type="dxa"/>
          </w:tcPr>
          <w:p>
            <w:pPr>
              <w:pStyle w:val="Compact"/>
              <w:jc w:val="left"/>
              <w:spacing w:before="20" w:after="20" w:line="220" w:lineRule="auto"/>
            </w:pPr>
            <w:r>
              <w:rPr>
                <w:sz w:val="15"/>
                <w:szCs w:val="15"/>
              </w:rPr>
              <w:t xml:space="preserve">36.7% (derived) [PR-137]</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USD 318m [PR-138]</w:t>
            </w:r>
          </w:p>
        </w:tc>
        <w:tc>
          <w:tcPr>
            <w:tcW w:w="1086" w:type="dxa"/>
          </w:tcPr>
          <w:p>
            <w:pPr>
              <w:pStyle w:val="Compact"/>
              <w:jc w:val="left"/>
              <w:spacing w:before="20" w:after="20" w:line="220" w:lineRule="auto"/>
            </w:pPr>
            <w:r>
              <w:rPr>
                <w:sz w:val="15"/>
                <w:szCs w:val="15"/>
              </w:rPr>
              <w:t xml:space="preserve">1.77x (derived) [PR-139]</w:t>
            </w:r>
          </w:p>
        </w:tc>
        <w:tc>
          <w:tcPr>
            <w:tcW w:w="2037" w:type="dxa"/>
          </w:tcPr>
          <w:p>
            <w:pPr>
              <w:pStyle w:val="Compact"/>
              <w:jc w:val="left"/>
              <w:spacing w:before="20" w:after="20" w:line="220" w:lineRule="auto"/>
            </w:pPr>
            <w:r>
              <w:rPr>
                <w:sz w:val="15"/>
                <w:szCs w:val="15"/>
              </w:rPr>
              <w:t xml:space="preserve">USD 180m [PR-136] (2021)</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Standard Life Aberdeen: merger cost synergies and operating model simplification (2017-2021)</w:t>
            </w:r>
          </w:p>
        </w:tc>
        <w:tc>
          <w:tcPr>
            <w:tcW w:w="747" w:type="dxa"/>
          </w:tcPr>
          <w:p>
            <w:pPr>
              <w:pStyle w:val="Compact"/>
              <w:jc w:val="left"/>
              <w:spacing w:before="20" w:after="20" w:line="220" w:lineRule="auto"/>
            </w:pPr>
            <w:r>
              <w:rPr>
                <w:sz w:val="15"/>
                <w:szCs w:val="15"/>
              </w:rPr>
              <w:t xml:space="preserve">2017 [PR-141]</w:t>
            </w:r>
          </w:p>
        </w:tc>
        <w:tc>
          <w:tcPr>
            <w:tcW w:w="1290" w:type="dxa"/>
          </w:tcPr>
          <w:p>
            <w:pPr>
              <w:pStyle w:val="Compact"/>
              <w:jc w:val="left"/>
              <w:spacing w:before="20" w:after="20" w:line="220" w:lineRule="auto"/>
            </w:pPr>
            <w:r>
              <w:rPr>
                <w:sz w:val="15"/>
                <w:szCs w:val="15"/>
              </w:rPr>
              <w:t xml:space="preserve">n/d</w:t>
            </w:r>
          </w:p>
        </w:tc>
        <w:tc>
          <w:tcPr>
            <w:tcW w:w="950" w:type="dxa"/>
          </w:tcPr>
          <w:p>
            <w:pPr>
              <w:pStyle w:val="Compact"/>
              <w:jc w:val="left"/>
              <w:spacing w:before="20" w:after="20" w:line="220" w:lineRule="auto"/>
            </w:pPr>
            <w:r>
              <w:rPr>
                <w:sz w:val="15"/>
                <w:szCs w:val="15"/>
              </w:rPr>
              <w:t xml:space="preserve">GBP 200m† [PR-142]</w:t>
            </w:r>
          </w:p>
        </w:tc>
        <w:tc>
          <w:tcPr>
            <w:tcW w:w="1086" w:type="dxa"/>
          </w:tcPr>
          <w:p>
            <w:pPr>
              <w:pStyle w:val="Compact"/>
              <w:jc w:val="left"/>
              <w:spacing w:before="20" w:after="20" w:line="220" w:lineRule="auto"/>
            </w:pPr>
            <w:r>
              <w:rPr>
                <w:sz w:val="15"/>
                <w:szCs w:val="15"/>
              </w:rPr>
              <w:t xml:space="preserve">n/d</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GBP 320m† [PR-143]</w:t>
            </w:r>
          </w:p>
        </w:tc>
        <w:tc>
          <w:tcPr>
            <w:tcW w:w="1086" w:type="dxa"/>
          </w:tcPr>
          <w:p>
            <w:pPr>
              <w:pStyle w:val="Compact"/>
              <w:jc w:val="left"/>
              <w:spacing w:before="20" w:after="20" w:line="220" w:lineRule="auto"/>
            </w:pPr>
            <w:r>
              <w:rPr>
                <w:sz w:val="15"/>
                <w:szCs w:val="15"/>
              </w:rPr>
              <w:t xml:space="preserve">1.60x (derived) [PR-144]</w:t>
            </w:r>
          </w:p>
        </w:tc>
        <w:tc>
          <w:tcPr>
            <w:tcW w:w="2037" w:type="dxa"/>
          </w:tcPr>
          <w:p>
            <w:pPr>
              <w:pStyle w:val="Compact"/>
              <w:jc w:val="left"/>
              <w:spacing w:before="20" w:after="20" w:line="220" w:lineRule="auto"/>
            </w:pPr>
            <w:r>
              <w:rPr>
                <w:sz w:val="15"/>
                <w:szCs w:val="15"/>
              </w:rPr>
              <w:t xml:space="preserve">GBP 135m [PR-146] (2018)</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Quilter plc: Business Simplification Phase II (2023-2025)</w:t>
            </w:r>
          </w:p>
        </w:tc>
        <w:tc>
          <w:tcPr>
            <w:tcW w:w="747" w:type="dxa"/>
          </w:tcPr>
          <w:p>
            <w:pPr>
              <w:pStyle w:val="Compact"/>
              <w:jc w:val="left"/>
              <w:spacing w:before="20" w:after="20" w:line="220" w:lineRule="auto"/>
            </w:pPr>
            <w:r>
              <w:rPr>
                <w:sz w:val="15"/>
                <w:szCs w:val="15"/>
              </w:rPr>
              <w:t xml:space="preserve">2023 [PR-148]</w:t>
            </w:r>
          </w:p>
        </w:tc>
        <w:tc>
          <w:tcPr>
            <w:tcW w:w="1290" w:type="dxa"/>
          </w:tcPr>
          <w:p>
            <w:pPr>
              <w:pStyle w:val="Compact"/>
              <w:jc w:val="left"/>
              <w:spacing w:before="20" w:after="20" w:line="220" w:lineRule="auto"/>
            </w:pPr>
            <w:r>
              <w:rPr>
                <w:sz w:val="15"/>
                <w:szCs w:val="15"/>
              </w:rPr>
              <w:t xml:space="preserve">GBP 458m [PR-149]</w:t>
            </w:r>
          </w:p>
        </w:tc>
        <w:tc>
          <w:tcPr>
            <w:tcW w:w="950" w:type="dxa"/>
          </w:tcPr>
          <w:p>
            <w:pPr>
              <w:pStyle w:val="Compact"/>
              <w:jc w:val="left"/>
              <w:spacing w:before="20" w:after="20" w:line="220" w:lineRule="auto"/>
            </w:pPr>
            <w:r>
              <w:rPr>
                <w:sz w:val="15"/>
                <w:szCs w:val="15"/>
              </w:rPr>
              <w:t xml:space="preserve">GBP 50m [PR-150]</w:t>
            </w:r>
          </w:p>
        </w:tc>
        <w:tc>
          <w:tcPr>
            <w:tcW w:w="1086" w:type="dxa"/>
          </w:tcPr>
          <w:p>
            <w:pPr>
              <w:pStyle w:val="Compact"/>
              <w:jc w:val="left"/>
              <w:spacing w:before="20" w:after="20" w:line="220" w:lineRule="auto"/>
            </w:pPr>
            <w:r>
              <w:rPr>
                <w:sz w:val="15"/>
                <w:szCs w:val="15"/>
              </w:rPr>
              <w:t xml:space="preserve">10.9% (derived) [PR-151]</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GBP 25m [PR-154]; GBP 24m [PR-155]</w:t>
            </w:r>
          </w:p>
        </w:tc>
        <w:tc>
          <w:tcPr>
            <w:tcW w:w="1086" w:type="dxa"/>
          </w:tcPr>
          <w:p>
            <w:pPr>
              <w:pStyle w:val="Compact"/>
              <w:jc w:val="left"/>
              <w:spacing w:before="20" w:after="20" w:line="220" w:lineRule="auto"/>
            </w:pPr>
            <w:r>
              <w:rPr>
                <w:sz w:val="15"/>
                <w:szCs w:val="15"/>
              </w:rPr>
              <w:t xml:space="preserve">1.54x (derived) [PR-158]</w:t>
            </w:r>
          </w:p>
        </w:tc>
        <w:tc>
          <w:tcPr>
            <w:tcW w:w="2037" w:type="dxa"/>
          </w:tcPr>
          <w:p>
            <w:pPr>
              <w:pStyle w:val="Compact"/>
              <w:jc w:val="left"/>
              <w:spacing w:before="20" w:after="20" w:line="220" w:lineRule="auto"/>
            </w:pPr>
            <w:r>
              <w:rPr>
                <w:sz w:val="15"/>
                <w:szCs w:val="15"/>
              </w:rPr>
              <w:t xml:space="preserve">GBP 35m [PR-152] (2024); GBP 52m [PR-153] (2025)</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Standard Bank Group: Liberty Holdings integration (2022-2025)</w:t>
            </w:r>
          </w:p>
        </w:tc>
        <w:tc>
          <w:tcPr>
            <w:tcW w:w="747" w:type="dxa"/>
          </w:tcPr>
          <w:p>
            <w:pPr>
              <w:pStyle w:val="Compact"/>
              <w:jc w:val="left"/>
              <w:spacing w:before="20" w:after="20" w:line="220" w:lineRule="auto"/>
            </w:pPr>
            <w:r>
              <w:rPr>
                <w:sz w:val="15"/>
                <w:szCs w:val="15"/>
              </w:rPr>
              <w:t xml:space="preserve">2021† [PR-159]</w:t>
            </w:r>
          </w:p>
        </w:tc>
        <w:tc>
          <w:tcPr>
            <w:tcW w:w="1290" w:type="dxa"/>
          </w:tcPr>
          <w:p>
            <w:pPr>
              <w:pStyle w:val="Compact"/>
              <w:jc w:val="left"/>
              <w:spacing w:before="20" w:after="20" w:line="220" w:lineRule="auto"/>
            </w:pPr>
            <w:r>
              <w:rPr>
                <w:sz w:val="15"/>
                <w:szCs w:val="15"/>
              </w:rPr>
              <w:t xml:space="preserve">n/d</w:t>
            </w:r>
          </w:p>
        </w:tc>
        <w:tc>
          <w:tcPr>
            <w:tcW w:w="950"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n/d</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n/d</w:t>
            </w:r>
          </w:p>
        </w:tc>
        <w:tc>
          <w:tcPr>
            <w:tcW w:w="2037" w:type="dxa"/>
          </w:tcPr>
          <w:p>
            <w:pPr>
              <w:pStyle w:val="Compact"/>
              <w:jc w:val="left"/>
              <w:spacing w:before="20" w:after="20" w:line="220" w:lineRule="auto"/>
            </w:pPr>
            <w:r>
              <w:rPr>
                <w:sz w:val="15"/>
                <w:szCs w:val="15"/>
              </w:rPr>
              <w:t xml:space="preserve">ZAR 620m† [PR-160] (2024)</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Lloyds Banking Group: Scottish Widows single life company Part VII (2015)</w:t>
            </w:r>
          </w:p>
        </w:tc>
        <w:tc>
          <w:tcPr>
            <w:tcW w:w="747" w:type="dxa"/>
          </w:tcPr>
          <w:p>
            <w:pPr>
              <w:pStyle w:val="Compact"/>
              <w:jc w:val="left"/>
              <w:spacing w:before="20" w:after="20" w:line="220" w:lineRule="auto"/>
            </w:pPr>
            <w:r>
              <w:rPr>
                <w:sz w:val="15"/>
                <w:szCs w:val="15"/>
              </w:rPr>
              <w:t xml:space="preserve">2015† [PR-162]</w:t>
            </w:r>
          </w:p>
        </w:tc>
        <w:tc>
          <w:tcPr>
            <w:tcW w:w="1290" w:type="dxa"/>
          </w:tcPr>
          <w:p>
            <w:pPr>
              <w:pStyle w:val="Compact"/>
              <w:jc w:val="left"/>
              <w:spacing w:before="20" w:after="20" w:line="220" w:lineRule="auto"/>
            </w:pPr>
            <w:r>
              <w:rPr>
                <w:sz w:val="15"/>
                <w:szCs w:val="15"/>
              </w:rPr>
              <w:t xml:space="preserve">n/d</w:t>
            </w:r>
          </w:p>
        </w:tc>
        <w:tc>
          <w:tcPr>
            <w:tcW w:w="950"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n/d</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n/d</w:t>
            </w:r>
          </w:p>
        </w:tc>
        <w:tc>
          <w:tcPr>
            <w:tcW w:w="2037" w:type="dxa"/>
          </w:tcPr>
          <w:p>
            <w:pPr>
              <w:pStyle w:val="Compact"/>
              <w:jc w:val="left"/>
              <w:spacing w:before="20" w:after="20" w:line="220" w:lineRule="auto"/>
            </w:pPr>
            <w:r>
              <w:rPr>
                <w:sz w:val="15"/>
                <w:szCs w:val="15"/>
              </w:rPr>
              <w:t xml:space="preserve">n/d</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Santam: FutureFit2030 operating model restructure (2023)</w:t>
            </w:r>
          </w:p>
        </w:tc>
        <w:tc>
          <w:tcPr>
            <w:tcW w:w="747" w:type="dxa"/>
          </w:tcPr>
          <w:p>
            <w:pPr>
              <w:pStyle w:val="Compact"/>
              <w:jc w:val="left"/>
              <w:spacing w:before="20" w:after="20" w:line="220" w:lineRule="auto"/>
            </w:pPr>
            <w:r>
              <w:rPr>
                <w:sz w:val="15"/>
                <w:szCs w:val="15"/>
              </w:rPr>
              <w:t xml:space="preserve">n/d</w:t>
            </w:r>
          </w:p>
        </w:tc>
        <w:tc>
          <w:tcPr>
            <w:tcW w:w="1290" w:type="dxa"/>
          </w:tcPr>
          <w:p>
            <w:pPr>
              <w:pStyle w:val="Compact"/>
              <w:jc w:val="left"/>
              <w:spacing w:before="20" w:after="20" w:line="220" w:lineRule="auto"/>
            </w:pPr>
            <w:r>
              <w:rPr>
                <w:sz w:val="15"/>
                <w:szCs w:val="15"/>
              </w:rPr>
              <w:t xml:space="preserve">n/d</w:t>
            </w:r>
          </w:p>
        </w:tc>
        <w:tc>
          <w:tcPr>
            <w:tcW w:w="950"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n/d</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n/d</w:t>
            </w:r>
          </w:p>
        </w:tc>
        <w:tc>
          <w:tcPr>
            <w:tcW w:w="2037" w:type="dxa"/>
          </w:tcPr>
          <w:p>
            <w:pPr>
              <w:pStyle w:val="Compact"/>
              <w:jc w:val="left"/>
              <w:spacing w:before="20" w:after="20" w:line="220" w:lineRule="auto"/>
            </w:pPr>
            <w:r>
              <w:rPr>
                <w:sz w:val="15"/>
                <w:szCs w:val="15"/>
              </w:rPr>
              <w:t xml:space="preserve">n/d</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Sanlam: Assupol integration and section 50 licence consolidation (2024-2025)</w:t>
            </w:r>
          </w:p>
        </w:tc>
        <w:tc>
          <w:tcPr>
            <w:tcW w:w="747" w:type="dxa"/>
          </w:tcPr>
          <w:p>
            <w:pPr>
              <w:pStyle w:val="Compact"/>
              <w:jc w:val="left"/>
              <w:spacing w:before="20" w:after="20" w:line="220" w:lineRule="auto"/>
            </w:pPr>
            <w:r>
              <w:rPr>
                <w:sz w:val="15"/>
                <w:szCs w:val="15"/>
              </w:rPr>
              <w:t xml:space="preserve">n/d</w:t>
            </w:r>
          </w:p>
        </w:tc>
        <w:tc>
          <w:tcPr>
            <w:tcW w:w="1290" w:type="dxa"/>
          </w:tcPr>
          <w:p>
            <w:pPr>
              <w:pStyle w:val="Compact"/>
              <w:jc w:val="left"/>
              <w:spacing w:before="20" w:after="20" w:line="220" w:lineRule="auto"/>
            </w:pPr>
            <w:r>
              <w:rPr>
                <w:sz w:val="15"/>
                <w:szCs w:val="15"/>
              </w:rPr>
              <w:t xml:space="preserve">n/d</w:t>
            </w:r>
          </w:p>
        </w:tc>
        <w:tc>
          <w:tcPr>
            <w:tcW w:w="950"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n/d</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n/d</w:t>
            </w:r>
          </w:p>
        </w:tc>
        <w:tc>
          <w:tcPr>
            <w:tcW w:w="2037" w:type="dxa"/>
          </w:tcPr>
          <w:p>
            <w:pPr>
              <w:pStyle w:val="Compact"/>
              <w:jc w:val="left"/>
              <w:spacing w:before="20" w:after="20" w:line="220" w:lineRule="auto"/>
            </w:pPr>
            <w:r>
              <w:rPr>
                <w:sz w:val="15"/>
                <w:szCs w:val="15"/>
              </w:rPr>
              <w:t xml:space="preserve">n/d</w:t>
            </w:r>
          </w:p>
        </w:tc>
        <w:tc>
          <w:tcPr>
            <w:tcW w:w="2309" w:type="dxa"/>
          </w:tcPr>
          <w:p>
            <w:pPr>
              <w:pStyle w:val="Compact"/>
              <w:spacing w:before="20" w:after="20" w:line="220" w:lineRule="auto"/>
            </w:pPr>
          </w:p>
        </w:tc>
      </w:tr>
      <w:tr>
        <w:tc>
          <w:tcPr>
            <w:tcW w:w="2309" w:type="dxa"/>
          </w:tcPr>
          <w:p>
            <w:pPr>
              <w:pStyle w:val="Compact"/>
              <w:jc w:val="left"/>
              <w:spacing w:before="20" w:after="20" w:line="220" w:lineRule="auto"/>
            </w:pPr>
            <w:r>
              <w:rPr>
                <w:sz w:val="15"/>
                <w:szCs w:val="15"/>
              </w:rPr>
              <w:t xml:space="preserve">Absa Group: Absa Financial Services / Barclays separation (2017-2020)</w:t>
            </w:r>
          </w:p>
        </w:tc>
        <w:tc>
          <w:tcPr>
            <w:tcW w:w="747" w:type="dxa"/>
          </w:tcPr>
          <w:p>
            <w:pPr>
              <w:pStyle w:val="Compact"/>
              <w:jc w:val="left"/>
              <w:spacing w:before="20" w:after="20" w:line="220" w:lineRule="auto"/>
            </w:pPr>
            <w:r>
              <w:rPr>
                <w:sz w:val="15"/>
                <w:szCs w:val="15"/>
              </w:rPr>
              <w:t xml:space="preserve">n/d</w:t>
            </w:r>
          </w:p>
        </w:tc>
        <w:tc>
          <w:tcPr>
            <w:tcW w:w="1290" w:type="dxa"/>
          </w:tcPr>
          <w:p>
            <w:pPr>
              <w:pStyle w:val="Compact"/>
              <w:jc w:val="left"/>
              <w:spacing w:before="20" w:after="20" w:line="220" w:lineRule="auto"/>
            </w:pPr>
            <w:r>
              <w:rPr>
                <w:sz w:val="15"/>
                <w:szCs w:val="15"/>
              </w:rPr>
              <w:t xml:space="preserve">n/d</w:t>
            </w:r>
          </w:p>
        </w:tc>
        <w:tc>
          <w:tcPr>
            <w:tcW w:w="950"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n/d</w:t>
            </w:r>
          </w:p>
        </w:tc>
        <w:tc>
          <w:tcPr>
            <w:tcW w:w="849" w:type="dxa"/>
          </w:tcPr>
          <w:p>
            <w:pPr>
              <w:pStyle w:val="Compact"/>
              <w:jc w:val="left"/>
              <w:spacing w:before="20" w:after="20" w:line="220" w:lineRule="auto"/>
            </w:pPr>
            <w:r>
              <w:rPr>
                <w:sz w:val="15"/>
                <w:szCs w:val="15"/>
              </w:rPr>
              <w:t xml:space="preserve">n/d</w:t>
            </w:r>
          </w:p>
        </w:tc>
        <w:tc>
          <w:tcPr>
            <w:tcW w:w="1901" w:type="dxa"/>
          </w:tcPr>
          <w:p>
            <w:pPr>
              <w:pStyle w:val="Compact"/>
              <w:jc w:val="left"/>
              <w:spacing w:before="20" w:after="20" w:line="220" w:lineRule="auto"/>
            </w:pPr>
            <w:r>
              <w:rPr>
                <w:sz w:val="15"/>
                <w:szCs w:val="15"/>
              </w:rPr>
              <w:t xml:space="preserve">n/d</w:t>
            </w:r>
          </w:p>
        </w:tc>
        <w:tc>
          <w:tcPr>
            <w:tcW w:w="1086" w:type="dxa"/>
          </w:tcPr>
          <w:p>
            <w:pPr>
              <w:pStyle w:val="Compact"/>
              <w:jc w:val="left"/>
              <w:spacing w:before="20" w:after="20" w:line="220" w:lineRule="auto"/>
            </w:pPr>
            <w:r>
              <w:rPr>
                <w:sz w:val="15"/>
                <w:szCs w:val="15"/>
              </w:rPr>
              <w:t xml:space="preserve">n/d</w:t>
            </w:r>
          </w:p>
        </w:tc>
        <w:tc>
          <w:tcPr>
            <w:tcW w:w="2037" w:type="dxa"/>
          </w:tcPr>
          <w:p>
            <w:pPr>
              <w:pStyle w:val="Compact"/>
              <w:jc w:val="left"/>
              <w:spacing w:before="20" w:after="20" w:line="220" w:lineRule="auto"/>
            </w:pPr>
            <w:r>
              <w:rPr>
                <w:sz w:val="15"/>
                <w:szCs w:val="15"/>
              </w:rPr>
              <w:t xml:space="preserve">n/d</w:t>
            </w:r>
          </w:p>
        </w:tc>
        <w:tc>
          <w:tcPr>
            <w:tcW w:w="2309" w:type="dxa"/>
          </w:tcPr>
          <w:p>
            <w:pPr>
              <w:pStyle w:val="Compact"/>
              <w:spacing w:before="20" w:after="20" w:line="220" w:lineRule="auto"/>
            </w:pPr>
          </w:p>
        </w:tc>
      </w:tr>
    </w:tbl>
    <w:p>
      <w:pPr>
        <w:pStyle w:val="BodyText"/>
      </w:pPr>
      <w:r>
        <w:t xml:space="preserve">Three readings follow from the precedents. First, business-wide efficiency programmes at South African and European insurers target 6 to 13 percent of the addressable cost base over two to three years, and the South African programmes (Old Mutual twice, Momentum Metropolitan twice) delivered at or above target. Second, removing a head office or holding layer after a separation releases far more, 37 percent in Prudential’s case and about £95m at Old Mutual plc, which is the closest analogue to collapsing duplicated licence and control-function cost in Insurance HO. Third, cost to achieve depends on the lever mix: 0.25 to 0.7 times run-rate savings for headcount, procurement and central cost, 1.5 to 2.0 times where platform migration or licence consolidation is bundled, with capital benefits from licence mergers (Aviva £1.2bn, Phoenix £720m) reported separately from the expense case. For a centralisation that touches licences and platforms, a planning assumption of 8 to 12 percent of addressable cost over three years at 1.5 to 2 times cost to achieve is what the record supports.</w:t>
      </w:r>
    </w:p>
    <w:p>
      <w:pPr>
        <w:pStyle w:val="BodyText"/>
      </w:pPr>
      <w:r>
        <w:t xml:space="preserve">Gaps in the precedent record: no primary document for the Standard Bank and Liberty integration synergies (press reports R620m a year), nothing quantified for Sanlam’s Assupol licence consolidation, Santam’s FutureFit restructure, or any Absa programme, and no cost base for several global programmes, so the percentage of base can be derived for only eight.</w:t>
      </w:r>
    </w:p>
    <w:bookmarkEnd w:id="39"/>
    <w:bookmarkStart w:id="40" w:name="verification-pass"/>
    <w:p>
      <w:pPr>
        <w:pStyle w:val="Heading2"/>
      </w:pPr>
      <w:r>
        <w:t xml:space="preserve">6. Verification pass</w:t>
      </w:r>
    </w:p>
    <w:p>
      <w:pPr>
        <w:pStyle w:val="FirstParagraph"/>
      </w:pPr>
      <w:r>
        <w:t xml:space="preserve">An independent pass recomputed every figure in the workbook and spot-checked 20 percent of the data points against the source pages. Of the 404 data_ids the workbook references, 81 were sampled with a fixed seed and traced to the stated page of the local copy of the document: 81 matched, none differed in sign or scale, none were missing. All 139 benchmark ratios and the 11 AFS-linked rows were recomputed from the raw values and the Normalisation inputs; the largest relative difference was below one part in a trillion. The 21 summary rows matched on count, median and both quartiles, with no AFS row in any median and every mix-group range holding only its own tag. The FY2025 pool lines, allocation shares and gap-sizing arithmetic all agreed with the independent rebuild, and the 30 exchange-rate inputs matched the ECB downloads. In total 327 checks passed. Three labelling points were raised and have been applied: the Credit Agricole contract count is stored in millions and now says so; the Brasilseg premium-per-employee row notes that it divides FY2025 premiums by the last disclosed headcount, which is 2024; and the SBI Life rows note that a March 2026 year-end is converted at the 2025 calendar-year average rate. The full report and the sample are in</w:t>
      </w:r>
      <w:r>
        <w:t xml:space="preserve"> </w:t>
      </w:r>
      <w:r>
        <w:rPr>
          <w:rStyle w:val="VerbatimChar"/>
        </w:rPr>
        <w:t xml:space="preserve">verification_report.md</w:t>
      </w:r>
      <w:r>
        <w:t xml:space="preserve"> </w:t>
      </w:r>
      <w:r>
        <w:t xml:space="preserve">and</w:t>
      </w:r>
      <w:r>
        <w:t xml:space="preserve"> </w:t>
      </w:r>
      <w:r>
        <w:rPr>
          <w:rStyle w:val="VerbatimChar"/>
        </w:rPr>
        <w:t xml:space="preserve">verification_spotcheck.csv</w:t>
      </w:r>
      <w:r>
        <w:t xml:space="preserve">.</w:t>
      </w:r>
    </w:p>
    <w:bookmarkEnd w:id="40"/>
    <w:bookmarkEnd w:id="41"/>
    <w:sectPr>
      <w:pgSz w:w="16838" w:h="11906" w:orient="landscape"/>
      <w:pgMar w:top="1134" w:right="1134" w:bottom="1134" w:left="1134"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2026-10-07T15:47:56Z</dcterms:created>
  <dcterms:modified xsi:type="dcterms:W3CDTF">2026-10-07T15:47:56Z</dcterms:modified>
</cp:coreProperties>
</file>

<file path=docProps/custom.xml><?xml version="1.0" encoding="utf-8"?>
<Properties xmlns="http://schemas.openxmlformats.org/officeDocument/2006/custom-properties" xmlns:vt="http://schemas.openxmlformats.org/officeDocument/2006/docPropsVTypes"/>
</file>