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b313d53f63aa808b65d33400b70dd7e0262c9f"/>
    <w:p>
      <w:pPr>
        <w:pStyle w:val="Heading1"/>
      </w:pPr>
      <w:r>
        <w:t xml:space="preserve">01 Cost opportunity framework: Absa Financial Services centralisation</w:t>
      </w:r>
    </w:p>
    <w:p>
      <w:pPr>
        <w:pStyle w:val="FirstParagraph"/>
      </w:pPr>
      <w:r>
        <w:t xml:space="preserve">Phase 1 deliverable. Status: for partner review. Date: 6 October 2026. UK English. Tags: Fact (disclosed), Derived (calculated, formula shown), Assumption (judgement, marked †).</w:t>
      </w:r>
    </w:p>
    <w:bookmarkStart w:id="20" w:name="answer-first"/>
    <w:p>
      <w:pPr>
        <w:pStyle w:val="Heading2"/>
      </w:pPr>
      <w:r>
        <w:t xml:space="preserve">Answer first</w:t>
      </w:r>
    </w:p>
    <w:p>
      <w:pPr>
        <w:pStyle w:val="FirstParagraph"/>
      </w:pPr>
      <w:r>
        <w:t xml:space="preserve">The framework is a three-level tree. Level 1 cuts by cost pool, which is where each rand lands in the IFRS 17 income statement. Level 2 cuts by value chain function, which is where the rand is incurred. Level 3 cuts by lever, which is the mechanism that removes it. Each level is MECE on its own axis, and the three axes are independent, so a cost sits in exactly one cell of the Level 1 by Level 2 grid and each lever acts on it in only one way.</w:t>
      </w:r>
    </w:p>
    <w:p>
      <w:pPr>
        <w:pStyle w:val="BodyText"/>
      </w:pPr>
      <w:r>
        <w:t xml:space="preserve">Of the 54 lever cells, 18 are directly enabled by centralisation, 25 are adjacent and 11 are independent. The direct cells cluster in four functions: technology, finance and actuarial and risk, governance and corporate, and investments. Claims and policy administration carry the largest cost but most of their levers are adjacent: centralisation makes them easier, not possible.</w:t>
      </w:r>
    </w:p>
    <w:p>
      <w:pPr>
        <w:pStyle w:val="BodyText"/>
      </w:pPr>
      <w:r>
        <w:t xml:space="preserve">The entity map needs correcting before Phase 2. Three points in the client context are wrong or out of date. First, Rest of Africa is not yet distribution only. Absa Life Assurance Kenya and First Assurance Kenya still underwrote at 31 December 2025 and the sale was only signed in August 2026. Second, AFS no longer holds a collective investment scheme manager or a market LISP. Those went to Sanlam Investment Holdings in 2022 and to Glacier in November 2023. Third, there are four South African insurance licences, not two. A cell captive, Absa Risk Transfer Insurance Company, was licensed in January 2024, and a fourth licence, Absa Insurance Risk Management Services, was closed in 2025. The licence count matters because duplicated licences are the first structural lever.</w:t>
      </w:r>
    </w:p>
    <w:bookmarkEnd w:id="20"/>
    <w:bookmarkStart w:id="23" w:name="X2e2878a05a21146d73c5a394c60b4cfdee20b37"/>
    <w:p>
      <w:pPr>
        <w:pStyle w:val="Heading2"/>
      </w:pPr>
      <w:r>
        <w:t xml:space="preserve">1. Entity and licence map, verified from public sources</w:t>
      </w:r>
    </w:p>
    <w:bookmarkStart w:id="21" w:name="what-the-public-record-shows"/>
    <w:p>
      <w:pPr>
        <w:pStyle w:val="Heading3"/>
      </w:pPr>
      <w:r>
        <w:t xml:space="preserve">1.1 What the public record shows</w:t>
      </w:r>
    </w:p>
    <w:tbl>
      <w:tblPr>
        <w:tblStyle w:val="Table"/>
        <w:tblLook w:firstRow="1" w:lastRow="0" w:firstColumn="0" w:lastColumn="0" w:noHBand="0" w:noVBand="0" w:val="0020"/>
        <w:jc w:val="start"/>
        <w:tblW w:w="14570" w:type="dxa"/>
        <w:tblLayout w:type="fixed"/>
      </w:tblPr>
      <w:tblGrid>
        <w:gridCol w:w="2914"/>
        <w:gridCol w:w="2914"/>
        <w:gridCol w:w="2914"/>
        <w:gridCol w:w="2914"/>
        <w:gridCol w:w="2914"/>
      </w:tblGrid>
      <w:tr>
        <w:trPr>
          <w:tblHeader w:val="true"/>
        </w:trPr>
        <w:tc>
          <w:tcPr>
            <w:tcW w:w="2914" w:type="dxa"/>
          </w:tcPr>
          <w:p>
            <w:pPr>
              <w:pStyle w:val="Compact"/>
              <w:jc w:val="left"/>
              <w:spacing w:before="20" w:after="20" w:line="220" w:lineRule="auto"/>
            </w:pPr>
            <w:r>
              <w:rPr>
                <w:sz w:val="15"/>
                <w:szCs w:val="15"/>
              </w:rPr>
              <w:t xml:space="preserve">Entity</w:t>
            </w:r>
          </w:p>
        </w:tc>
        <w:tc>
          <w:tcPr>
            <w:tcW w:w="2914" w:type="dxa"/>
          </w:tcPr>
          <w:p>
            <w:pPr>
              <w:pStyle w:val="Compact"/>
              <w:jc w:val="left"/>
              <w:spacing w:before="20" w:after="20" w:line="220" w:lineRule="auto"/>
            </w:pPr>
            <w:r>
              <w:rPr>
                <w:sz w:val="15"/>
                <w:szCs w:val="15"/>
              </w:rPr>
              <w:t xml:space="preserve">Role</w:t>
            </w:r>
          </w:p>
        </w:tc>
        <w:tc>
          <w:tcPr>
            <w:tcW w:w="2914" w:type="dxa"/>
          </w:tcPr>
          <w:p>
            <w:pPr>
              <w:pStyle w:val="Compact"/>
              <w:jc w:val="left"/>
              <w:spacing w:before="20" w:after="20" w:line="220" w:lineRule="auto"/>
            </w:pPr>
            <w:r>
              <w:rPr>
                <w:sz w:val="15"/>
                <w:szCs w:val="15"/>
              </w:rPr>
              <w:t xml:space="preserve">Licence or registration</w:t>
            </w:r>
          </w:p>
        </w:tc>
        <w:tc>
          <w:tcPr>
            <w:tcW w:w="2914" w:type="dxa"/>
          </w:tcPr>
          <w:p>
            <w:pPr>
              <w:pStyle w:val="Compact"/>
              <w:jc w:val="left"/>
              <w:spacing w:before="20" w:after="20" w:line="220" w:lineRule="auto"/>
            </w:pPr>
            <w:r>
              <w:rPr>
                <w:sz w:val="15"/>
                <w:szCs w:val="15"/>
              </w:rPr>
              <w:t xml:space="preserve">Status at latest source</w:t>
            </w:r>
          </w:p>
        </w:tc>
        <w:tc>
          <w:tcPr>
            <w:tcW w:w="2914" w:type="dxa"/>
          </w:tcPr>
          <w:p>
            <w:pPr>
              <w:pStyle w:val="Compact"/>
              <w:jc w:val="left"/>
              <w:spacing w:before="20" w:after="20" w:line="220" w:lineRule="auto"/>
            </w:pPr>
            <w:r>
              <w:rPr>
                <w:sz w:val="15"/>
                <w:szCs w:val="15"/>
              </w:rPr>
              <w:t xml:space="preserve">Source</w:t>
            </w:r>
          </w:p>
        </w:tc>
      </w:tr>
      <w:tr>
        <w:tc>
          <w:tcPr>
            <w:tcW w:w="2914" w:type="dxa"/>
          </w:tcPr>
          <w:p>
            <w:pPr>
              <w:pStyle w:val="Compact"/>
              <w:jc w:val="left"/>
              <w:spacing w:before="20" w:after="20" w:line="220" w:lineRule="auto"/>
            </w:pPr>
            <w:r>
              <w:rPr>
                <w:sz w:val="15"/>
                <w:szCs w:val="15"/>
              </w:rPr>
              <w:t xml:space="preserve">Absa Financial Services Limited</w:t>
            </w:r>
          </w:p>
        </w:tc>
        <w:tc>
          <w:tcPr>
            <w:tcW w:w="2914" w:type="dxa"/>
          </w:tcPr>
          <w:p>
            <w:pPr>
              <w:pStyle w:val="Compact"/>
              <w:jc w:val="left"/>
              <w:spacing w:before="20" w:after="20" w:line="220" w:lineRule="auto"/>
            </w:pPr>
            <w:r>
              <w:rPr>
                <w:sz w:val="15"/>
                <w:szCs w:val="15"/>
              </w:rPr>
              <w:t xml:space="preserve">Investment holding company for the insurance, advice and fiduciary subsidiaries. Designated as an insurance group by the Prudential Authority (PA) on 30 January 2019</w:t>
            </w:r>
          </w:p>
        </w:tc>
        <w:tc>
          <w:tcPr>
            <w:tcW w:w="2914" w:type="dxa"/>
          </w:tcPr>
          <w:p>
            <w:pPr>
              <w:pStyle w:val="Compact"/>
              <w:jc w:val="left"/>
              <w:spacing w:before="20" w:after="20" w:line="220" w:lineRule="auto"/>
            </w:pPr>
            <w:r>
              <w:rPr>
                <w:sz w:val="15"/>
                <w:szCs w:val="15"/>
              </w:rPr>
              <w:t xml:space="preserve">Insurance group designation under the Insurance Act 18 of 2017</w:t>
            </w:r>
          </w:p>
        </w:tc>
        <w:tc>
          <w:tcPr>
            <w:tcW w:w="2914" w:type="dxa"/>
          </w:tcPr>
          <w:p>
            <w:pPr>
              <w:pStyle w:val="Compact"/>
              <w:jc w:val="left"/>
              <w:spacing w:before="20" w:after="20" w:line="220" w:lineRule="auto"/>
            </w:pPr>
            <w:r>
              <w:rPr>
                <w:sz w:val="15"/>
                <w:szCs w:val="15"/>
              </w:rPr>
              <w:t xml:space="preserve">Active. Group solvency cover reported</w:t>
            </w:r>
          </w:p>
        </w:tc>
        <w:tc>
          <w:tcPr>
            <w:tcW w:w="2914" w:type="dxa"/>
          </w:tcPr>
          <w:p>
            <w:pPr>
              <w:pStyle w:val="Compact"/>
              <w:jc w:val="left"/>
              <w:spacing w:before="20" w:after="20" w:line="220" w:lineRule="auto"/>
            </w:pPr>
            <w:r>
              <w:rPr>
                <w:sz w:val="15"/>
                <w:szCs w:val="15"/>
              </w:rPr>
              <w:t xml:space="preserve">Fact: Absa Group AFS FY25 p147 (nature of business); PA list of designated entities, 30 January 2019; AFS FY25 p240 (group cover)</w:t>
            </w:r>
          </w:p>
        </w:tc>
      </w:tr>
      <w:tr>
        <w:tc>
          <w:tcPr>
            <w:tcW w:w="2914" w:type="dxa"/>
          </w:tcPr>
          <w:p>
            <w:pPr>
              <w:pStyle w:val="Compact"/>
              <w:jc w:val="left"/>
              <w:spacing w:before="20" w:after="20" w:line="220" w:lineRule="auto"/>
            </w:pPr>
            <w:r>
              <w:rPr>
                <w:sz w:val="15"/>
                <w:szCs w:val="15"/>
              </w:rPr>
              <w:t xml:space="preserve">Absa Life Limited</w:t>
            </w:r>
          </w:p>
        </w:tc>
        <w:tc>
          <w:tcPr>
            <w:tcW w:w="2914" w:type="dxa"/>
          </w:tcPr>
          <w:p>
            <w:pPr>
              <w:pStyle w:val="Compact"/>
              <w:jc w:val="left"/>
              <w:spacing w:before="20" w:after="20" w:line="220" w:lineRule="auto"/>
            </w:pPr>
            <w:r>
              <w:rPr>
                <w:sz w:val="15"/>
                <w:szCs w:val="15"/>
              </w:rPr>
              <w:t xml:space="preserve">Life underwriter. Writes risk, credit life, funeral, annuities and investment classes</w:t>
            </w:r>
          </w:p>
        </w:tc>
        <w:tc>
          <w:tcPr>
            <w:tcW w:w="2914" w:type="dxa"/>
          </w:tcPr>
          <w:p>
            <w:pPr>
              <w:pStyle w:val="Compact"/>
              <w:jc w:val="left"/>
              <w:spacing w:before="20" w:after="20" w:line="220" w:lineRule="auto"/>
            </w:pPr>
            <w:r>
              <w:rPr>
                <w:sz w:val="15"/>
                <w:szCs w:val="15"/>
              </w:rPr>
              <w:t xml:space="preserve">Licensed life insurer, PA certificate IN0013 issued 1 October 2020, classes in Annexure A: Risk, Fund Risk, Credit Life, Funeral, Life Annuities, Individual Investment, Fund Investment. Insurer licence I121. FSP 36116. Registration 1992/001738/06</w:t>
            </w:r>
          </w:p>
        </w:tc>
        <w:tc>
          <w:tcPr>
            <w:tcW w:w="2914" w:type="dxa"/>
          </w:tcPr>
          <w:p>
            <w:pPr>
              <w:pStyle w:val="Compact"/>
              <w:jc w:val="left"/>
              <w:spacing w:before="20" w:after="20" w:line="220" w:lineRule="auto"/>
            </w:pPr>
            <w:r>
              <w:rPr>
                <w:sz w:val="15"/>
                <w:szCs w:val="15"/>
              </w:rPr>
              <w:t xml:space="preserve">Active. Solo cover 1.51 at 31 December 2025</w:t>
            </w:r>
          </w:p>
        </w:tc>
        <w:tc>
          <w:tcPr>
            <w:tcW w:w="2914" w:type="dxa"/>
          </w:tcPr>
          <w:p>
            <w:pPr>
              <w:pStyle w:val="Compact"/>
              <w:jc w:val="left"/>
              <w:spacing w:before="20" w:after="20" w:line="220" w:lineRule="auto"/>
            </w:pPr>
            <w:r>
              <w:rPr>
                <w:sz w:val="15"/>
                <w:szCs w:val="15"/>
              </w:rPr>
              <w:t xml:space="preserve">Fact: PA certificate of licensing (2020); absa.co.za Absa Life page; AFS FY25 p230 and p240</w:t>
            </w:r>
          </w:p>
        </w:tc>
      </w:tr>
      <w:tr>
        <w:tc>
          <w:tcPr>
            <w:tcW w:w="2914" w:type="dxa"/>
          </w:tcPr>
          <w:p>
            <w:pPr>
              <w:pStyle w:val="Compact"/>
              <w:jc w:val="left"/>
              <w:spacing w:before="20" w:after="20" w:line="220" w:lineRule="auto"/>
            </w:pPr>
            <w:r>
              <w:rPr>
                <w:sz w:val="15"/>
                <w:szCs w:val="15"/>
              </w:rPr>
              <w:t xml:space="preserve">Absa Insurance Company Limited (AIC)</w:t>
            </w:r>
          </w:p>
        </w:tc>
        <w:tc>
          <w:tcPr>
            <w:tcW w:w="2914" w:type="dxa"/>
          </w:tcPr>
          <w:p>
            <w:pPr>
              <w:pStyle w:val="Compact"/>
              <w:jc w:val="left"/>
              <w:spacing w:before="20" w:after="20" w:line="220" w:lineRule="auto"/>
            </w:pPr>
            <w:r>
              <w:rPr>
                <w:sz w:val="15"/>
                <w:szCs w:val="15"/>
              </w:rPr>
              <w:t xml:space="preserve">Non-life underwriter. Personal and commercial lines</w:t>
            </w:r>
          </w:p>
        </w:tc>
        <w:tc>
          <w:tcPr>
            <w:tcW w:w="2914" w:type="dxa"/>
          </w:tcPr>
          <w:p>
            <w:pPr>
              <w:pStyle w:val="Compact"/>
              <w:jc w:val="left"/>
              <w:spacing w:before="20" w:after="20" w:line="220" w:lineRule="auto"/>
            </w:pPr>
            <w:r>
              <w:rPr>
                <w:sz w:val="15"/>
                <w:szCs w:val="15"/>
              </w:rPr>
              <w:t xml:space="preserve">Licensed non-life insurer. FSP 8030. Registration 1992/001737/06 (web disclosure, to confirm on FSCA register)</w:t>
            </w:r>
          </w:p>
        </w:tc>
        <w:tc>
          <w:tcPr>
            <w:tcW w:w="2914" w:type="dxa"/>
          </w:tcPr>
          <w:p>
            <w:pPr>
              <w:pStyle w:val="Compact"/>
              <w:jc w:val="left"/>
              <w:spacing w:before="20" w:after="20" w:line="220" w:lineRule="auto"/>
            </w:pPr>
            <w:r>
              <w:rPr>
                <w:sz w:val="15"/>
                <w:szCs w:val="15"/>
              </w:rPr>
              <w:t xml:space="preserve">Active. Solo cover 1.81 at 31 December 2025. PA administrative penalty of R6 404 000 dated 31 October 2025 for underwriting classes not on its licence (sections 25(2) and 25(4) Insurance Act)</w:t>
            </w:r>
          </w:p>
        </w:tc>
        <w:tc>
          <w:tcPr>
            <w:tcW w:w="2914" w:type="dxa"/>
          </w:tcPr>
          <w:p>
            <w:pPr>
              <w:pStyle w:val="Compact"/>
              <w:jc w:val="left"/>
              <w:spacing w:before="20" w:after="20" w:line="220" w:lineRule="auto"/>
            </w:pPr>
            <w:r>
              <w:rPr>
                <w:sz w:val="15"/>
                <w:szCs w:val="15"/>
              </w:rPr>
              <w:t xml:space="preserve">Fact: PA administrative penalty order; AFS FY25 p234 and p240; web search result citing absa.co.za</w:t>
            </w:r>
          </w:p>
        </w:tc>
      </w:tr>
      <w:tr>
        <w:tc>
          <w:tcPr>
            <w:tcW w:w="2914" w:type="dxa"/>
          </w:tcPr>
          <w:p>
            <w:pPr>
              <w:pStyle w:val="Compact"/>
              <w:jc w:val="left"/>
              <w:spacing w:before="20" w:after="20" w:line="220" w:lineRule="auto"/>
            </w:pPr>
            <w:r>
              <w:rPr>
                <w:sz w:val="15"/>
                <w:szCs w:val="15"/>
              </w:rPr>
              <w:t xml:space="preserve">Absa Risk Transfer Insurance Company Limited (ARTIC)</w:t>
            </w:r>
          </w:p>
        </w:tc>
        <w:tc>
          <w:tcPr>
            <w:tcW w:w="2914" w:type="dxa"/>
          </w:tcPr>
          <w:p>
            <w:pPr>
              <w:pStyle w:val="Compact"/>
              <w:jc w:val="left"/>
              <w:spacing w:before="20" w:after="20" w:line="220" w:lineRule="auto"/>
            </w:pPr>
            <w:r>
              <w:rPr>
                <w:sz w:val="15"/>
                <w:szCs w:val="15"/>
              </w:rPr>
              <w:t xml:space="preserve">Non-life cell captive underwriter</w:t>
            </w:r>
          </w:p>
        </w:tc>
        <w:tc>
          <w:tcPr>
            <w:tcW w:w="2914" w:type="dxa"/>
          </w:tcPr>
          <w:p>
            <w:pPr>
              <w:pStyle w:val="Compact"/>
              <w:jc w:val="left"/>
              <w:spacing w:before="20" w:after="20" w:line="220" w:lineRule="auto"/>
            </w:pPr>
            <w:r>
              <w:rPr>
                <w:sz w:val="15"/>
                <w:szCs w:val="15"/>
              </w:rPr>
              <w:t xml:space="preserve">Licensed as a cell captive insurer to conduct non-life business with effect from 18 January 2024. Classes in Annexure A include motor, property, agriculture and consumer credit</w:t>
            </w:r>
          </w:p>
        </w:tc>
        <w:tc>
          <w:tcPr>
            <w:tcW w:w="2914" w:type="dxa"/>
          </w:tcPr>
          <w:p>
            <w:pPr>
              <w:pStyle w:val="Compact"/>
              <w:jc w:val="left"/>
              <w:spacing w:before="20" w:after="20" w:line="220" w:lineRule="auto"/>
            </w:pPr>
            <w:r>
              <w:rPr>
                <w:sz w:val="15"/>
                <w:szCs w:val="15"/>
              </w:rPr>
              <w:t xml:space="preserve">Active. Solo cover 2.11 at 31 December 2025</w:t>
            </w:r>
          </w:p>
        </w:tc>
        <w:tc>
          <w:tcPr>
            <w:tcW w:w="2914" w:type="dxa"/>
          </w:tcPr>
          <w:p>
            <w:pPr>
              <w:pStyle w:val="Compact"/>
              <w:jc w:val="left"/>
              <w:spacing w:before="20" w:after="20" w:line="220" w:lineRule="auto"/>
            </w:pPr>
            <w:r>
              <w:rPr>
                <w:sz w:val="15"/>
                <w:szCs w:val="15"/>
              </w:rPr>
              <w:t xml:space="preserve">Fact: PA licensing notice dated 1 February 2024; AFS FY25 p234 and p240</w:t>
            </w:r>
          </w:p>
        </w:tc>
      </w:tr>
      <w:tr>
        <w:tc>
          <w:tcPr>
            <w:tcW w:w="2914" w:type="dxa"/>
          </w:tcPr>
          <w:p>
            <w:pPr>
              <w:pStyle w:val="Compact"/>
              <w:jc w:val="left"/>
              <w:spacing w:before="20" w:after="20" w:line="220" w:lineRule="auto"/>
            </w:pPr>
            <w:r>
              <w:rPr>
                <w:sz w:val="15"/>
                <w:szCs w:val="15"/>
              </w:rPr>
              <w:t xml:space="preserve">Absa Insurance Risk Management Services Limited (AIRMS)</w:t>
            </w:r>
          </w:p>
        </w:tc>
        <w:tc>
          <w:tcPr>
            <w:tcW w:w="2914" w:type="dxa"/>
          </w:tcPr>
          <w:p>
            <w:pPr>
              <w:pStyle w:val="Compact"/>
              <w:jc w:val="left"/>
              <w:spacing w:before="20" w:after="20" w:line="220" w:lineRule="auto"/>
            </w:pPr>
            <w:r>
              <w:rPr>
                <w:sz w:val="15"/>
                <w:szCs w:val="15"/>
              </w:rPr>
              <w:t xml:space="preserve">Former non-life underwriter</w:t>
            </w:r>
          </w:p>
        </w:tc>
        <w:tc>
          <w:tcPr>
            <w:tcW w:w="2914" w:type="dxa"/>
          </w:tcPr>
          <w:p>
            <w:pPr>
              <w:pStyle w:val="Compact"/>
              <w:jc w:val="left"/>
              <w:spacing w:before="20" w:after="20" w:line="220" w:lineRule="auto"/>
            </w:pPr>
            <w:r>
              <w:rPr>
                <w:sz w:val="15"/>
                <w:szCs w:val="15"/>
              </w:rPr>
              <w:t xml:space="preserve">Insurance licence closed by the PA during FY25</w:t>
            </w:r>
          </w:p>
        </w:tc>
        <w:tc>
          <w:tcPr>
            <w:tcW w:w="2914" w:type="dxa"/>
          </w:tcPr>
          <w:p>
            <w:pPr>
              <w:pStyle w:val="Compact"/>
              <w:jc w:val="left"/>
              <w:spacing w:before="20" w:after="20" w:line="220" w:lineRule="auto"/>
            </w:pPr>
            <w:r>
              <w:rPr>
                <w:sz w:val="15"/>
                <w:szCs w:val="15"/>
              </w:rPr>
              <w:t xml:space="preserve">Closed. Solo cover not applicable in 2025 (2.57 in 2024)</w:t>
            </w:r>
          </w:p>
        </w:tc>
        <w:tc>
          <w:tcPr>
            <w:tcW w:w="2914" w:type="dxa"/>
          </w:tcPr>
          <w:p>
            <w:pPr>
              <w:pStyle w:val="Compact"/>
              <w:jc w:val="left"/>
              <w:spacing w:before="20" w:after="20" w:line="220" w:lineRule="auto"/>
            </w:pPr>
            <w:r>
              <w:rPr>
                <w:sz w:val="15"/>
                <w:szCs w:val="15"/>
              </w:rPr>
              <w:t xml:space="preserve">Fact: AFS FY25 p234 and p240</w:t>
            </w:r>
          </w:p>
        </w:tc>
      </w:tr>
      <w:tr>
        <w:tc>
          <w:tcPr>
            <w:tcW w:w="2914" w:type="dxa"/>
          </w:tcPr>
          <w:p>
            <w:pPr>
              <w:pStyle w:val="Compact"/>
              <w:jc w:val="left"/>
              <w:spacing w:before="20" w:after="20" w:line="220" w:lineRule="auto"/>
            </w:pPr>
            <w:r>
              <w:rPr>
                <w:sz w:val="15"/>
                <w:szCs w:val="15"/>
              </w:rPr>
              <w:t xml:space="preserve">Instant Life (Pty) Ltd</w:t>
            </w:r>
          </w:p>
        </w:tc>
        <w:tc>
          <w:tcPr>
            <w:tcW w:w="2914" w:type="dxa"/>
          </w:tcPr>
          <w:p>
            <w:pPr>
              <w:pStyle w:val="Compact"/>
              <w:jc w:val="left"/>
              <w:spacing w:before="20" w:after="20" w:line="220" w:lineRule="auto"/>
            </w:pPr>
            <w:r>
              <w:rPr>
                <w:sz w:val="15"/>
                <w:szCs w:val="15"/>
              </w:rPr>
              <w:t xml:space="preserve">Online life distribution. Policies underwritten by Absa Life through a cell arrangement</w:t>
            </w:r>
          </w:p>
        </w:tc>
        <w:tc>
          <w:tcPr>
            <w:tcW w:w="2914" w:type="dxa"/>
          </w:tcPr>
          <w:p>
            <w:pPr>
              <w:pStyle w:val="Compact"/>
              <w:jc w:val="left"/>
              <w:spacing w:before="20" w:after="20" w:line="220" w:lineRule="auto"/>
            </w:pPr>
            <w:r>
              <w:rPr>
                <w:sz w:val="15"/>
                <w:szCs w:val="15"/>
              </w:rPr>
              <w:t xml:space="preserve">FSP 42569. Registration 2007/032320/07</w:t>
            </w:r>
          </w:p>
        </w:tc>
        <w:tc>
          <w:tcPr>
            <w:tcW w:w="2914" w:type="dxa"/>
          </w:tcPr>
          <w:p>
            <w:pPr>
              <w:pStyle w:val="Compact"/>
              <w:jc w:val="left"/>
              <w:spacing w:before="20" w:after="20" w:line="220" w:lineRule="auto"/>
            </w:pPr>
            <w:r>
              <w:rPr>
                <w:sz w:val="15"/>
                <w:szCs w:val="15"/>
              </w:rPr>
              <w:t xml:space="preserve">Active, 100% held</w:t>
            </w:r>
          </w:p>
        </w:tc>
        <w:tc>
          <w:tcPr>
            <w:tcW w:w="2914" w:type="dxa"/>
          </w:tcPr>
          <w:p>
            <w:pPr>
              <w:pStyle w:val="Compact"/>
              <w:jc w:val="left"/>
              <w:spacing w:before="20" w:after="20" w:line="220" w:lineRule="auto"/>
            </w:pPr>
            <w:r>
              <w:rPr>
                <w:sz w:val="15"/>
                <w:szCs w:val="15"/>
              </w:rPr>
              <w:t xml:space="preserve">Fact: AFS FY25 p147; absa.co.za Instant Life page</w:t>
            </w:r>
          </w:p>
        </w:tc>
      </w:tr>
      <w:tr>
        <w:tc>
          <w:tcPr>
            <w:tcW w:w="2914" w:type="dxa"/>
          </w:tcPr>
          <w:p>
            <w:pPr>
              <w:pStyle w:val="Compact"/>
              <w:jc w:val="left"/>
              <w:spacing w:before="20" w:after="20" w:line="220" w:lineRule="auto"/>
            </w:pPr>
            <w:r>
              <w:rPr>
                <w:sz w:val="15"/>
                <w:szCs w:val="15"/>
              </w:rPr>
              <w:t xml:space="preserve">Absa Insurance and Financial Advisers (Pty) Ltd (AIFA)</w:t>
            </w:r>
          </w:p>
        </w:tc>
        <w:tc>
          <w:tcPr>
            <w:tcW w:w="2914" w:type="dxa"/>
          </w:tcPr>
          <w:p>
            <w:pPr>
              <w:pStyle w:val="Compact"/>
              <w:jc w:val="left"/>
              <w:spacing w:before="20" w:after="20" w:line="220" w:lineRule="auto"/>
            </w:pPr>
            <w:r>
              <w:rPr>
                <w:sz w:val="15"/>
                <w:szCs w:val="15"/>
              </w:rPr>
              <w:t xml:space="preserve">Tied adviser force. Insurance and investment broking</w:t>
            </w:r>
          </w:p>
        </w:tc>
        <w:tc>
          <w:tcPr>
            <w:tcW w:w="2914" w:type="dxa"/>
          </w:tcPr>
          <w:p>
            <w:pPr>
              <w:pStyle w:val="Compact"/>
              <w:jc w:val="left"/>
              <w:spacing w:before="20" w:after="20" w:line="220" w:lineRule="auto"/>
            </w:pPr>
            <w:r>
              <w:rPr>
                <w:sz w:val="15"/>
                <w:szCs w:val="15"/>
              </w:rPr>
              <w:t xml:space="preserve">FSP 4012</w:t>
            </w:r>
          </w:p>
        </w:tc>
        <w:tc>
          <w:tcPr>
            <w:tcW w:w="2914" w:type="dxa"/>
          </w:tcPr>
          <w:p>
            <w:pPr>
              <w:pStyle w:val="Compact"/>
              <w:jc w:val="left"/>
              <w:spacing w:before="20" w:after="20" w:line="220" w:lineRule="auto"/>
            </w:pPr>
            <w:r>
              <w:rPr>
                <w:sz w:val="15"/>
                <w:szCs w:val="15"/>
              </w:rPr>
              <w:t xml:space="preserve">Active, 100% held</w:t>
            </w:r>
          </w:p>
        </w:tc>
        <w:tc>
          <w:tcPr>
            <w:tcW w:w="2914" w:type="dxa"/>
          </w:tcPr>
          <w:p>
            <w:pPr>
              <w:pStyle w:val="Compact"/>
              <w:jc w:val="left"/>
              <w:spacing w:before="20" w:after="20" w:line="220" w:lineRule="auto"/>
            </w:pPr>
            <w:r>
              <w:rPr>
                <w:sz w:val="15"/>
                <w:szCs w:val="15"/>
              </w:rPr>
              <w:t xml:space="preserve">Fact: AFS FY25 p147; absa.co.za financial advisers page</w:t>
            </w:r>
          </w:p>
        </w:tc>
      </w:tr>
      <w:tr>
        <w:tc>
          <w:tcPr>
            <w:tcW w:w="2914" w:type="dxa"/>
          </w:tcPr>
          <w:p>
            <w:pPr>
              <w:pStyle w:val="Compact"/>
              <w:jc w:val="left"/>
              <w:spacing w:before="20" w:after="20" w:line="220" w:lineRule="auto"/>
            </w:pPr>
            <w:r>
              <w:rPr>
                <w:sz w:val="15"/>
                <w:szCs w:val="15"/>
              </w:rPr>
              <w:t xml:space="preserve">Absa Investment Management Services (Pty) Ltd (AIMS)</w:t>
            </w:r>
          </w:p>
        </w:tc>
        <w:tc>
          <w:tcPr>
            <w:tcW w:w="2914" w:type="dxa"/>
          </w:tcPr>
          <w:p>
            <w:pPr>
              <w:pStyle w:val="Compact"/>
              <w:jc w:val="left"/>
              <w:spacing w:before="20" w:after="20" w:line="220" w:lineRule="auto"/>
            </w:pPr>
            <w:r>
              <w:rPr>
                <w:sz w:val="15"/>
                <w:szCs w:val="15"/>
              </w:rPr>
              <w:t xml:space="preserve">Authorised FSP holding administrative, discretionary FSP and investment manager approvals</w:t>
            </w:r>
          </w:p>
        </w:tc>
        <w:tc>
          <w:tcPr>
            <w:tcW w:w="2914" w:type="dxa"/>
          </w:tcPr>
          <w:p>
            <w:pPr>
              <w:pStyle w:val="Compact"/>
              <w:jc w:val="left"/>
              <w:spacing w:before="20" w:after="20" w:line="220" w:lineRule="auto"/>
            </w:pPr>
            <w:r>
              <w:rPr>
                <w:sz w:val="15"/>
                <w:szCs w:val="15"/>
              </w:rPr>
              <w:t xml:space="preserve">FSP 524. Registration 1980/002425/07</w:t>
            </w:r>
          </w:p>
        </w:tc>
        <w:tc>
          <w:tcPr>
            <w:tcW w:w="2914" w:type="dxa"/>
          </w:tcPr>
          <w:p>
            <w:pPr>
              <w:pStyle w:val="Compact"/>
              <w:jc w:val="left"/>
              <w:spacing w:before="20" w:after="20" w:line="220" w:lineRule="auto"/>
            </w:pPr>
            <w:r>
              <w:rPr>
                <w:sz w:val="15"/>
                <w:szCs w:val="15"/>
              </w:rPr>
              <w:t xml:space="preserve">Active, 100% held. The market LISP book was merged into Glacier by Sanlam with effect from 1 November 2023</w:t>
            </w:r>
          </w:p>
        </w:tc>
        <w:tc>
          <w:tcPr>
            <w:tcW w:w="2914" w:type="dxa"/>
          </w:tcPr>
          <w:p>
            <w:pPr>
              <w:pStyle w:val="Compact"/>
              <w:jc w:val="left"/>
              <w:spacing w:before="20" w:after="20" w:line="220" w:lineRule="auto"/>
            </w:pPr>
            <w:r>
              <w:rPr>
                <w:sz w:val="15"/>
                <w:szCs w:val="15"/>
              </w:rPr>
              <w:t xml:space="preserve">Fact: AFS FY25 p146; Absa application form (ss.absa.co.za); FAnews 1 November 2023</w:t>
            </w:r>
          </w:p>
        </w:tc>
      </w:tr>
      <w:tr>
        <w:tc>
          <w:tcPr>
            <w:tcW w:w="2914" w:type="dxa"/>
          </w:tcPr>
          <w:p>
            <w:pPr>
              <w:pStyle w:val="Compact"/>
              <w:jc w:val="left"/>
              <w:spacing w:before="20" w:after="20" w:line="220" w:lineRule="auto"/>
            </w:pPr>
            <w:r>
              <w:rPr>
                <w:sz w:val="15"/>
                <w:szCs w:val="15"/>
              </w:rPr>
              <w:t xml:space="preserve">Absa Stockbrokers and Portfolio Management (Pty) Ltd</w:t>
            </w:r>
          </w:p>
        </w:tc>
        <w:tc>
          <w:tcPr>
            <w:tcW w:w="2914" w:type="dxa"/>
          </w:tcPr>
          <w:p>
            <w:pPr>
              <w:pStyle w:val="Compact"/>
              <w:jc w:val="left"/>
              <w:spacing w:before="20" w:after="20" w:line="220" w:lineRule="auto"/>
            </w:pPr>
            <w:r>
              <w:rPr>
                <w:sz w:val="15"/>
                <w:szCs w:val="15"/>
              </w:rPr>
              <w:t xml:space="preserve">Online and telephone share trading</w:t>
            </w:r>
          </w:p>
        </w:tc>
        <w:tc>
          <w:tcPr>
            <w:tcW w:w="2914" w:type="dxa"/>
          </w:tcPr>
          <w:p>
            <w:pPr>
              <w:pStyle w:val="Compact"/>
              <w:jc w:val="left"/>
              <w:spacing w:before="20" w:after="20" w:line="220" w:lineRule="auto"/>
            </w:pPr>
            <w:r>
              <w:rPr>
                <w:sz w:val="15"/>
                <w:szCs w:val="15"/>
              </w:rPr>
              <w:t xml:space="preserve">JSE equities member, registration 1973/010798/07. FSP number not confirmed from a primary source</w:t>
            </w:r>
          </w:p>
        </w:tc>
        <w:tc>
          <w:tcPr>
            <w:tcW w:w="2914" w:type="dxa"/>
          </w:tcPr>
          <w:p>
            <w:pPr>
              <w:pStyle w:val="Compact"/>
              <w:jc w:val="left"/>
              <w:spacing w:before="20" w:after="20" w:line="220" w:lineRule="auto"/>
            </w:pPr>
            <w:r>
              <w:rPr>
                <w:sz w:val="15"/>
                <w:szCs w:val="15"/>
              </w:rPr>
              <w:t xml:space="preserve">Active, 100% held</w:t>
            </w:r>
          </w:p>
        </w:tc>
        <w:tc>
          <w:tcPr>
            <w:tcW w:w="2914" w:type="dxa"/>
          </w:tcPr>
          <w:p>
            <w:pPr>
              <w:pStyle w:val="Compact"/>
              <w:jc w:val="left"/>
              <w:spacing w:before="20" w:after="20" w:line="220" w:lineRule="auto"/>
            </w:pPr>
            <w:r>
              <w:rPr>
                <w:sz w:val="15"/>
                <w:szCs w:val="15"/>
              </w:rPr>
              <w:t xml:space="preserve">Fact: AFS FY25 p146; Profile’s Stock Exchange Handbook</w:t>
            </w:r>
          </w:p>
        </w:tc>
      </w:tr>
      <w:tr>
        <w:tc>
          <w:tcPr>
            <w:tcW w:w="2914" w:type="dxa"/>
          </w:tcPr>
          <w:p>
            <w:pPr>
              <w:pStyle w:val="Compact"/>
              <w:jc w:val="left"/>
              <w:spacing w:before="20" w:after="20" w:line="220" w:lineRule="auto"/>
            </w:pPr>
            <w:r>
              <w:rPr>
                <w:sz w:val="15"/>
                <w:szCs w:val="15"/>
              </w:rPr>
              <w:t xml:space="preserve">Absa Trust Limited</w:t>
            </w:r>
          </w:p>
        </w:tc>
        <w:tc>
          <w:tcPr>
            <w:tcW w:w="2914" w:type="dxa"/>
          </w:tcPr>
          <w:p>
            <w:pPr>
              <w:pStyle w:val="Compact"/>
              <w:jc w:val="left"/>
              <w:spacing w:before="20" w:after="20" w:line="220" w:lineRule="auto"/>
            </w:pPr>
            <w:r>
              <w:rPr>
                <w:sz w:val="15"/>
                <w:szCs w:val="15"/>
              </w:rPr>
              <w:t xml:space="preserve">Trust administration, wills and estates</w:t>
            </w:r>
          </w:p>
        </w:tc>
        <w:tc>
          <w:tcPr>
            <w:tcW w:w="2914" w:type="dxa"/>
          </w:tcPr>
          <w:p>
            <w:pPr>
              <w:pStyle w:val="Compact"/>
              <w:jc w:val="left"/>
              <w:spacing w:before="20" w:after="20" w:line="220" w:lineRule="auto"/>
            </w:pPr>
            <w:r>
              <w:rPr>
                <w:sz w:val="15"/>
                <w:szCs w:val="15"/>
              </w:rPr>
              <w:t xml:space="preserve">FSP status not confirmed from a primary source</w:t>
            </w:r>
          </w:p>
        </w:tc>
        <w:tc>
          <w:tcPr>
            <w:tcW w:w="2914" w:type="dxa"/>
          </w:tcPr>
          <w:p>
            <w:pPr>
              <w:pStyle w:val="Compact"/>
              <w:jc w:val="left"/>
              <w:spacing w:before="20" w:after="20" w:line="220" w:lineRule="auto"/>
            </w:pPr>
            <w:r>
              <w:rPr>
                <w:sz w:val="15"/>
                <w:szCs w:val="15"/>
              </w:rPr>
              <w:t xml:space="preserve">Active, 100% held</w:t>
            </w:r>
          </w:p>
        </w:tc>
        <w:tc>
          <w:tcPr>
            <w:tcW w:w="2914" w:type="dxa"/>
          </w:tcPr>
          <w:p>
            <w:pPr>
              <w:pStyle w:val="Compact"/>
              <w:jc w:val="left"/>
              <w:spacing w:before="20" w:after="20" w:line="220" w:lineRule="auto"/>
            </w:pPr>
            <w:r>
              <w:rPr>
                <w:sz w:val="15"/>
                <w:szCs w:val="15"/>
              </w:rPr>
              <w:t xml:space="preserve">Fact: AFS FY25 p147</w:t>
            </w:r>
          </w:p>
        </w:tc>
      </w:tr>
      <w:tr>
        <w:tc>
          <w:tcPr>
            <w:tcW w:w="2914" w:type="dxa"/>
          </w:tcPr>
          <w:p>
            <w:pPr>
              <w:pStyle w:val="Compact"/>
              <w:jc w:val="left"/>
              <w:spacing w:before="20" w:after="20" w:line="220" w:lineRule="auto"/>
            </w:pPr>
            <w:r>
              <w:rPr>
                <w:sz w:val="15"/>
                <w:szCs w:val="15"/>
              </w:rPr>
              <w:t xml:space="preserve">Absa Fund Managers (RF) (Pty) Ltd</w:t>
            </w:r>
          </w:p>
        </w:tc>
        <w:tc>
          <w:tcPr>
            <w:tcW w:w="2914" w:type="dxa"/>
          </w:tcPr>
          <w:p>
            <w:pPr>
              <w:pStyle w:val="Compact"/>
              <w:jc w:val="left"/>
              <w:spacing w:before="20" w:after="20" w:line="220" w:lineRule="auto"/>
            </w:pPr>
            <w:r>
              <w:rPr>
                <w:sz w:val="15"/>
                <w:szCs w:val="15"/>
              </w:rPr>
              <w:t xml:space="preserve">Named as administering investments for Absa Financial Services Limited</w:t>
            </w:r>
          </w:p>
        </w:tc>
        <w:tc>
          <w:tcPr>
            <w:tcW w:w="2914" w:type="dxa"/>
          </w:tcPr>
          <w:p>
            <w:pPr>
              <w:pStyle w:val="Compact"/>
              <w:jc w:val="left"/>
              <w:spacing w:before="20" w:after="20" w:line="220" w:lineRule="auto"/>
            </w:pPr>
            <w:r>
              <w:rPr>
                <w:sz w:val="15"/>
                <w:szCs w:val="15"/>
              </w:rPr>
              <w:t xml:space="preserve">CIS manager status not confirmed. The CIS management business, excluding the money market fund, moved to Sanlam Investment Holdings in 2022. The money market fund was closed in July 2021</w:t>
            </w:r>
          </w:p>
        </w:tc>
        <w:tc>
          <w:tcPr>
            <w:tcW w:w="2914" w:type="dxa"/>
          </w:tcPr>
          <w:p>
            <w:pPr>
              <w:pStyle w:val="Compact"/>
              <w:jc w:val="left"/>
              <w:spacing w:before="20" w:after="20" w:line="220" w:lineRule="auto"/>
            </w:pPr>
            <w:r>
              <w:rPr>
                <w:sz w:val="15"/>
                <w:szCs w:val="15"/>
              </w:rPr>
              <w:t xml:space="preserve">Unclear. Needs management confirmation</w:t>
            </w:r>
          </w:p>
        </w:tc>
        <w:tc>
          <w:tcPr>
            <w:tcW w:w="2914" w:type="dxa"/>
          </w:tcPr>
          <w:p>
            <w:pPr>
              <w:pStyle w:val="Compact"/>
              <w:jc w:val="left"/>
              <w:spacing w:before="20" w:after="20" w:line="220" w:lineRule="auto"/>
            </w:pPr>
            <w:r>
              <w:rPr>
                <w:sz w:val="15"/>
                <w:szCs w:val="15"/>
              </w:rPr>
              <w:t xml:space="preserve">Fact: AFS FY25 p147; SENS 5 October 2021; Moonstone and The Citizen reports on fund closure</w:t>
            </w:r>
          </w:p>
        </w:tc>
      </w:tr>
      <w:tr>
        <w:tc>
          <w:tcPr>
            <w:tcW w:w="2914" w:type="dxa"/>
          </w:tcPr>
          <w:p>
            <w:pPr>
              <w:pStyle w:val="Compact"/>
              <w:jc w:val="left"/>
              <w:spacing w:before="20" w:after="20" w:line="220" w:lineRule="auto"/>
            </w:pPr>
            <w:r>
              <w:rPr>
                <w:sz w:val="15"/>
                <w:szCs w:val="15"/>
              </w:rPr>
              <w:t xml:space="preserve">Sanlam Investment Holdings (Pty) Ltd</w:t>
            </w:r>
          </w:p>
        </w:tc>
        <w:tc>
          <w:tcPr>
            <w:tcW w:w="2914" w:type="dxa"/>
          </w:tcPr>
          <w:p>
            <w:pPr>
              <w:pStyle w:val="Compact"/>
              <w:jc w:val="left"/>
              <w:spacing w:before="20" w:after="20" w:line="220" w:lineRule="auto"/>
            </w:pPr>
            <w:r>
              <w:rPr>
                <w:sz w:val="15"/>
                <w:szCs w:val="15"/>
              </w:rPr>
              <w:t xml:space="preserve">Equity-accounted associate. Absa’s former asset management business sits here</w:t>
            </w:r>
          </w:p>
        </w:tc>
        <w:tc>
          <w:tcPr>
            <w:tcW w:w="2914" w:type="dxa"/>
          </w:tcPr>
          <w:p>
            <w:pPr>
              <w:pStyle w:val="Compact"/>
              <w:jc w:val="left"/>
              <w:spacing w:before="20" w:after="20" w:line="220" w:lineRule="auto"/>
            </w:pPr>
            <w:r>
              <w:rPr>
                <w:sz w:val="15"/>
                <w:szCs w:val="15"/>
              </w:rPr>
              <w:t xml:space="preserve">13% holding at 31 December 2025</w:t>
            </w:r>
          </w:p>
        </w:tc>
        <w:tc>
          <w:tcPr>
            <w:tcW w:w="2914" w:type="dxa"/>
          </w:tcPr>
          <w:p>
            <w:pPr>
              <w:pStyle w:val="Compact"/>
              <w:jc w:val="left"/>
              <w:spacing w:before="20" w:after="20" w:line="220" w:lineRule="auto"/>
            </w:pPr>
            <w:r>
              <w:rPr>
                <w:sz w:val="15"/>
                <w:szCs w:val="15"/>
              </w:rPr>
              <w:t xml:space="preserve">Associate, not a subsidiary</w:t>
            </w:r>
          </w:p>
        </w:tc>
        <w:tc>
          <w:tcPr>
            <w:tcW w:w="2914" w:type="dxa"/>
          </w:tcPr>
          <w:p>
            <w:pPr>
              <w:pStyle w:val="Compact"/>
              <w:jc w:val="left"/>
              <w:spacing w:before="20" w:after="20" w:line="220" w:lineRule="auto"/>
            </w:pPr>
            <w:r>
              <w:rPr>
                <w:sz w:val="15"/>
                <w:szCs w:val="15"/>
              </w:rPr>
              <w:t xml:space="preserve">Fact: AFS FY25 p151</w:t>
            </w:r>
          </w:p>
        </w:tc>
      </w:tr>
      <w:tr>
        <w:tc>
          <w:tcPr>
            <w:tcW w:w="2914" w:type="dxa"/>
          </w:tcPr>
          <w:p>
            <w:pPr>
              <w:pStyle w:val="Compact"/>
              <w:jc w:val="left"/>
              <w:spacing w:before="20" w:after="20" w:line="220" w:lineRule="auto"/>
            </w:pPr>
            <w:r>
              <w:rPr>
                <w:sz w:val="15"/>
                <w:szCs w:val="15"/>
              </w:rPr>
              <w:t xml:space="preserve">Absa Life Assurance Kenya Limited (ALAK)</w:t>
            </w:r>
          </w:p>
        </w:tc>
        <w:tc>
          <w:tcPr>
            <w:tcW w:w="2914" w:type="dxa"/>
          </w:tcPr>
          <w:p>
            <w:pPr>
              <w:pStyle w:val="Compact"/>
              <w:jc w:val="left"/>
              <w:spacing w:before="20" w:after="20" w:line="220" w:lineRule="auto"/>
            </w:pPr>
            <w:r>
              <w:rPr>
                <w:sz w:val="15"/>
                <w:szCs w:val="15"/>
              </w:rPr>
              <w:t xml:space="preserve">Life underwriter, Kenya</w:t>
            </w:r>
          </w:p>
        </w:tc>
        <w:tc>
          <w:tcPr>
            <w:tcW w:w="2914" w:type="dxa"/>
          </w:tcPr>
          <w:p>
            <w:pPr>
              <w:pStyle w:val="Compact"/>
              <w:jc w:val="left"/>
              <w:spacing w:before="20" w:after="20" w:line="220" w:lineRule="auto"/>
            </w:pPr>
            <w:r>
              <w:rPr>
                <w:sz w:val="15"/>
                <w:szCs w:val="15"/>
              </w:rPr>
              <w:t xml:space="preserve">In-country licence. Solo cover 1.18 at 31 December 2025</w:t>
            </w:r>
          </w:p>
        </w:tc>
        <w:tc>
          <w:tcPr>
            <w:tcW w:w="2914" w:type="dxa"/>
          </w:tcPr>
          <w:p>
            <w:pPr>
              <w:pStyle w:val="Compact"/>
              <w:jc w:val="left"/>
              <w:spacing w:before="20" w:after="20" w:line="220" w:lineRule="auto"/>
            </w:pPr>
            <w:r>
              <w:rPr>
                <w:sz w:val="15"/>
                <w:szCs w:val="15"/>
              </w:rPr>
              <w:t xml:space="preserve">Consolidated at FY25. Sale agreement signed 13 August 2026 (press, SENS not yet located)</w:t>
            </w:r>
          </w:p>
        </w:tc>
        <w:tc>
          <w:tcPr>
            <w:tcW w:w="2914" w:type="dxa"/>
          </w:tcPr>
          <w:p>
            <w:pPr>
              <w:pStyle w:val="Compact"/>
              <w:jc w:val="left"/>
              <w:spacing w:before="20" w:after="20" w:line="220" w:lineRule="auto"/>
            </w:pPr>
            <w:r>
              <w:rPr>
                <w:sz w:val="15"/>
                <w:szCs w:val="15"/>
              </w:rPr>
              <w:t xml:space="preserve">Fact: AFS FY25 p146 and p240; Khusoko and Business Daily reports</w:t>
            </w:r>
          </w:p>
        </w:tc>
      </w:tr>
      <w:tr>
        <w:tc>
          <w:tcPr>
            <w:tcW w:w="2914" w:type="dxa"/>
          </w:tcPr>
          <w:p>
            <w:pPr>
              <w:pStyle w:val="Compact"/>
              <w:jc w:val="left"/>
              <w:spacing w:before="20" w:after="20" w:line="220" w:lineRule="auto"/>
            </w:pPr>
            <w:r>
              <w:rPr>
                <w:sz w:val="15"/>
                <w:szCs w:val="15"/>
              </w:rPr>
              <w:t xml:space="preserve">First Assurance Holdings Limited and First Assurance Kenya (FAK)</w:t>
            </w:r>
          </w:p>
        </w:tc>
        <w:tc>
          <w:tcPr>
            <w:tcW w:w="2914" w:type="dxa"/>
          </w:tcPr>
          <w:p>
            <w:pPr>
              <w:pStyle w:val="Compact"/>
              <w:jc w:val="left"/>
              <w:spacing w:before="20" w:after="20" w:line="220" w:lineRule="auto"/>
            </w:pPr>
            <w:r>
              <w:rPr>
                <w:sz w:val="15"/>
                <w:szCs w:val="15"/>
              </w:rPr>
              <w:t xml:space="preserve">Non-life underwriter, Kenya</w:t>
            </w:r>
          </w:p>
        </w:tc>
        <w:tc>
          <w:tcPr>
            <w:tcW w:w="2914" w:type="dxa"/>
          </w:tcPr>
          <w:p>
            <w:pPr>
              <w:pStyle w:val="Compact"/>
              <w:jc w:val="left"/>
              <w:spacing w:before="20" w:after="20" w:line="220" w:lineRule="auto"/>
            </w:pPr>
            <w:r>
              <w:rPr>
                <w:sz w:val="15"/>
                <w:szCs w:val="15"/>
              </w:rPr>
              <w:t xml:space="preserve">In-country licence. Solo cover 1.75 at 31 December 2025</w:t>
            </w:r>
          </w:p>
        </w:tc>
        <w:tc>
          <w:tcPr>
            <w:tcW w:w="2914" w:type="dxa"/>
          </w:tcPr>
          <w:p>
            <w:pPr>
              <w:pStyle w:val="Compact"/>
              <w:jc w:val="left"/>
              <w:spacing w:before="20" w:after="20" w:line="220" w:lineRule="auto"/>
            </w:pPr>
            <w:r>
              <w:rPr>
                <w:sz w:val="15"/>
                <w:szCs w:val="15"/>
              </w:rPr>
              <w:t xml:space="preserve">Consolidated at FY25. Group holds 100% of the holding company and press reports a 63.32% economic stake in the operating companies being sold</w:t>
            </w:r>
          </w:p>
        </w:tc>
        <w:tc>
          <w:tcPr>
            <w:tcW w:w="2914" w:type="dxa"/>
          </w:tcPr>
          <w:p>
            <w:pPr>
              <w:pStyle w:val="Compact"/>
              <w:jc w:val="left"/>
              <w:spacing w:before="20" w:after="20" w:line="220" w:lineRule="auto"/>
            </w:pPr>
            <w:r>
              <w:rPr>
                <w:sz w:val="15"/>
                <w:szCs w:val="15"/>
              </w:rPr>
              <w:t xml:space="preserve">Fact: AFS FY25 p147 and p240; press reports</w:t>
            </w:r>
          </w:p>
        </w:tc>
      </w:tr>
      <w:tr>
        <w:tc>
          <w:tcPr>
            <w:tcW w:w="2914" w:type="dxa"/>
          </w:tcPr>
          <w:p>
            <w:pPr>
              <w:pStyle w:val="Compact"/>
              <w:jc w:val="left"/>
              <w:spacing w:before="20" w:after="20" w:line="220" w:lineRule="auto"/>
            </w:pPr>
            <w:r>
              <w:rPr>
                <w:sz w:val="15"/>
                <w:szCs w:val="15"/>
              </w:rPr>
              <w:t xml:space="preserve">Absa Asset Management Limited (Kenya)</w:t>
            </w:r>
          </w:p>
        </w:tc>
        <w:tc>
          <w:tcPr>
            <w:tcW w:w="2914" w:type="dxa"/>
          </w:tcPr>
          <w:p>
            <w:pPr>
              <w:pStyle w:val="Compact"/>
              <w:jc w:val="left"/>
              <w:spacing w:before="20" w:after="20" w:line="220" w:lineRule="auto"/>
            </w:pPr>
            <w:r>
              <w:rPr>
                <w:sz w:val="15"/>
                <w:szCs w:val="15"/>
              </w:rPr>
              <w:t xml:space="preserve">Fund management, Kenya</w:t>
            </w:r>
          </w:p>
        </w:tc>
        <w:tc>
          <w:tcPr>
            <w:tcW w:w="2914" w:type="dxa"/>
          </w:tcPr>
          <w:p>
            <w:pPr>
              <w:pStyle w:val="Compact"/>
              <w:jc w:val="left"/>
              <w:spacing w:before="20" w:after="20" w:line="220" w:lineRule="auto"/>
            </w:pPr>
            <w:r>
              <w:rPr>
                <w:sz w:val="15"/>
                <w:szCs w:val="15"/>
              </w:rPr>
              <w:t xml:space="preserve">Capital Markets Authority licence</w:t>
            </w:r>
          </w:p>
        </w:tc>
        <w:tc>
          <w:tcPr>
            <w:tcW w:w="2914" w:type="dxa"/>
          </w:tcPr>
          <w:p>
            <w:pPr>
              <w:pStyle w:val="Compact"/>
              <w:jc w:val="left"/>
              <w:spacing w:before="20" w:after="20" w:line="220" w:lineRule="auto"/>
            </w:pPr>
            <w:r>
              <w:rPr>
                <w:sz w:val="15"/>
                <w:szCs w:val="15"/>
              </w:rPr>
              <w:t xml:space="preserve">Active, 100% held</w:t>
            </w:r>
          </w:p>
        </w:tc>
        <w:tc>
          <w:tcPr>
            <w:tcW w:w="2914" w:type="dxa"/>
          </w:tcPr>
          <w:p>
            <w:pPr>
              <w:pStyle w:val="Compact"/>
              <w:jc w:val="left"/>
              <w:spacing w:before="20" w:after="20" w:line="220" w:lineRule="auto"/>
            </w:pPr>
            <w:r>
              <w:rPr>
                <w:sz w:val="15"/>
                <w:szCs w:val="15"/>
              </w:rPr>
              <w:t xml:space="preserve">Fact: AFS FY25 p147</w:t>
            </w:r>
          </w:p>
        </w:tc>
      </w:tr>
      <w:tr>
        <w:tc>
          <w:tcPr>
            <w:tcW w:w="2914" w:type="dxa"/>
          </w:tcPr>
          <w:p>
            <w:pPr>
              <w:pStyle w:val="Compact"/>
              <w:jc w:val="left"/>
              <w:spacing w:before="20" w:after="20" w:line="220" w:lineRule="auto"/>
            </w:pPr>
            <w:r>
              <w:rPr>
                <w:sz w:val="15"/>
                <w:szCs w:val="15"/>
              </w:rPr>
              <w:t xml:space="preserve">Absa Insurance Services (Pty) Ltd (Botswana)</w:t>
            </w:r>
          </w:p>
        </w:tc>
        <w:tc>
          <w:tcPr>
            <w:tcW w:w="2914" w:type="dxa"/>
          </w:tcPr>
          <w:p>
            <w:pPr>
              <w:pStyle w:val="Compact"/>
              <w:jc w:val="left"/>
              <w:spacing w:before="20" w:after="20" w:line="220" w:lineRule="auto"/>
            </w:pPr>
            <w:r>
              <w:rPr>
                <w:sz w:val="15"/>
                <w:szCs w:val="15"/>
              </w:rPr>
              <w:t xml:space="preserve">Insurance agent earning referral fees</w:t>
            </w:r>
          </w:p>
        </w:tc>
        <w:tc>
          <w:tcPr>
            <w:tcW w:w="2914" w:type="dxa"/>
          </w:tcPr>
          <w:p>
            <w:pPr>
              <w:pStyle w:val="Compact"/>
              <w:jc w:val="left"/>
              <w:spacing w:before="20" w:after="20" w:line="220" w:lineRule="auto"/>
            </w:pPr>
            <w:r>
              <w:rPr>
                <w:sz w:val="15"/>
                <w:szCs w:val="15"/>
              </w:rPr>
              <w:t xml:space="preserve">Agent</w:t>
            </w:r>
          </w:p>
        </w:tc>
        <w:tc>
          <w:tcPr>
            <w:tcW w:w="2914" w:type="dxa"/>
          </w:tcPr>
          <w:p>
            <w:pPr>
              <w:pStyle w:val="Compact"/>
              <w:jc w:val="left"/>
              <w:spacing w:before="20" w:after="20" w:line="220" w:lineRule="auto"/>
            </w:pPr>
            <w:r>
              <w:rPr>
                <w:sz w:val="15"/>
                <w:szCs w:val="15"/>
              </w:rPr>
              <w:t xml:space="preserve">Active, 100% held</w:t>
            </w:r>
          </w:p>
        </w:tc>
        <w:tc>
          <w:tcPr>
            <w:tcW w:w="2914" w:type="dxa"/>
          </w:tcPr>
          <w:p>
            <w:pPr>
              <w:pStyle w:val="Compact"/>
              <w:jc w:val="left"/>
              <w:spacing w:before="20" w:after="20" w:line="220" w:lineRule="auto"/>
            </w:pPr>
            <w:r>
              <w:rPr>
                <w:sz w:val="15"/>
                <w:szCs w:val="15"/>
              </w:rPr>
              <w:t xml:space="preserve">Fact: AFS FY25 p146</w:t>
            </w:r>
          </w:p>
        </w:tc>
      </w:tr>
      <w:tr>
        <w:tc>
          <w:tcPr>
            <w:tcW w:w="2914" w:type="dxa"/>
          </w:tcPr>
          <w:p>
            <w:pPr>
              <w:pStyle w:val="Compact"/>
              <w:jc w:val="left"/>
              <w:spacing w:before="20" w:after="20" w:line="220" w:lineRule="auto"/>
            </w:pPr>
            <w:r>
              <w:rPr>
                <w:sz w:val="15"/>
                <w:szCs w:val="15"/>
              </w:rPr>
              <w:t xml:space="preserve">Absa Life Botswana, Absa Life Zambia, Global Alliance Seguros (Mozambique)</w:t>
            </w:r>
          </w:p>
        </w:tc>
        <w:tc>
          <w:tcPr>
            <w:tcW w:w="2914" w:type="dxa"/>
          </w:tcPr>
          <w:p>
            <w:pPr>
              <w:pStyle w:val="Compact"/>
              <w:jc w:val="left"/>
              <w:spacing w:before="20" w:after="20" w:line="220" w:lineRule="auto"/>
            </w:pPr>
            <w:r>
              <w:rPr>
                <w:sz w:val="15"/>
                <w:szCs w:val="15"/>
              </w:rPr>
              <w:t xml:space="preserve">Former underwriters</w:t>
            </w:r>
          </w:p>
        </w:tc>
        <w:tc>
          <w:tcPr>
            <w:tcW w:w="2914" w:type="dxa"/>
          </w:tcPr>
          <w:p>
            <w:pPr>
              <w:pStyle w:val="Compact"/>
              <w:jc w:val="left"/>
              <w:spacing w:before="20" w:after="20" w:line="220" w:lineRule="auto"/>
            </w:pPr>
            <w:r>
              <w:rPr>
                <w:sz w:val="15"/>
                <w:szCs w:val="15"/>
              </w:rPr>
              <w:t xml:space="preserve">Sold to Hollard International</w:t>
            </w:r>
          </w:p>
        </w:tc>
        <w:tc>
          <w:tcPr>
            <w:tcW w:w="2914" w:type="dxa"/>
          </w:tcPr>
          <w:p>
            <w:pPr>
              <w:pStyle w:val="Compact"/>
              <w:jc w:val="left"/>
              <w:spacing w:before="20" w:after="20" w:line="220" w:lineRule="auto"/>
            </w:pPr>
            <w:r>
              <w:rPr>
                <w:sz w:val="15"/>
                <w:szCs w:val="15"/>
              </w:rPr>
              <w:t xml:space="preserve">Nil holding at 31 December 2025</w:t>
            </w:r>
          </w:p>
        </w:tc>
        <w:tc>
          <w:tcPr>
            <w:tcW w:w="2914" w:type="dxa"/>
          </w:tcPr>
          <w:p>
            <w:pPr>
              <w:pStyle w:val="Compact"/>
              <w:jc w:val="left"/>
              <w:spacing w:before="20" w:after="20" w:line="220" w:lineRule="auto"/>
            </w:pPr>
            <w:r>
              <w:rPr>
                <w:sz w:val="15"/>
                <w:szCs w:val="15"/>
              </w:rPr>
              <w:t xml:space="preserve">Fact: AFS FY25 p147; Hollard press release</w:t>
            </w:r>
          </w:p>
        </w:tc>
      </w:tr>
      <w:tr>
        <w:tc>
          <w:tcPr>
            <w:tcW w:w="2914" w:type="dxa"/>
          </w:tcPr>
          <w:p>
            <w:pPr>
              <w:pStyle w:val="Compact"/>
              <w:jc w:val="left"/>
              <w:spacing w:before="20" w:after="20" w:line="220" w:lineRule="auto"/>
            </w:pPr>
            <w:r>
              <w:rPr>
                <w:sz w:val="15"/>
                <w:szCs w:val="15"/>
              </w:rPr>
              <w:t xml:space="preserve">Absa Manx Insurance Company Limited</w:t>
            </w:r>
          </w:p>
        </w:tc>
        <w:tc>
          <w:tcPr>
            <w:tcW w:w="2914" w:type="dxa"/>
          </w:tcPr>
          <w:p>
            <w:pPr>
              <w:pStyle w:val="Compact"/>
              <w:jc w:val="left"/>
              <w:spacing w:before="20" w:after="20" w:line="220" w:lineRule="auto"/>
            </w:pPr>
            <w:r>
              <w:rPr>
                <w:sz w:val="15"/>
                <w:szCs w:val="15"/>
              </w:rPr>
              <w:t xml:space="preserve">Group captive, Isle of Man</w:t>
            </w:r>
          </w:p>
        </w:tc>
        <w:tc>
          <w:tcPr>
            <w:tcW w:w="2914" w:type="dxa"/>
          </w:tcPr>
          <w:p>
            <w:pPr>
              <w:pStyle w:val="Compact"/>
              <w:jc w:val="left"/>
              <w:spacing w:before="20" w:after="20" w:line="220" w:lineRule="auto"/>
            </w:pPr>
            <w:r>
              <w:rPr>
                <w:sz w:val="15"/>
                <w:szCs w:val="15"/>
              </w:rPr>
              <w:t xml:space="preserve">Captive</w:t>
            </w:r>
          </w:p>
        </w:tc>
        <w:tc>
          <w:tcPr>
            <w:tcW w:w="2914" w:type="dxa"/>
          </w:tcPr>
          <w:p>
            <w:pPr>
              <w:pStyle w:val="Compact"/>
              <w:jc w:val="left"/>
              <w:spacing w:before="20" w:after="20" w:line="220" w:lineRule="auto"/>
            </w:pPr>
            <w:r>
              <w:rPr>
                <w:sz w:val="15"/>
                <w:szCs w:val="15"/>
              </w:rPr>
              <w:t xml:space="preserve">Held by Absa Group, not AFS</w:t>
            </w:r>
          </w:p>
        </w:tc>
        <w:tc>
          <w:tcPr>
            <w:tcW w:w="2914" w:type="dxa"/>
          </w:tcPr>
          <w:p>
            <w:pPr>
              <w:pStyle w:val="Compact"/>
              <w:jc w:val="left"/>
              <w:spacing w:before="20" w:after="20" w:line="220" w:lineRule="auto"/>
            </w:pPr>
            <w:r>
              <w:rPr>
                <w:sz w:val="15"/>
                <w:szCs w:val="15"/>
              </w:rPr>
              <w:t xml:space="preserve">Fact: AFS FY25 p146. Out of scope unless the partner says otherwise</w:t>
            </w:r>
          </w:p>
        </w:tc>
      </w:tr>
    </w:tbl>
    <w:bookmarkEnd w:id="21"/>
    <w:bookmarkStart w:id="22" w:name="contradictions-with-the-client-context"/>
    <w:p>
      <w:pPr>
        <w:pStyle w:val="Heading3"/>
      </w:pPr>
      <w:r>
        <w:t xml:space="preserve">1.2 Contradictions with the client context</w:t>
      </w:r>
    </w:p>
    <w:p>
      <w:pPr>
        <w:pStyle w:val="FirstParagraph"/>
      </w:pPr>
      <w:r>
        <w:t xml:space="preserve">Four points need to be put to the client.</w:t>
      </w:r>
    </w:p>
    <w:p>
      <w:pPr>
        <w:pStyle w:val="BodyText"/>
      </w:pPr>
      <w:r>
        <w:t xml:space="preserve">First, Rest of Africa still underwrites. The AFS at 31 December 2025 names ALAK and FAK as underwriting entities with solo solvency covers (AFS FY25 p230, p234, p240). The Kenyan exit was agreed in August 2026 and is subject to approvals. For Phase 2 the Kenyan entities are in the FY23 to FY25 cost base and in the 1H26 interim, and must be shown separately so the continuing perimeter is clean.</w:t>
      </w:r>
    </w:p>
    <w:p>
      <w:pPr>
        <w:pStyle w:val="BodyText"/>
      </w:pPr>
      <w:r>
        <w:t xml:space="preserve">Second,</w:t>
      </w:r>
      <w:r>
        <w:t xml:space="preserve"> </w:t>
      </w:r>
      <w:r>
        <w:t xml:space="preserve">“</w:t>
      </w:r>
      <w:r>
        <w:t xml:space="preserve">investment licences</w:t>
      </w:r>
      <w:r>
        <w:t xml:space="preserve">”</w:t>
      </w:r>
      <w:r>
        <w:t xml:space="preserve"> </w:t>
      </w:r>
      <w:r>
        <w:t xml:space="preserve">is narrower than the context implies. The asset manager, the multi-manager, the alternative manager and the unit trust manager went to Sanlam Investment Holdings in exchange for a stake that stood at 13% at FY25 (AFS FY25 p151). The market LISP went to Glacier in November 2023. What remains is AIMS as an administrative and discretionary FSP, the stockbroker, the trust company and possibly a residual Absa Fund Managers vehicle. The investments value chain in the tree is therefore a fee and platform business, not an asset manager, and the investment management cost pool is mostly fees paid out, not fees earned.</w:t>
      </w:r>
    </w:p>
    <w:p>
      <w:pPr>
        <w:pStyle w:val="BodyText"/>
      </w:pPr>
      <w:r>
        <w:t xml:space="preserve">Third, there are four non-life and life licences in South Africa, with one just closed. The ARTIC cell captive licence of January 2024 is a second non-life balance sheet, with its own board and solvency cover of 2.11 (AFS FY25 p240). AIRMS was closed in 2025. The PA penalty on AIC for writing classes outside its licence (31 October 2025) shows that class-of-business boundaries between licences are enforced, which bears directly on how far underwriting can be consolidated.</w:t>
      </w:r>
    </w:p>
    <w:p>
      <w:pPr>
        <w:pStyle w:val="BodyText"/>
      </w:pPr>
      <w:r>
        <w:t xml:space="preserve">Fourth, the operating model moved in 2026. The Group now reports three pan-African business units, with the former Africa Regions segment folded into PPB and BB (1H26 SENS p52). Insurance SA sits inside PPB. The integrated report records a decision to refine the model</w:t>
      </w:r>
      <w:r>
        <w:t xml:space="preserve"> </w:t>
      </w:r>
      <w:r>
        <w:t xml:space="preserve">“</w:t>
      </w:r>
      <w:r>
        <w:t xml:space="preserve">down to three business units</w:t>
      </w:r>
      <w:r>
        <w:t xml:space="preserve">”</w:t>
      </w:r>
      <w:r>
        <w:t xml:space="preserve"> </w:t>
      </w:r>
      <w:r>
        <w:t xml:space="preserve">(Integrated Report 2025 p10). The AFS operating model review the client describes sits inside this larger reorganisation, and the Phase 2 segment series will break at 1H26.</w:t>
      </w:r>
    </w:p>
    <w:p>
      <w:pPr>
        <w:pStyle w:val="BodyText"/>
      </w:pPr>
      <w:r>
        <w:t xml:space="preserve">Two open points. The FSP numbers for Absa Trust and the stockbroker are not confirmed from a primary source, and the Absa Fund Managers status is unknown. Both are quick to close with the client or the FSCA register.</w:t>
      </w:r>
    </w:p>
    <w:bookmarkEnd w:id="22"/>
    <w:bookmarkEnd w:id="23"/>
    <w:bookmarkStart w:id="24" w:name="the-cut-chosen-and-why"/>
    <w:p>
      <w:pPr>
        <w:pStyle w:val="Heading2"/>
      </w:pPr>
      <w:r>
        <w:t xml:space="preserve">2. The cut chosen and why</w:t>
      </w:r>
    </w:p>
    <w:p>
      <w:pPr>
        <w:pStyle w:val="FirstParagraph"/>
      </w:pPr>
      <w:r>
        <w:t xml:space="preserve">A cost tree is MECE only if each level cuts on one axis and the axes are independent. The three axes here are nature, location and mechanism.</w:t>
      </w:r>
    </w:p>
    <w:p>
      <w:pPr>
        <w:pStyle w:val="BodyText"/>
      </w:pPr>
      <w:r>
        <w:t xml:space="preserve">Level 1 cuts by nature of cost, which maps one to one onto the IFRS 17 income statement. Every expense line of an insurer lands in exactly one pool (see the mapping in section 3). This is the axis the finance function already reports on, so it reconciles to the published numbers.</w:t>
      </w:r>
    </w:p>
    <w:p>
      <w:pPr>
        <w:pStyle w:val="BodyText"/>
      </w:pPr>
      <w:r>
        <w:t xml:space="preserve">Level 2 cuts by value chain function. This is the axis the operating model review used and the axis on which centralisation acts, because a shared service is a function, not a cost type. A rand of operating expense in claims handling and a rand in policy administration are the same nature but different functions, and different levers remove them.</w:t>
      </w:r>
    </w:p>
    <w:p>
      <w:pPr>
        <w:pStyle w:val="BodyText"/>
      </w:pPr>
      <w:r>
        <w:t xml:space="preserve">Level 3 cuts by mechanism. The six levers come from a single decomposition. Cost equals volume multiplied by unit cost. Volume splits into work that is needed (demand) and spend that should never have been incurred (leakage). Unit cost splits into the internal cost of doing the work (productivity), the external price paid (price), the number of times a fixed cost is duplicated (consolidation) and the fixed cost that the legal and licence structure itself imposes (structural). Each lever is one and only one of these six terms, which is what makes them mutually exclusive, and together the six terms are the whole identity, which is what makes them exhaustive.</w:t>
      </w:r>
    </w:p>
    <w:p>
      <w:pPr>
        <w:pStyle w:val="BodyText"/>
      </w:pPr>
      <w:r>
        <w:t xml:space="preserve">Two boundary rules keep structural and consolidation apart, because they are the pair most likely to overlap. A duplicated cost is structural if removing it requires a change to a licence, a legal entity, a board or a statutory control function. It is consolidation if it can be removed by management decision alone. Under this rule a second actuarial team is consolidation, a second head of actuarial function is structural.</w:t>
      </w:r>
    </w:p>
    <w:bookmarkEnd w:id="24"/>
    <w:bookmarkStart w:id="25" w:name="Xc9e497973aa67001ca01503a2a8b991bae706cd"/>
    <w:p>
      <w:pPr>
        <w:pStyle w:val="Heading2"/>
      </w:pPr>
      <w:r>
        <w:t xml:space="preserve">3. Level 1 cost pools and their accounting basis</w:t>
      </w:r>
    </w:p>
    <w:p>
      <w:pPr>
        <w:pStyle w:val="FirstParagraph"/>
      </w:pPr>
      <w:r>
        <w:t xml:space="preserve">All AFS figures in the public record are IFRS 17 from FY23 onward, consolidated at Absa Group level, with Insurance SA disclosed as a sub-segment of Personal and Private Banking. No AFS entity publishes standalone statements online. Every pool below states where it sits in the IFRS 17 presentation so that Phase 2 cannot mix bases.</w:t>
      </w:r>
    </w:p>
    <w:tbl>
      <w:tblPr>
        <w:tblStyle w:val="Table"/>
        <w:tblLook w:firstRow="1" w:lastRow="0" w:firstColumn="0" w:lastColumn="0" w:noHBand="0" w:noVBand="0" w:val="0020"/>
        <w:jc w:val="start"/>
        <w:tblW w:w="14569" w:type="dxa"/>
        <w:tblLayout w:type="fixed"/>
      </w:tblPr>
      <w:tblGrid>
        <w:gridCol w:w="2821"/>
        <w:gridCol w:w="3916"/>
        <w:gridCol w:w="3916"/>
        <w:gridCol w:w="3916"/>
      </w:tblGrid>
      <w:tr>
        <w:trPr>
          <w:tblHeader w:val="true"/>
        </w:trPr>
        <w:tc>
          <w:tcPr>
            <w:tcW w:w="2821" w:type="dxa"/>
          </w:tcPr>
          <w:p>
            <w:pPr>
              <w:pStyle w:val="Compact"/>
              <w:jc w:val="left"/>
              <w:spacing w:before="20" w:after="20" w:line="220" w:lineRule="auto"/>
            </w:pPr>
            <w:r>
              <w:rPr>
                <w:sz w:val="15"/>
                <w:szCs w:val="15"/>
              </w:rPr>
              <w:t xml:space="preserve">Pool</w:t>
            </w:r>
          </w:p>
        </w:tc>
        <w:tc>
          <w:tcPr>
            <w:tcW w:w="3916" w:type="dxa"/>
          </w:tcPr>
          <w:p>
            <w:pPr>
              <w:pStyle w:val="Compact"/>
              <w:jc w:val="left"/>
              <w:spacing w:before="20" w:after="20" w:line="220" w:lineRule="auto"/>
            </w:pPr>
            <w:r>
              <w:rPr>
                <w:sz w:val="15"/>
                <w:szCs w:val="15"/>
              </w:rPr>
              <w:t xml:space="preserve">Definition</w:t>
            </w:r>
          </w:p>
        </w:tc>
        <w:tc>
          <w:tcPr>
            <w:tcW w:w="3916" w:type="dxa"/>
          </w:tcPr>
          <w:p>
            <w:pPr>
              <w:pStyle w:val="Compact"/>
              <w:jc w:val="left"/>
              <w:spacing w:before="20" w:after="20" w:line="220" w:lineRule="auto"/>
            </w:pPr>
            <w:r>
              <w:rPr>
                <w:sz w:val="15"/>
                <w:szCs w:val="15"/>
              </w:rPr>
              <w:t xml:space="preserve">IFRS 17 location</w:t>
            </w:r>
          </w:p>
        </w:tc>
        <w:tc>
          <w:tcPr>
            <w:tcW w:w="3916" w:type="dxa"/>
          </w:tcPr>
          <w:p>
            <w:pPr>
              <w:pStyle w:val="Compact"/>
              <w:jc w:val="left"/>
              <w:spacing w:before="20" w:after="20" w:line="220" w:lineRule="auto"/>
            </w:pPr>
            <w:r>
              <w:rPr>
                <w:sz w:val="15"/>
                <w:szCs w:val="15"/>
              </w:rPr>
              <w:t xml:space="preserve">Basis notes</w:t>
            </w:r>
          </w:p>
        </w:tc>
      </w:tr>
      <w:tr>
        <w:tc>
          <w:tcPr>
            <w:tcW w:w="2821" w:type="dxa"/>
          </w:tcPr>
          <w:p>
            <w:pPr>
              <w:pStyle w:val="Compact"/>
              <w:jc w:val="left"/>
              <w:spacing w:before="20" w:after="20" w:line="220" w:lineRule="auto"/>
            </w:pPr>
            <w:r>
              <w:rPr>
                <w:sz w:val="15"/>
                <w:szCs w:val="15"/>
              </w:rPr>
              <w:t xml:space="preserve">1. Claims and benefits cost</w:t>
            </w:r>
          </w:p>
        </w:tc>
        <w:tc>
          <w:tcPr>
            <w:tcW w:w="3916" w:type="dxa"/>
          </w:tcPr>
          <w:p>
            <w:pPr>
              <w:pStyle w:val="Compact"/>
              <w:jc w:val="left"/>
              <w:spacing w:before="20" w:after="20" w:line="220" w:lineRule="auto"/>
            </w:pPr>
            <w:r>
              <w:rPr>
                <w:sz w:val="15"/>
                <w:szCs w:val="15"/>
              </w:rPr>
              <w:t xml:space="preserve">Incurred claims and benefits, movement in claims liabilities, losses on onerous contracts, net cost of reinsurance</w:t>
            </w:r>
          </w:p>
        </w:tc>
        <w:tc>
          <w:tcPr>
            <w:tcW w:w="3916" w:type="dxa"/>
          </w:tcPr>
          <w:p>
            <w:pPr>
              <w:pStyle w:val="Compact"/>
              <w:jc w:val="left"/>
              <w:spacing w:before="20" w:after="20" w:line="220" w:lineRule="auto"/>
            </w:pPr>
            <w:r>
              <w:rPr>
                <w:sz w:val="15"/>
                <w:szCs w:val="15"/>
              </w:rPr>
              <w:t xml:space="preserve">Insurance service expenses (incurred claims component) and net expense from reinsurance contracts held</w:t>
            </w:r>
          </w:p>
        </w:tc>
        <w:tc>
          <w:tcPr>
            <w:tcW w:w="3916" w:type="dxa"/>
          </w:tcPr>
          <w:p>
            <w:pPr>
              <w:pStyle w:val="Compact"/>
              <w:jc w:val="left"/>
              <w:spacing w:before="20" w:after="20" w:line="220" w:lineRule="auto"/>
            </w:pPr>
            <w:r>
              <w:rPr>
                <w:sz w:val="15"/>
                <w:szCs w:val="15"/>
              </w:rPr>
              <w:t xml:space="preserve">Measured net of reinsurance for sizing. Gross shown alongside. The onerous contract loss component is a timing item and is excluded from the addressable base. Group FY25: insurance service expenses R9 019m, net expense from reinsurance contracts R588m (Fact, 1H26 SENS p12, FY25 column)</w:t>
            </w:r>
          </w:p>
        </w:tc>
      </w:tr>
      <w:tr>
        <w:tc>
          <w:tcPr>
            <w:tcW w:w="2821" w:type="dxa"/>
          </w:tcPr>
          <w:p>
            <w:pPr>
              <w:pStyle w:val="Compact"/>
              <w:jc w:val="left"/>
              <w:spacing w:before="20" w:after="20" w:line="220" w:lineRule="auto"/>
            </w:pPr>
            <w:r>
              <w:rPr>
                <w:sz w:val="15"/>
                <w:szCs w:val="15"/>
              </w:rPr>
              <w:t xml:space="preserve">2. Acquisition cost</w:t>
            </w:r>
          </w:p>
        </w:tc>
        <w:tc>
          <w:tcPr>
            <w:tcW w:w="3916" w:type="dxa"/>
          </w:tcPr>
          <w:p>
            <w:pPr>
              <w:pStyle w:val="Compact"/>
              <w:jc w:val="left"/>
              <w:spacing w:before="20" w:after="20" w:line="220" w:lineRule="auto"/>
            </w:pPr>
            <w:r>
              <w:rPr>
                <w:sz w:val="15"/>
                <w:szCs w:val="15"/>
              </w:rPr>
              <w:t xml:space="preserve">Commission to tied advisers and third parties, variable adviser remuneration, distribution fees and profit shares paid to Absa Bank, binder fees paid</w:t>
            </w:r>
          </w:p>
        </w:tc>
        <w:tc>
          <w:tcPr>
            <w:tcW w:w="3916" w:type="dxa"/>
          </w:tcPr>
          <w:p>
            <w:pPr>
              <w:pStyle w:val="Compact"/>
              <w:jc w:val="left"/>
              <w:spacing w:before="20" w:after="20" w:line="220" w:lineRule="auto"/>
            </w:pPr>
            <w:r>
              <w:rPr>
                <w:sz w:val="15"/>
                <w:szCs w:val="15"/>
              </w:rPr>
              <w:t xml:space="preserve">Amortisation of insurance acquisition cash flows within insurance service expenses. Cash view in the acquisition cash flow roll-forwards</w:t>
            </w:r>
          </w:p>
        </w:tc>
        <w:tc>
          <w:tcPr>
            <w:tcW w:w="3916" w:type="dxa"/>
          </w:tcPr>
          <w:p>
            <w:pPr>
              <w:pStyle w:val="Compact"/>
              <w:jc w:val="left"/>
              <w:spacing w:before="20" w:after="20" w:line="220" w:lineRule="auto"/>
            </w:pPr>
            <w:r>
              <w:rPr>
                <w:sz w:val="15"/>
                <w:szCs w:val="15"/>
              </w:rPr>
              <w:t xml:space="preserve">IFRS 17 amortises acquisition cash flows over coverage, so the expense line lags the cash. Phase 2 uses the cash flow disclosure (life R856m, non-life R838m in FY25, Fact, AFS FY25 p82 and p86) and states which view is used. Fees to the bank are intra-group and eliminate at group level</w:t>
            </w:r>
          </w:p>
        </w:tc>
      </w:tr>
      <w:tr>
        <w:tc>
          <w:tcPr>
            <w:tcW w:w="2821" w:type="dxa"/>
          </w:tcPr>
          <w:p>
            <w:pPr>
              <w:pStyle w:val="Compact"/>
              <w:jc w:val="left"/>
              <w:spacing w:before="20" w:after="20" w:line="220" w:lineRule="auto"/>
            </w:pPr>
            <w:r>
              <w:rPr>
                <w:sz w:val="15"/>
                <w:szCs w:val="15"/>
              </w:rPr>
              <w:t xml:space="preserve">3. Operating expense</w:t>
            </w:r>
          </w:p>
        </w:tc>
        <w:tc>
          <w:tcPr>
            <w:tcW w:w="3916" w:type="dxa"/>
          </w:tcPr>
          <w:p>
            <w:pPr>
              <w:pStyle w:val="Compact"/>
              <w:jc w:val="left"/>
              <w:spacing w:before="20" w:after="20" w:line="220" w:lineRule="auto"/>
            </w:pPr>
            <w:r>
              <w:rPr>
                <w:sz w:val="15"/>
                <w:szCs w:val="15"/>
              </w:rPr>
              <w:t xml:space="preserve">All staff, IT, premises, professional fees, group recharges and depreciation, whether attributable or not</w:t>
            </w:r>
          </w:p>
        </w:tc>
        <w:tc>
          <w:tcPr>
            <w:tcW w:w="3916" w:type="dxa"/>
          </w:tcPr>
          <w:p>
            <w:pPr>
              <w:pStyle w:val="Compact"/>
              <w:jc w:val="left"/>
              <w:spacing w:before="20" w:after="20" w:line="220" w:lineRule="auto"/>
            </w:pPr>
            <w:r>
              <w:rPr>
                <w:sz w:val="15"/>
                <w:szCs w:val="15"/>
              </w:rPr>
              <w:t xml:space="preserve">Attributable share sits inside insurance service expenses. Non-attributable share sits in operating expenses</w:t>
            </w:r>
          </w:p>
        </w:tc>
        <w:tc>
          <w:tcPr>
            <w:tcW w:w="3916" w:type="dxa"/>
          </w:tcPr>
          <w:p>
            <w:pPr>
              <w:pStyle w:val="Compact"/>
              <w:jc w:val="left"/>
              <w:spacing w:before="20" w:after="20" w:line="220" w:lineRule="auto"/>
            </w:pPr>
            <w:r>
              <w:rPr>
                <w:sz w:val="15"/>
                <w:szCs w:val="15"/>
              </w:rPr>
              <w:t xml:space="preserve">This is the only pool split across two IFRS 17 lines. Phase 2 must rebuild it from both and label each half. Claims handling cost belongs here, not in pool 1</w:t>
            </w:r>
          </w:p>
        </w:tc>
      </w:tr>
      <w:tr>
        <w:tc>
          <w:tcPr>
            <w:tcW w:w="2821" w:type="dxa"/>
          </w:tcPr>
          <w:p>
            <w:pPr>
              <w:pStyle w:val="Compact"/>
              <w:jc w:val="left"/>
              <w:spacing w:before="20" w:after="20" w:line="220" w:lineRule="auto"/>
            </w:pPr>
            <w:r>
              <w:rPr>
                <w:sz w:val="15"/>
                <w:szCs w:val="15"/>
              </w:rPr>
              <w:t xml:space="preserve">4. Investment management cost</w:t>
            </w:r>
          </w:p>
        </w:tc>
        <w:tc>
          <w:tcPr>
            <w:tcW w:w="3916" w:type="dxa"/>
          </w:tcPr>
          <w:p>
            <w:pPr>
              <w:pStyle w:val="Compact"/>
              <w:jc w:val="left"/>
              <w:spacing w:before="20" w:after="20" w:line="220" w:lineRule="auto"/>
            </w:pPr>
            <w:r>
              <w:rPr>
                <w:sz w:val="15"/>
                <w:szCs w:val="15"/>
              </w:rPr>
              <w:t xml:space="preserve">Fees paid to external and associate managers, custody, investment administration, borne by the shareholder</w:t>
            </w:r>
          </w:p>
        </w:tc>
        <w:tc>
          <w:tcPr>
            <w:tcW w:w="3916" w:type="dxa"/>
          </w:tcPr>
          <w:p>
            <w:pPr>
              <w:pStyle w:val="Compact"/>
              <w:jc w:val="left"/>
              <w:spacing w:before="20" w:after="20" w:line="220" w:lineRule="auto"/>
            </w:pPr>
            <w:r>
              <w:rPr>
                <w:sz w:val="15"/>
                <w:szCs w:val="15"/>
              </w:rPr>
              <w:t xml:space="preserve">Operating expenses or investment return, depending on presentation</w:t>
            </w:r>
          </w:p>
        </w:tc>
        <w:tc>
          <w:tcPr>
            <w:tcW w:w="3916" w:type="dxa"/>
          </w:tcPr>
          <w:p>
            <w:pPr>
              <w:pStyle w:val="Compact"/>
              <w:jc w:val="left"/>
              <w:spacing w:before="20" w:after="20" w:line="220" w:lineRule="auto"/>
            </w:pPr>
            <w:r>
              <w:rPr>
                <w:sz w:val="15"/>
                <w:szCs w:val="15"/>
              </w:rPr>
              <w:t xml:space="preserve">Policyholder-borne fees in unit-linked and investment contracts are excluded. They are a margin question, not a cost question</w:t>
            </w:r>
          </w:p>
        </w:tc>
      </w:tr>
      <w:tr>
        <w:tc>
          <w:tcPr>
            <w:tcW w:w="2821" w:type="dxa"/>
          </w:tcPr>
          <w:p>
            <w:pPr>
              <w:pStyle w:val="Compact"/>
              <w:jc w:val="left"/>
              <w:spacing w:before="20" w:after="20" w:line="220" w:lineRule="auto"/>
            </w:pPr>
            <w:r>
              <w:rPr>
                <w:sz w:val="15"/>
                <w:szCs w:val="15"/>
              </w:rPr>
              <w:t xml:space="preserve">5. Cost of capital and structural leakage</w:t>
            </w:r>
          </w:p>
        </w:tc>
        <w:tc>
          <w:tcPr>
            <w:tcW w:w="3916" w:type="dxa"/>
          </w:tcPr>
          <w:p>
            <w:pPr>
              <w:pStyle w:val="Compact"/>
              <w:jc w:val="left"/>
              <w:spacing w:before="20" w:after="20" w:line="220" w:lineRule="auto"/>
            </w:pPr>
            <w:r>
              <w:rPr>
                <w:sz w:val="15"/>
                <w:szCs w:val="15"/>
              </w:rPr>
              <w:t xml:space="preserve">Cost of equity on capital held above target in each licensed entity, duplicated licence costs (boards, control functions, audit, regulatory levies), irrecoverable VAT on intra-group charges</w:t>
            </w:r>
          </w:p>
        </w:tc>
        <w:tc>
          <w:tcPr>
            <w:tcW w:w="3916" w:type="dxa"/>
          </w:tcPr>
          <w:p>
            <w:pPr>
              <w:pStyle w:val="Compact"/>
              <w:jc w:val="left"/>
              <w:spacing w:before="20" w:after="20" w:line="220" w:lineRule="auto"/>
            </w:pPr>
            <w:r>
              <w:rPr>
                <w:sz w:val="15"/>
                <w:szCs w:val="15"/>
              </w:rPr>
              <w:t xml:space="preserve">Not a single IFRS line. Cost of capital is economic, not accounting</w:t>
            </w:r>
          </w:p>
        </w:tc>
        <w:tc>
          <w:tcPr>
            <w:tcW w:w="3916" w:type="dxa"/>
          </w:tcPr>
          <w:p>
            <w:pPr>
              <w:pStyle w:val="Compact"/>
              <w:jc w:val="left"/>
              <w:spacing w:before="20" w:after="20" w:line="220" w:lineRule="auto"/>
            </w:pPr>
            <w:r>
              <w:rPr>
                <w:sz w:val="15"/>
                <w:szCs w:val="15"/>
              </w:rPr>
              <w:t xml:space="preserve">Reported separately from the accounting cost base and never added to it without saying so. Reinsurance fragmentation across entities is measured in pool 1 and worked by the structural lever, not counted here, to avoid double counting</w:t>
            </w:r>
          </w:p>
        </w:tc>
      </w:tr>
    </w:tbl>
    <w:p>
      <w:pPr>
        <w:pStyle w:val="BodyText"/>
      </w:pPr>
      <w:r>
        <w:t xml:space="preserve">Exhaustiveness check against the income statement. Insurance revenue is not a cost. Insurance finance income and expense is the unwinding of discount and is excluded. Changes in investment contract liabilities are policyholder returns and are excluded. Income tax is excluded by design. Credit impairment on premium debtors is counted in pool 3 under the leakage lever (premium collection). Every remaining expense line maps to one pool.</w:t>
      </w:r>
    </w:p>
    <w:bookmarkEnd w:id="25"/>
    <w:bookmarkStart w:id="26" w:name="Xba8d46e7ca04ce30ec35f63473b8da91fe1bc48"/>
    <w:p>
      <w:pPr>
        <w:pStyle w:val="Heading2"/>
      </w:pPr>
      <w:r>
        <w:t xml:space="preserve">4. Level 2 value chain and where the pools fall</w:t>
      </w:r>
    </w:p>
    <w:tbl>
      <w:tblPr>
        <w:tblStyle w:val="Table"/>
        <w:tblLook w:firstRow="1" w:lastRow="0" w:firstColumn="0" w:lastColumn="0" w:noHBand="0" w:noVBand="0" w:val="0020"/>
        <w:jc w:val="start"/>
        <w:tblW w:w="14568" w:type="dxa"/>
        <w:tblLayout w:type="fixed"/>
      </w:tblPr>
      <w:tblGrid>
        <w:gridCol w:w="3511"/>
        <w:gridCol w:w="1569"/>
        <w:gridCol w:w="4408"/>
        <w:gridCol w:w="5080"/>
      </w:tblGrid>
      <w:tr>
        <w:trPr>
          <w:tblHeader w:val="true"/>
        </w:trPr>
        <w:tc>
          <w:tcPr>
            <w:tcW w:w="3511" w:type="dxa"/>
          </w:tcPr>
          <w:p>
            <w:pPr>
              <w:pStyle w:val="Compact"/>
              <w:jc w:val="left"/>
              <w:spacing w:before="20" w:after="20" w:line="220" w:lineRule="auto"/>
            </w:pPr>
            <w:r>
              <w:rPr>
                <w:sz w:val="15"/>
                <w:szCs w:val="15"/>
              </w:rPr>
              <w:t xml:space="preserve">Function</w:t>
            </w:r>
          </w:p>
        </w:tc>
        <w:tc>
          <w:tcPr>
            <w:tcW w:w="1569" w:type="dxa"/>
          </w:tcPr>
          <w:p>
            <w:pPr>
              <w:pStyle w:val="Compact"/>
              <w:jc w:val="left"/>
              <w:spacing w:before="20" w:after="20" w:line="220" w:lineRule="auto"/>
            </w:pPr>
            <w:r>
              <w:rPr>
                <w:sz w:val="15"/>
                <w:szCs w:val="15"/>
              </w:rPr>
              <w:t xml:space="preserve">Pools present</w:t>
            </w:r>
          </w:p>
        </w:tc>
        <w:tc>
          <w:tcPr>
            <w:tcW w:w="4408" w:type="dxa"/>
          </w:tcPr>
          <w:p>
            <w:pPr>
              <w:pStyle w:val="Compact"/>
              <w:jc w:val="left"/>
              <w:spacing w:before="20" w:after="20" w:line="220" w:lineRule="auto"/>
            </w:pPr>
            <w:r>
              <w:rPr>
                <w:sz w:val="15"/>
                <w:szCs w:val="15"/>
              </w:rPr>
              <w:t xml:space="preserve">Underwriter or intermediary</w:t>
            </w:r>
          </w:p>
        </w:tc>
        <w:tc>
          <w:tcPr>
            <w:tcW w:w="5080" w:type="dxa"/>
          </w:tcPr>
          <w:p>
            <w:pPr>
              <w:pStyle w:val="Compact"/>
              <w:jc w:val="left"/>
              <w:spacing w:before="20" w:after="20" w:line="220" w:lineRule="auto"/>
            </w:pPr>
            <w:r>
              <w:rPr>
                <w:sz w:val="15"/>
                <w:szCs w:val="15"/>
              </w:rPr>
              <w:t xml:space="preserve">Note</w:t>
            </w:r>
          </w:p>
        </w:tc>
      </w:tr>
      <w:tr>
        <w:tc>
          <w:tcPr>
            <w:tcW w:w="3511" w:type="dxa"/>
          </w:tcPr>
          <w:p>
            <w:pPr>
              <w:pStyle w:val="Compact"/>
              <w:jc w:val="left"/>
              <w:spacing w:before="20" w:after="20" w:line="220" w:lineRule="auto"/>
            </w:pPr>
            <w:r>
              <w:rPr>
                <w:sz w:val="15"/>
                <w:szCs w:val="15"/>
              </w:rPr>
              <w:t xml:space="preserve">Product and pricing</w:t>
            </w:r>
          </w:p>
        </w:tc>
        <w:tc>
          <w:tcPr>
            <w:tcW w:w="1569" w:type="dxa"/>
          </w:tcPr>
          <w:p>
            <w:pPr>
              <w:pStyle w:val="Compact"/>
              <w:jc w:val="left"/>
              <w:spacing w:before="20" w:after="20" w:line="220" w:lineRule="auto"/>
            </w:pPr>
            <w:r>
              <w:rPr>
                <w:sz w:val="15"/>
                <w:szCs w:val="15"/>
              </w:rPr>
              <w:t xml:space="preserve">3</w:t>
            </w:r>
          </w:p>
        </w:tc>
        <w:tc>
          <w:tcPr>
            <w:tcW w:w="4408" w:type="dxa"/>
          </w:tcPr>
          <w:p>
            <w:pPr>
              <w:pStyle w:val="Compact"/>
              <w:jc w:val="left"/>
              <w:spacing w:before="20" w:after="20" w:line="220" w:lineRule="auto"/>
            </w:pPr>
            <w:r>
              <w:rPr>
                <w:sz w:val="15"/>
                <w:szCs w:val="15"/>
              </w:rPr>
              <w:t xml:space="preserve">Underwriter</w:t>
            </w:r>
          </w:p>
        </w:tc>
        <w:tc>
          <w:tcPr>
            <w:tcW w:w="5080" w:type="dxa"/>
          </w:tcPr>
          <w:p>
            <w:pPr>
              <w:pStyle w:val="Compact"/>
              <w:jc w:val="left"/>
              <w:spacing w:before="20" w:after="20" w:line="220" w:lineRule="auto"/>
            </w:pPr>
            <w:r>
              <w:rPr>
                <w:sz w:val="15"/>
                <w:szCs w:val="15"/>
              </w:rPr>
              <w:t xml:space="preserve">Actuarial pricing, product development, reinsurance structuring</w:t>
            </w:r>
          </w:p>
        </w:tc>
      </w:tr>
      <w:tr>
        <w:tc>
          <w:tcPr>
            <w:tcW w:w="3511" w:type="dxa"/>
          </w:tcPr>
          <w:p>
            <w:pPr>
              <w:pStyle w:val="Compact"/>
              <w:jc w:val="left"/>
              <w:spacing w:before="20" w:after="20" w:line="220" w:lineRule="auto"/>
            </w:pPr>
            <w:r>
              <w:rPr>
                <w:sz w:val="15"/>
                <w:szCs w:val="15"/>
              </w:rPr>
              <w:t xml:space="preserve">Distribution</w:t>
            </w:r>
          </w:p>
        </w:tc>
        <w:tc>
          <w:tcPr>
            <w:tcW w:w="1569" w:type="dxa"/>
          </w:tcPr>
          <w:p>
            <w:pPr>
              <w:pStyle w:val="Compact"/>
              <w:jc w:val="left"/>
              <w:spacing w:before="20" w:after="20" w:line="220" w:lineRule="auto"/>
            </w:pPr>
            <w:r>
              <w:rPr>
                <w:sz w:val="15"/>
                <w:szCs w:val="15"/>
              </w:rPr>
              <w:t xml:space="preserve">2, 3</w:t>
            </w:r>
          </w:p>
        </w:tc>
        <w:tc>
          <w:tcPr>
            <w:tcW w:w="4408" w:type="dxa"/>
          </w:tcPr>
          <w:p>
            <w:pPr>
              <w:pStyle w:val="Compact"/>
              <w:jc w:val="left"/>
              <w:spacing w:before="20" w:after="20" w:line="220" w:lineRule="auto"/>
            </w:pPr>
            <w:r>
              <w:rPr>
                <w:sz w:val="15"/>
                <w:szCs w:val="15"/>
              </w:rPr>
              <w:t xml:space="preserve">Both. For the intermediary this is its core cost</w:t>
            </w:r>
          </w:p>
        </w:tc>
        <w:tc>
          <w:tcPr>
            <w:tcW w:w="5080" w:type="dxa"/>
          </w:tcPr>
          <w:p>
            <w:pPr>
              <w:pStyle w:val="Compact"/>
              <w:jc w:val="left"/>
              <w:spacing w:before="20" w:after="20" w:line="220" w:lineRule="auto"/>
            </w:pPr>
            <w:r>
              <w:rPr>
                <w:sz w:val="15"/>
                <w:szCs w:val="15"/>
              </w:rPr>
              <w:t xml:space="preserve">AIFA advisers, Instant Life, bank channel fees, third-party placement</w:t>
            </w:r>
          </w:p>
        </w:tc>
      </w:tr>
      <w:tr>
        <w:tc>
          <w:tcPr>
            <w:tcW w:w="3511" w:type="dxa"/>
          </w:tcPr>
          <w:p>
            <w:pPr>
              <w:pStyle w:val="Compact"/>
              <w:jc w:val="left"/>
              <w:spacing w:before="20" w:after="20" w:line="220" w:lineRule="auto"/>
            </w:pPr>
            <w:r>
              <w:rPr>
                <w:sz w:val="15"/>
                <w:szCs w:val="15"/>
              </w:rPr>
              <w:t xml:space="preserve">Underwriting and onboarding</w:t>
            </w:r>
          </w:p>
        </w:tc>
        <w:tc>
          <w:tcPr>
            <w:tcW w:w="1569" w:type="dxa"/>
          </w:tcPr>
          <w:p>
            <w:pPr>
              <w:pStyle w:val="Compact"/>
              <w:jc w:val="left"/>
              <w:spacing w:before="20" w:after="20" w:line="220" w:lineRule="auto"/>
            </w:pPr>
            <w:r>
              <w:rPr>
                <w:sz w:val="15"/>
                <w:szCs w:val="15"/>
              </w:rPr>
              <w:t xml:space="preserve">3</w:t>
            </w:r>
          </w:p>
        </w:tc>
        <w:tc>
          <w:tcPr>
            <w:tcW w:w="4408" w:type="dxa"/>
          </w:tcPr>
          <w:p>
            <w:pPr>
              <w:pStyle w:val="Compact"/>
              <w:jc w:val="left"/>
              <w:spacing w:before="20" w:after="20" w:line="220" w:lineRule="auto"/>
            </w:pPr>
            <w:r>
              <w:rPr>
                <w:sz w:val="15"/>
                <w:szCs w:val="15"/>
              </w:rPr>
              <w:t xml:space="preserve">Underwriter</w:t>
            </w:r>
          </w:p>
        </w:tc>
        <w:tc>
          <w:tcPr>
            <w:tcW w:w="5080" w:type="dxa"/>
          </w:tcPr>
          <w:p>
            <w:pPr>
              <w:pStyle w:val="Compact"/>
              <w:jc w:val="left"/>
              <w:spacing w:before="20" w:after="20" w:line="220" w:lineRule="auto"/>
            </w:pPr>
            <w:r>
              <w:rPr>
                <w:sz w:val="15"/>
                <w:szCs w:val="15"/>
              </w:rPr>
              <w:t xml:space="preserve">New business processing, KYC, medical and risk evidence</w:t>
            </w:r>
          </w:p>
        </w:tc>
      </w:tr>
      <w:tr>
        <w:tc>
          <w:tcPr>
            <w:tcW w:w="3511" w:type="dxa"/>
          </w:tcPr>
          <w:p>
            <w:pPr>
              <w:pStyle w:val="Compact"/>
              <w:jc w:val="left"/>
              <w:spacing w:before="20" w:after="20" w:line="220" w:lineRule="auto"/>
            </w:pPr>
            <w:r>
              <w:rPr>
                <w:sz w:val="15"/>
                <w:szCs w:val="15"/>
              </w:rPr>
              <w:t xml:space="preserve">Policy administration and servicing</w:t>
            </w:r>
          </w:p>
        </w:tc>
        <w:tc>
          <w:tcPr>
            <w:tcW w:w="1569" w:type="dxa"/>
          </w:tcPr>
          <w:p>
            <w:pPr>
              <w:pStyle w:val="Compact"/>
              <w:jc w:val="left"/>
              <w:spacing w:before="20" w:after="20" w:line="220" w:lineRule="auto"/>
            </w:pPr>
            <w:r>
              <w:rPr>
                <w:sz w:val="15"/>
                <w:szCs w:val="15"/>
              </w:rPr>
              <w:t xml:space="preserve">3</w:t>
            </w:r>
          </w:p>
        </w:tc>
        <w:tc>
          <w:tcPr>
            <w:tcW w:w="4408" w:type="dxa"/>
          </w:tcPr>
          <w:p>
            <w:pPr>
              <w:pStyle w:val="Compact"/>
              <w:jc w:val="left"/>
              <w:spacing w:before="20" w:after="20" w:line="220" w:lineRule="auto"/>
            </w:pPr>
            <w:r>
              <w:rPr>
                <w:sz w:val="15"/>
                <w:szCs w:val="15"/>
              </w:rPr>
              <w:t xml:space="preserve">Both</w:t>
            </w:r>
          </w:p>
        </w:tc>
        <w:tc>
          <w:tcPr>
            <w:tcW w:w="5080" w:type="dxa"/>
          </w:tcPr>
          <w:p>
            <w:pPr>
              <w:pStyle w:val="Compact"/>
              <w:jc w:val="left"/>
              <w:spacing w:before="20" w:after="20" w:line="220" w:lineRule="auto"/>
            </w:pPr>
            <w:r>
              <w:rPr>
                <w:sz w:val="15"/>
                <w:szCs w:val="15"/>
              </w:rPr>
              <w:t xml:space="preserve">Largest attributable block. Collections, endorsements, contact centre</w:t>
            </w:r>
          </w:p>
        </w:tc>
      </w:tr>
      <w:tr>
        <w:tc>
          <w:tcPr>
            <w:tcW w:w="3511" w:type="dxa"/>
          </w:tcPr>
          <w:p>
            <w:pPr>
              <w:pStyle w:val="Compact"/>
              <w:jc w:val="left"/>
              <w:spacing w:before="20" w:after="20" w:line="220" w:lineRule="auto"/>
            </w:pPr>
            <w:r>
              <w:rPr>
                <w:sz w:val="15"/>
                <w:szCs w:val="15"/>
              </w:rPr>
              <w:t xml:space="preserve">Claims</w:t>
            </w:r>
          </w:p>
        </w:tc>
        <w:tc>
          <w:tcPr>
            <w:tcW w:w="1569" w:type="dxa"/>
          </w:tcPr>
          <w:p>
            <w:pPr>
              <w:pStyle w:val="Compact"/>
              <w:jc w:val="left"/>
              <w:spacing w:before="20" w:after="20" w:line="220" w:lineRule="auto"/>
            </w:pPr>
            <w:r>
              <w:rPr>
                <w:sz w:val="15"/>
                <w:szCs w:val="15"/>
              </w:rPr>
              <w:t xml:space="preserve">1, 3</w:t>
            </w:r>
          </w:p>
        </w:tc>
        <w:tc>
          <w:tcPr>
            <w:tcW w:w="4408" w:type="dxa"/>
          </w:tcPr>
          <w:p>
            <w:pPr>
              <w:pStyle w:val="Compact"/>
              <w:jc w:val="left"/>
              <w:spacing w:before="20" w:after="20" w:line="220" w:lineRule="auto"/>
            </w:pPr>
            <w:r>
              <w:rPr>
                <w:sz w:val="15"/>
                <w:szCs w:val="15"/>
              </w:rPr>
              <w:t xml:space="preserve">Underwriter</w:t>
            </w:r>
          </w:p>
        </w:tc>
        <w:tc>
          <w:tcPr>
            <w:tcW w:w="5080" w:type="dxa"/>
          </w:tcPr>
          <w:p>
            <w:pPr>
              <w:pStyle w:val="Compact"/>
              <w:jc w:val="left"/>
              <w:spacing w:before="20" w:after="20" w:line="220" w:lineRule="auto"/>
            </w:pPr>
            <w:r>
              <w:rPr>
                <w:sz w:val="15"/>
                <w:szCs w:val="15"/>
              </w:rPr>
              <w:t xml:space="preserve">Indemnity in pool 1, handling in pool 3</w:t>
            </w:r>
          </w:p>
        </w:tc>
      </w:tr>
      <w:tr>
        <w:tc>
          <w:tcPr>
            <w:tcW w:w="3511" w:type="dxa"/>
          </w:tcPr>
          <w:p>
            <w:pPr>
              <w:pStyle w:val="Compact"/>
              <w:jc w:val="left"/>
              <w:spacing w:before="20" w:after="20" w:line="220" w:lineRule="auto"/>
            </w:pPr>
            <w:r>
              <w:rPr>
                <w:sz w:val="15"/>
                <w:szCs w:val="15"/>
              </w:rPr>
              <w:t xml:space="preserve">Investments</w:t>
            </w:r>
          </w:p>
        </w:tc>
        <w:tc>
          <w:tcPr>
            <w:tcW w:w="1569" w:type="dxa"/>
          </w:tcPr>
          <w:p>
            <w:pPr>
              <w:pStyle w:val="Compact"/>
              <w:jc w:val="left"/>
              <w:spacing w:before="20" w:after="20" w:line="220" w:lineRule="auto"/>
            </w:pPr>
            <w:r>
              <w:rPr>
                <w:sz w:val="15"/>
                <w:szCs w:val="15"/>
              </w:rPr>
              <w:t xml:space="preserve">3, 4</w:t>
            </w:r>
          </w:p>
        </w:tc>
        <w:tc>
          <w:tcPr>
            <w:tcW w:w="4408" w:type="dxa"/>
          </w:tcPr>
          <w:p>
            <w:pPr>
              <w:pStyle w:val="Compact"/>
              <w:jc w:val="left"/>
              <w:spacing w:before="20" w:after="20" w:line="220" w:lineRule="auto"/>
            </w:pPr>
            <w:r>
              <w:rPr>
                <w:sz w:val="15"/>
                <w:szCs w:val="15"/>
              </w:rPr>
              <w:t xml:space="preserve">Both. Fee business for AIMS, trust and stockbroking</w:t>
            </w:r>
          </w:p>
        </w:tc>
        <w:tc>
          <w:tcPr>
            <w:tcW w:w="5080" w:type="dxa"/>
          </w:tcPr>
          <w:p>
            <w:pPr>
              <w:pStyle w:val="Compact"/>
              <w:jc w:val="left"/>
              <w:spacing w:before="20" w:after="20" w:line="220" w:lineRule="auto"/>
            </w:pPr>
            <w:r>
              <w:rPr>
                <w:sz w:val="15"/>
                <w:szCs w:val="15"/>
              </w:rPr>
              <w:t xml:space="preserve">Shareholder and policyholder asset mandates, platform administration</w:t>
            </w:r>
          </w:p>
        </w:tc>
      </w:tr>
      <w:tr>
        <w:tc>
          <w:tcPr>
            <w:tcW w:w="3511" w:type="dxa"/>
          </w:tcPr>
          <w:p>
            <w:pPr>
              <w:pStyle w:val="Compact"/>
              <w:jc w:val="left"/>
              <w:spacing w:before="20" w:after="20" w:line="220" w:lineRule="auto"/>
            </w:pPr>
            <w:r>
              <w:rPr>
                <w:sz w:val="15"/>
                <w:szCs w:val="15"/>
              </w:rPr>
              <w:t xml:space="preserve">Technology</w:t>
            </w:r>
          </w:p>
        </w:tc>
        <w:tc>
          <w:tcPr>
            <w:tcW w:w="1569" w:type="dxa"/>
          </w:tcPr>
          <w:p>
            <w:pPr>
              <w:pStyle w:val="Compact"/>
              <w:jc w:val="left"/>
              <w:spacing w:before="20" w:after="20" w:line="220" w:lineRule="auto"/>
            </w:pPr>
            <w:r>
              <w:rPr>
                <w:sz w:val="15"/>
                <w:szCs w:val="15"/>
              </w:rPr>
              <w:t xml:space="preserve">3</w:t>
            </w:r>
          </w:p>
        </w:tc>
        <w:tc>
          <w:tcPr>
            <w:tcW w:w="4408" w:type="dxa"/>
          </w:tcPr>
          <w:p>
            <w:pPr>
              <w:pStyle w:val="Compact"/>
              <w:jc w:val="left"/>
              <w:spacing w:before="20" w:after="20" w:line="220" w:lineRule="auto"/>
            </w:pPr>
            <w:r>
              <w:rPr>
                <w:sz w:val="15"/>
                <w:szCs w:val="15"/>
              </w:rPr>
              <w:t xml:space="preserve">Both</w:t>
            </w:r>
          </w:p>
        </w:tc>
        <w:tc>
          <w:tcPr>
            <w:tcW w:w="5080" w:type="dxa"/>
          </w:tcPr>
          <w:p>
            <w:pPr>
              <w:pStyle w:val="Compact"/>
              <w:jc w:val="left"/>
              <w:spacing w:before="20" w:after="20" w:line="220" w:lineRule="auto"/>
            </w:pPr>
            <w:r>
              <w:rPr>
                <w:sz w:val="15"/>
                <w:szCs w:val="15"/>
              </w:rPr>
              <w:t xml:space="preserve">Core platforms, hosting, licences, change</w:t>
            </w:r>
          </w:p>
        </w:tc>
      </w:tr>
      <w:tr>
        <w:tc>
          <w:tcPr>
            <w:tcW w:w="3511" w:type="dxa"/>
          </w:tcPr>
          <w:p>
            <w:pPr>
              <w:pStyle w:val="Compact"/>
              <w:jc w:val="left"/>
              <w:spacing w:before="20" w:after="20" w:line="220" w:lineRule="auto"/>
            </w:pPr>
            <w:r>
              <w:rPr>
                <w:sz w:val="15"/>
                <w:szCs w:val="15"/>
              </w:rPr>
              <w:t xml:space="preserve">Finance, actuarial, risk and compliance</w:t>
            </w:r>
          </w:p>
        </w:tc>
        <w:tc>
          <w:tcPr>
            <w:tcW w:w="1569" w:type="dxa"/>
          </w:tcPr>
          <w:p>
            <w:pPr>
              <w:pStyle w:val="Compact"/>
              <w:jc w:val="left"/>
              <w:spacing w:before="20" w:after="20" w:line="220" w:lineRule="auto"/>
            </w:pPr>
            <w:r>
              <w:rPr>
                <w:sz w:val="15"/>
                <w:szCs w:val="15"/>
              </w:rPr>
              <w:t xml:space="preserve">3, 5</w:t>
            </w:r>
          </w:p>
        </w:tc>
        <w:tc>
          <w:tcPr>
            <w:tcW w:w="4408" w:type="dxa"/>
          </w:tcPr>
          <w:p>
            <w:pPr>
              <w:pStyle w:val="Compact"/>
              <w:jc w:val="left"/>
              <w:spacing w:before="20" w:after="20" w:line="220" w:lineRule="auto"/>
            </w:pPr>
            <w:r>
              <w:rPr>
                <w:sz w:val="15"/>
                <w:szCs w:val="15"/>
              </w:rPr>
              <w:t xml:space="preserve">Both</w:t>
            </w:r>
          </w:p>
        </w:tc>
        <w:tc>
          <w:tcPr>
            <w:tcW w:w="5080" w:type="dxa"/>
          </w:tcPr>
          <w:p>
            <w:pPr>
              <w:pStyle w:val="Compact"/>
              <w:jc w:val="left"/>
              <w:spacing w:before="20" w:after="20" w:line="220" w:lineRule="auto"/>
            </w:pPr>
            <w:r>
              <w:rPr>
                <w:sz w:val="15"/>
                <w:szCs w:val="15"/>
              </w:rPr>
              <w:t xml:space="preserve">Two heads of actuarial function, ORSA per insurer, IFRS 17 reporting, FAIS compliance per FSP</w:t>
            </w:r>
          </w:p>
        </w:tc>
      </w:tr>
      <w:tr>
        <w:tc>
          <w:tcPr>
            <w:tcW w:w="3511" w:type="dxa"/>
          </w:tcPr>
          <w:p>
            <w:pPr>
              <w:pStyle w:val="Compact"/>
              <w:jc w:val="left"/>
              <w:spacing w:before="20" w:after="20" w:line="220" w:lineRule="auto"/>
            </w:pPr>
            <w:r>
              <w:rPr>
                <w:sz w:val="15"/>
                <w:szCs w:val="15"/>
              </w:rPr>
              <w:t xml:space="preserve">Governance and corporate</w:t>
            </w:r>
          </w:p>
        </w:tc>
        <w:tc>
          <w:tcPr>
            <w:tcW w:w="1569" w:type="dxa"/>
          </w:tcPr>
          <w:p>
            <w:pPr>
              <w:pStyle w:val="Compact"/>
              <w:jc w:val="left"/>
              <w:spacing w:before="20" w:after="20" w:line="220" w:lineRule="auto"/>
            </w:pPr>
            <w:r>
              <w:rPr>
                <w:sz w:val="15"/>
                <w:szCs w:val="15"/>
              </w:rPr>
              <w:t xml:space="preserve">3, 5</w:t>
            </w:r>
          </w:p>
        </w:tc>
        <w:tc>
          <w:tcPr>
            <w:tcW w:w="4408" w:type="dxa"/>
          </w:tcPr>
          <w:p>
            <w:pPr>
              <w:pStyle w:val="Compact"/>
              <w:jc w:val="left"/>
              <w:spacing w:before="20" w:after="20" w:line="220" w:lineRule="auto"/>
            </w:pPr>
            <w:r>
              <w:rPr>
                <w:sz w:val="15"/>
                <w:szCs w:val="15"/>
              </w:rPr>
              <w:t xml:space="preserve">Both</w:t>
            </w:r>
          </w:p>
        </w:tc>
        <w:tc>
          <w:tcPr>
            <w:tcW w:w="5080" w:type="dxa"/>
          </w:tcPr>
          <w:p>
            <w:pPr>
              <w:pStyle w:val="Compact"/>
              <w:jc w:val="left"/>
              <w:spacing w:before="20" w:after="20" w:line="220" w:lineRule="auto"/>
            </w:pPr>
            <w:r>
              <w:rPr>
                <w:sz w:val="15"/>
                <w:szCs w:val="15"/>
              </w:rPr>
              <w:t xml:space="preserve">Boards, company secretarial, HR, legal, premises, levies, VAT on recharges</w:t>
            </w:r>
          </w:p>
        </w:tc>
      </w:tr>
    </w:tbl>
    <w:bookmarkEnd w:id="26"/>
    <w:bookmarkStart w:id="27" w:name="X1e261cdf88e1a3e85b010ad35626b003b12fdde"/>
    <w:p>
      <w:pPr>
        <w:pStyle w:val="Heading2"/>
      </w:pPr>
      <w:r>
        <w:t xml:space="preserve">5. Level 3 levers across the value chain, with classification</w:t>
      </w:r>
    </w:p>
    <w:p>
      <w:pPr>
        <w:pStyle w:val="FirstParagraph"/>
      </w:pPr>
      <w:r>
        <w:t xml:space="preserve">Classification key. D: directly enabled by centralisation, meaning the saving exists only if capability, entity or contract is brought together. A: adjacent, meaning centralisation makes it cheaper or faster but it can be done standalone. I: independent of the operating model.</w:t>
      </w:r>
    </w:p>
    <w:tbl>
      <w:tblPr>
        <w:tblStyle w:val="Table"/>
        <w:tblLook w:firstRow="1" w:lastRow="0" w:firstColumn="0" w:lastColumn="0" w:noHBand="0" w:noVBand="0" w:val="0020"/>
        <w:jc w:val="start"/>
        <w:tblW w:w="14567" w:type="dxa"/>
        <w:tblLayout w:type="fixed"/>
      </w:tblPr>
      <w:tblGrid>
        <w:gridCol w:w="1505"/>
        <w:gridCol w:w="2177"/>
        <w:gridCol w:w="2177"/>
        <w:gridCol w:w="2177"/>
        <w:gridCol w:w="2177"/>
        <w:gridCol w:w="2177"/>
        <w:gridCol w:w="2177"/>
      </w:tblGrid>
      <w:tr>
        <w:trPr>
          <w:tblHeader w:val="true"/>
        </w:trPr>
        <w:tc>
          <w:tcPr>
            <w:tcW w:w="1505" w:type="dxa"/>
          </w:tcPr>
          <w:p>
            <w:pPr>
              <w:pStyle w:val="Compact"/>
              <w:jc w:val="left"/>
              <w:spacing w:before="20" w:after="20" w:line="220" w:lineRule="auto"/>
            </w:pPr>
            <w:r>
              <w:rPr>
                <w:sz w:val="15"/>
                <w:szCs w:val="15"/>
              </w:rPr>
              <w:t xml:space="preserve">Function</w:t>
            </w:r>
          </w:p>
        </w:tc>
        <w:tc>
          <w:tcPr>
            <w:tcW w:w="2177" w:type="dxa"/>
          </w:tcPr>
          <w:p>
            <w:pPr>
              <w:pStyle w:val="Compact"/>
              <w:jc w:val="left"/>
              <w:spacing w:before="20" w:after="20" w:line="220" w:lineRule="auto"/>
            </w:pPr>
            <w:r>
              <w:rPr>
                <w:sz w:val="15"/>
                <w:szCs w:val="15"/>
              </w:rPr>
              <w:t xml:space="preserve">Structural</w:t>
            </w:r>
          </w:p>
        </w:tc>
        <w:tc>
          <w:tcPr>
            <w:tcW w:w="2177" w:type="dxa"/>
          </w:tcPr>
          <w:p>
            <w:pPr>
              <w:pStyle w:val="Compact"/>
              <w:jc w:val="left"/>
              <w:spacing w:before="20" w:after="20" w:line="220" w:lineRule="auto"/>
            </w:pPr>
            <w:r>
              <w:rPr>
                <w:sz w:val="15"/>
                <w:szCs w:val="15"/>
              </w:rPr>
              <w:t xml:space="preserve">Consolidation</w:t>
            </w:r>
          </w:p>
        </w:tc>
        <w:tc>
          <w:tcPr>
            <w:tcW w:w="2177" w:type="dxa"/>
          </w:tcPr>
          <w:p>
            <w:pPr>
              <w:pStyle w:val="Compact"/>
              <w:jc w:val="left"/>
              <w:spacing w:before="20" w:after="20" w:line="220" w:lineRule="auto"/>
            </w:pPr>
            <w:r>
              <w:rPr>
                <w:sz w:val="15"/>
                <w:szCs w:val="15"/>
              </w:rPr>
              <w:t xml:space="preserve">Productivity</w:t>
            </w:r>
          </w:p>
        </w:tc>
        <w:tc>
          <w:tcPr>
            <w:tcW w:w="2177" w:type="dxa"/>
          </w:tcPr>
          <w:p>
            <w:pPr>
              <w:pStyle w:val="Compact"/>
              <w:jc w:val="left"/>
              <w:spacing w:before="20" w:after="20" w:line="220" w:lineRule="auto"/>
            </w:pPr>
            <w:r>
              <w:rPr>
                <w:sz w:val="15"/>
                <w:szCs w:val="15"/>
              </w:rPr>
              <w:t xml:space="preserve">Demand</w:t>
            </w:r>
          </w:p>
        </w:tc>
        <w:tc>
          <w:tcPr>
            <w:tcW w:w="2177" w:type="dxa"/>
          </w:tcPr>
          <w:p>
            <w:pPr>
              <w:pStyle w:val="Compact"/>
              <w:jc w:val="left"/>
              <w:spacing w:before="20" w:after="20" w:line="220" w:lineRule="auto"/>
            </w:pPr>
            <w:r>
              <w:rPr>
                <w:sz w:val="15"/>
                <w:szCs w:val="15"/>
              </w:rPr>
              <w:t xml:space="preserve">Price</w:t>
            </w:r>
          </w:p>
        </w:tc>
        <w:tc>
          <w:tcPr>
            <w:tcW w:w="2177" w:type="dxa"/>
          </w:tcPr>
          <w:p>
            <w:pPr>
              <w:pStyle w:val="Compact"/>
              <w:jc w:val="left"/>
              <w:spacing w:before="20" w:after="20" w:line="220" w:lineRule="auto"/>
            </w:pPr>
            <w:r>
              <w:rPr>
                <w:sz w:val="15"/>
                <w:szCs w:val="15"/>
              </w:rPr>
              <w:t xml:space="preserve">Leakage</w:t>
            </w:r>
          </w:p>
        </w:tc>
      </w:tr>
      <w:tr>
        <w:tc>
          <w:tcPr>
            <w:tcW w:w="1505" w:type="dxa"/>
          </w:tcPr>
          <w:p>
            <w:pPr>
              <w:pStyle w:val="Compact"/>
              <w:jc w:val="left"/>
              <w:spacing w:before="20" w:after="20" w:line="220" w:lineRule="auto"/>
            </w:pPr>
            <w:r>
              <w:rPr>
                <w:sz w:val="15"/>
                <w:szCs w:val="15"/>
              </w:rPr>
              <w:t xml:space="preserve">Product and pricing</w:t>
            </w:r>
          </w:p>
        </w:tc>
        <w:tc>
          <w:tcPr>
            <w:tcW w:w="2177" w:type="dxa"/>
          </w:tcPr>
          <w:p>
            <w:pPr>
              <w:pStyle w:val="Compact"/>
              <w:jc w:val="left"/>
              <w:spacing w:before="20" w:after="20" w:line="220" w:lineRule="auto"/>
            </w:pPr>
            <w:r>
              <w:rPr>
                <w:sz w:val="15"/>
                <w:szCs w:val="15"/>
              </w:rPr>
              <w:t xml:space="preserve">One product governance forum serving both insurer boards, which still each approve [A]</w:t>
            </w:r>
          </w:p>
        </w:tc>
        <w:tc>
          <w:tcPr>
            <w:tcW w:w="2177" w:type="dxa"/>
          </w:tcPr>
          <w:p>
            <w:pPr>
              <w:pStyle w:val="Compact"/>
              <w:jc w:val="left"/>
              <w:spacing w:before="20" w:after="20" w:line="220" w:lineRule="auto"/>
            </w:pPr>
            <w:r>
              <w:rPr>
                <w:sz w:val="15"/>
                <w:szCs w:val="15"/>
              </w:rPr>
              <w:t xml:space="preserve">One pricing and product team, one data and experience base across life and non-life [D]</w:t>
            </w:r>
          </w:p>
        </w:tc>
        <w:tc>
          <w:tcPr>
            <w:tcW w:w="2177" w:type="dxa"/>
          </w:tcPr>
          <w:p>
            <w:pPr>
              <w:pStyle w:val="Compact"/>
              <w:jc w:val="left"/>
              <w:spacing w:before="20" w:after="20" w:line="220" w:lineRule="auto"/>
            </w:pPr>
            <w:r>
              <w:rPr>
                <w:sz w:val="15"/>
                <w:szCs w:val="15"/>
              </w:rPr>
              <w:t xml:space="preserve">Pricing model automation, faster repricing cycles [A]</w:t>
            </w:r>
          </w:p>
        </w:tc>
        <w:tc>
          <w:tcPr>
            <w:tcW w:w="2177" w:type="dxa"/>
          </w:tcPr>
          <w:p>
            <w:pPr>
              <w:pStyle w:val="Compact"/>
              <w:jc w:val="left"/>
              <w:spacing w:before="20" w:after="20" w:line="220" w:lineRule="auto"/>
            </w:pPr>
            <w:r>
              <w:rPr>
                <w:sz w:val="15"/>
                <w:szCs w:val="15"/>
              </w:rPr>
              <w:t xml:space="preserve">Retire legacy product versions and rate tables [A]</w:t>
            </w:r>
          </w:p>
        </w:tc>
        <w:tc>
          <w:tcPr>
            <w:tcW w:w="2177" w:type="dxa"/>
          </w:tcPr>
          <w:p>
            <w:pPr>
              <w:pStyle w:val="Compact"/>
              <w:jc w:val="left"/>
              <w:spacing w:before="20" w:after="20" w:line="220" w:lineRule="auto"/>
            </w:pPr>
            <w:r>
              <w:rPr>
                <w:sz w:val="15"/>
                <w:szCs w:val="15"/>
              </w:rPr>
              <w:t xml:space="preserve">Data and pricing vendor contracts on group terms [I]</w:t>
            </w:r>
          </w:p>
        </w:tc>
        <w:tc>
          <w:tcPr>
            <w:tcW w:w="2177" w:type="dxa"/>
          </w:tcPr>
          <w:p>
            <w:pPr>
              <w:pStyle w:val="Compact"/>
              <w:jc w:val="left"/>
              <w:spacing w:before="20" w:after="20" w:line="220" w:lineRule="auto"/>
            </w:pPr>
            <w:r>
              <w:rPr>
                <w:sz w:val="15"/>
                <w:szCs w:val="15"/>
              </w:rPr>
              <w:t xml:space="preserve">Rating and premium calculation errors found by audit [I]</w:t>
            </w:r>
          </w:p>
        </w:tc>
      </w:tr>
      <w:tr>
        <w:tc>
          <w:tcPr>
            <w:tcW w:w="1505" w:type="dxa"/>
          </w:tcPr>
          <w:p>
            <w:pPr>
              <w:pStyle w:val="Compact"/>
              <w:jc w:val="left"/>
              <w:spacing w:before="20" w:after="20" w:line="220" w:lineRule="auto"/>
            </w:pPr>
            <w:r>
              <w:rPr>
                <w:sz w:val="15"/>
                <w:szCs w:val="15"/>
              </w:rPr>
              <w:t xml:space="preserve">Distribution</w:t>
            </w:r>
          </w:p>
        </w:tc>
        <w:tc>
          <w:tcPr>
            <w:tcW w:w="2177" w:type="dxa"/>
          </w:tcPr>
          <w:p>
            <w:pPr>
              <w:pStyle w:val="Compact"/>
              <w:jc w:val="left"/>
              <w:spacing w:before="20" w:after="20" w:line="220" w:lineRule="auto"/>
            </w:pPr>
            <w:r>
              <w:rPr>
                <w:sz w:val="15"/>
                <w:szCs w:val="15"/>
              </w:rPr>
              <w:t xml:space="preserve">Fewer FSP licences: fold Instant Life, AIMS and stockbroking representatives into fewer registers where categories allow [D]</w:t>
            </w:r>
          </w:p>
        </w:tc>
        <w:tc>
          <w:tcPr>
            <w:tcW w:w="2177" w:type="dxa"/>
          </w:tcPr>
          <w:p>
            <w:pPr>
              <w:pStyle w:val="Compact"/>
              <w:jc w:val="left"/>
              <w:spacing w:before="20" w:after="20" w:line="220" w:lineRule="auto"/>
            </w:pPr>
            <w:r>
              <w:rPr>
                <w:sz w:val="15"/>
                <w:szCs w:val="15"/>
              </w:rPr>
              <w:t xml:space="preserve">One sales enablement, lead and adviser platform across life, non-life and investments [D]</w:t>
            </w:r>
          </w:p>
        </w:tc>
        <w:tc>
          <w:tcPr>
            <w:tcW w:w="2177" w:type="dxa"/>
          </w:tcPr>
          <w:p>
            <w:pPr>
              <w:pStyle w:val="Compact"/>
              <w:jc w:val="left"/>
              <w:spacing w:before="20" w:after="20" w:line="220" w:lineRule="auto"/>
            </w:pPr>
            <w:r>
              <w:rPr>
                <w:sz w:val="15"/>
                <w:szCs w:val="15"/>
              </w:rPr>
              <w:t xml:space="preserve">Digital advice tools, adviser productivity, straight-through new business [A]</w:t>
            </w:r>
          </w:p>
        </w:tc>
        <w:tc>
          <w:tcPr>
            <w:tcW w:w="2177" w:type="dxa"/>
          </w:tcPr>
          <w:p>
            <w:pPr>
              <w:pStyle w:val="Compact"/>
              <w:jc w:val="left"/>
              <w:spacing w:before="20" w:after="20" w:line="220" w:lineRule="auto"/>
            </w:pPr>
            <w:r>
              <w:rPr>
                <w:sz w:val="15"/>
                <w:szCs w:val="15"/>
              </w:rPr>
              <w:t xml:space="preserve">Cut not-taken-up and first-premium failures that drive rework [A]</w:t>
            </w:r>
          </w:p>
        </w:tc>
        <w:tc>
          <w:tcPr>
            <w:tcW w:w="2177" w:type="dxa"/>
          </w:tcPr>
          <w:p>
            <w:pPr>
              <w:pStyle w:val="Compact"/>
              <w:jc w:val="left"/>
              <w:spacing w:before="20" w:after="20" w:line="220" w:lineRule="auto"/>
            </w:pPr>
            <w:r>
              <w:rPr>
                <w:sz w:val="15"/>
                <w:szCs w:val="15"/>
              </w:rPr>
              <w:t xml:space="preserve">Bank distribution fee and profit share terms (intra-group), third-party binder and commission terms for the intermediary [A]</w:t>
            </w:r>
          </w:p>
        </w:tc>
        <w:tc>
          <w:tcPr>
            <w:tcW w:w="2177" w:type="dxa"/>
          </w:tcPr>
          <w:p>
            <w:pPr>
              <w:pStyle w:val="Compact"/>
              <w:jc w:val="left"/>
              <w:spacing w:before="20" w:after="20" w:line="220" w:lineRule="auto"/>
            </w:pPr>
            <w:r>
              <w:rPr>
                <w:sz w:val="15"/>
                <w:szCs w:val="15"/>
              </w:rPr>
              <w:t xml:space="preserve">Commission on lapsed business, unenforced clawback, duplicate commission [I]</w:t>
            </w:r>
          </w:p>
        </w:tc>
      </w:tr>
      <w:tr>
        <w:tc>
          <w:tcPr>
            <w:tcW w:w="1505" w:type="dxa"/>
          </w:tcPr>
          <w:p>
            <w:pPr>
              <w:pStyle w:val="Compact"/>
              <w:jc w:val="left"/>
              <w:spacing w:before="20" w:after="20" w:line="220" w:lineRule="auto"/>
            </w:pPr>
            <w:r>
              <w:rPr>
                <w:sz w:val="15"/>
                <w:szCs w:val="15"/>
              </w:rPr>
              <w:t xml:space="preserve">Underwriting and onboarding</w:t>
            </w:r>
          </w:p>
        </w:tc>
        <w:tc>
          <w:tcPr>
            <w:tcW w:w="2177" w:type="dxa"/>
          </w:tcPr>
          <w:p>
            <w:pPr>
              <w:pStyle w:val="Compact"/>
              <w:jc w:val="left"/>
              <w:spacing w:before="20" w:after="20" w:line="220" w:lineRule="auto"/>
            </w:pPr>
            <w:r>
              <w:rPr>
                <w:sz w:val="15"/>
                <w:szCs w:val="15"/>
              </w:rPr>
              <w:t xml:space="preserve">None. Each insurer underwrites on its own licence [I]</w:t>
            </w:r>
          </w:p>
        </w:tc>
        <w:tc>
          <w:tcPr>
            <w:tcW w:w="2177" w:type="dxa"/>
          </w:tcPr>
          <w:p>
            <w:pPr>
              <w:pStyle w:val="Compact"/>
              <w:jc w:val="left"/>
              <w:spacing w:before="20" w:after="20" w:line="220" w:lineRule="auto"/>
            </w:pPr>
            <w:r>
              <w:rPr>
                <w:sz w:val="15"/>
                <w:szCs w:val="15"/>
              </w:rPr>
              <w:t xml:space="preserve">Shared onboarding, KYC and document capture with the bank [D]</w:t>
            </w:r>
          </w:p>
        </w:tc>
        <w:tc>
          <w:tcPr>
            <w:tcW w:w="2177" w:type="dxa"/>
          </w:tcPr>
          <w:p>
            <w:pPr>
              <w:pStyle w:val="Compact"/>
              <w:jc w:val="left"/>
              <w:spacing w:before="20" w:after="20" w:line="220" w:lineRule="auto"/>
            </w:pPr>
            <w:r>
              <w:rPr>
                <w:sz w:val="15"/>
                <w:szCs w:val="15"/>
              </w:rPr>
              <w:t xml:space="preserve">Automated underwriting rules, straight-through acceptance [A]</w:t>
            </w:r>
          </w:p>
        </w:tc>
        <w:tc>
          <w:tcPr>
            <w:tcW w:w="2177" w:type="dxa"/>
          </w:tcPr>
          <w:p>
            <w:pPr>
              <w:pStyle w:val="Compact"/>
              <w:jc w:val="left"/>
              <w:spacing w:before="20" w:after="20" w:line="220" w:lineRule="auto"/>
            </w:pPr>
            <w:r>
              <w:rPr>
                <w:sz w:val="15"/>
                <w:szCs w:val="15"/>
              </w:rPr>
              <w:t xml:space="preserve">Fewer underwriting questions and manual exception paths [A]</w:t>
            </w:r>
          </w:p>
        </w:tc>
        <w:tc>
          <w:tcPr>
            <w:tcW w:w="2177" w:type="dxa"/>
          </w:tcPr>
          <w:p>
            <w:pPr>
              <w:pStyle w:val="Compact"/>
              <w:jc w:val="left"/>
              <w:spacing w:before="20" w:after="20" w:line="220" w:lineRule="auto"/>
            </w:pPr>
            <w:r>
              <w:rPr>
                <w:sz w:val="15"/>
                <w:szCs w:val="15"/>
              </w:rPr>
              <w:t xml:space="preserve">Medical evidence and data vendor rates on group volume [A]</w:t>
            </w:r>
          </w:p>
        </w:tc>
        <w:tc>
          <w:tcPr>
            <w:tcW w:w="2177" w:type="dxa"/>
          </w:tcPr>
          <w:p>
            <w:pPr>
              <w:pStyle w:val="Compact"/>
              <w:jc w:val="left"/>
              <w:spacing w:before="20" w:after="20" w:line="220" w:lineRule="auto"/>
            </w:pPr>
            <w:r>
              <w:rPr>
                <w:sz w:val="15"/>
                <w:szCs w:val="15"/>
              </w:rPr>
              <w:t xml:space="preserve">Anti-selection and mis-rated risks surfacing in pool 1 [I]</w:t>
            </w:r>
          </w:p>
        </w:tc>
      </w:tr>
      <w:tr>
        <w:tc>
          <w:tcPr>
            <w:tcW w:w="1505" w:type="dxa"/>
          </w:tcPr>
          <w:p>
            <w:pPr>
              <w:pStyle w:val="Compact"/>
              <w:jc w:val="left"/>
              <w:spacing w:before="20" w:after="20" w:line="220" w:lineRule="auto"/>
            </w:pPr>
            <w:r>
              <w:rPr>
                <w:sz w:val="15"/>
                <w:szCs w:val="15"/>
              </w:rPr>
              <w:t xml:space="preserve">Policy administration and servicing</w:t>
            </w:r>
          </w:p>
        </w:tc>
        <w:tc>
          <w:tcPr>
            <w:tcW w:w="2177" w:type="dxa"/>
          </w:tcPr>
          <w:p>
            <w:pPr>
              <w:pStyle w:val="Compact"/>
              <w:jc w:val="left"/>
              <w:spacing w:before="20" w:after="20" w:line="220" w:lineRule="auto"/>
            </w:pPr>
            <w:r>
              <w:rPr>
                <w:sz w:val="15"/>
                <w:szCs w:val="15"/>
              </w:rPr>
              <w:t xml:space="preserve">None [I]</w:t>
            </w:r>
          </w:p>
        </w:tc>
        <w:tc>
          <w:tcPr>
            <w:tcW w:w="2177" w:type="dxa"/>
          </w:tcPr>
          <w:p>
            <w:pPr>
              <w:pStyle w:val="Compact"/>
              <w:jc w:val="left"/>
              <w:spacing w:before="20" w:after="20" w:line="220" w:lineRule="auto"/>
            </w:pPr>
            <w:r>
              <w:rPr>
                <w:sz w:val="15"/>
                <w:szCs w:val="15"/>
              </w:rPr>
              <w:t xml:space="preserve">One policy administration platform across Absa Life, Instant Life and AIC, one contact centre estate, fewer vendors [D]</w:t>
            </w:r>
          </w:p>
        </w:tc>
        <w:tc>
          <w:tcPr>
            <w:tcW w:w="2177" w:type="dxa"/>
          </w:tcPr>
          <w:p>
            <w:pPr>
              <w:pStyle w:val="Compact"/>
              <w:jc w:val="left"/>
              <w:spacing w:before="20" w:after="20" w:line="220" w:lineRule="auto"/>
            </w:pPr>
            <w:r>
              <w:rPr>
                <w:sz w:val="15"/>
                <w:szCs w:val="15"/>
              </w:rPr>
              <w:t xml:space="preserve">Self-service, robotics for endorsements, contact centre spans and layers [A]</w:t>
            </w:r>
          </w:p>
        </w:tc>
        <w:tc>
          <w:tcPr>
            <w:tcW w:w="2177" w:type="dxa"/>
          </w:tcPr>
          <w:p>
            <w:pPr>
              <w:pStyle w:val="Compact"/>
              <w:jc w:val="left"/>
              <w:spacing w:before="20" w:after="20" w:line="220" w:lineRule="auto"/>
            </w:pPr>
            <w:r>
              <w:rPr>
                <w:sz w:val="15"/>
                <w:szCs w:val="15"/>
              </w:rPr>
              <w:t xml:space="preserve">Failure demand: repeat calls, chasing unpaid premiums, re-keying [A]</w:t>
            </w:r>
          </w:p>
        </w:tc>
        <w:tc>
          <w:tcPr>
            <w:tcW w:w="2177" w:type="dxa"/>
          </w:tcPr>
          <w:p>
            <w:pPr>
              <w:pStyle w:val="Compact"/>
              <w:jc w:val="left"/>
              <w:spacing w:before="20" w:after="20" w:line="220" w:lineRule="auto"/>
            </w:pPr>
            <w:r>
              <w:rPr>
                <w:sz w:val="15"/>
                <w:szCs w:val="15"/>
              </w:rPr>
              <w:t xml:space="preserve">Third-party administrator and outsourced call centre fees [A]</w:t>
            </w:r>
          </w:p>
        </w:tc>
        <w:tc>
          <w:tcPr>
            <w:tcW w:w="2177" w:type="dxa"/>
          </w:tcPr>
          <w:p>
            <w:pPr>
              <w:pStyle w:val="Compact"/>
              <w:jc w:val="left"/>
              <w:spacing w:before="20" w:after="20" w:line="220" w:lineRule="auto"/>
            </w:pPr>
            <w:r>
              <w:rPr>
                <w:sz w:val="15"/>
                <w:szCs w:val="15"/>
              </w:rPr>
              <w:t xml:space="preserve">Premium collection: unpaid debit orders not retried, retro cancellations, reinstatement not pursued [I]</w:t>
            </w:r>
          </w:p>
        </w:tc>
      </w:tr>
      <w:tr>
        <w:tc>
          <w:tcPr>
            <w:tcW w:w="1505" w:type="dxa"/>
          </w:tcPr>
          <w:p>
            <w:pPr>
              <w:pStyle w:val="Compact"/>
              <w:jc w:val="left"/>
              <w:spacing w:before="20" w:after="20" w:line="220" w:lineRule="auto"/>
            </w:pPr>
            <w:r>
              <w:rPr>
                <w:sz w:val="15"/>
                <w:szCs w:val="15"/>
              </w:rPr>
              <w:t xml:space="preserve">Claims</w:t>
            </w:r>
          </w:p>
        </w:tc>
        <w:tc>
          <w:tcPr>
            <w:tcW w:w="2177" w:type="dxa"/>
          </w:tcPr>
          <w:p>
            <w:pPr>
              <w:pStyle w:val="Compact"/>
              <w:jc w:val="left"/>
              <w:spacing w:before="20" w:after="20" w:line="220" w:lineRule="auto"/>
            </w:pPr>
            <w:r>
              <w:rPr>
                <w:sz w:val="15"/>
                <w:szCs w:val="15"/>
              </w:rPr>
              <w:t xml:space="preserve">Group-wide reinsurance programme under the insurance group designation instead of entity-by-entity placement [D]</w:t>
            </w:r>
          </w:p>
        </w:tc>
        <w:tc>
          <w:tcPr>
            <w:tcW w:w="2177" w:type="dxa"/>
          </w:tcPr>
          <w:p>
            <w:pPr>
              <w:pStyle w:val="Compact"/>
              <w:jc w:val="left"/>
              <w:spacing w:before="20" w:after="20" w:line="220" w:lineRule="auto"/>
            </w:pPr>
            <w:r>
              <w:rPr>
                <w:sz w:val="15"/>
                <w:szCs w:val="15"/>
              </w:rPr>
              <w:t xml:space="preserve">One claims platform, shared assessor and supplier panels, one fraud analytics capability across life and non-life [D]</w:t>
            </w:r>
          </w:p>
        </w:tc>
        <w:tc>
          <w:tcPr>
            <w:tcW w:w="2177" w:type="dxa"/>
          </w:tcPr>
          <w:p>
            <w:pPr>
              <w:pStyle w:val="Compact"/>
              <w:jc w:val="left"/>
              <w:spacing w:before="20" w:after="20" w:line="220" w:lineRule="auto"/>
            </w:pPr>
            <w:r>
              <w:rPr>
                <w:sz w:val="15"/>
                <w:szCs w:val="15"/>
              </w:rPr>
              <w:t xml:space="preserve">Straight-through adjudication for low-value claims, triage [A]</w:t>
            </w:r>
          </w:p>
        </w:tc>
        <w:tc>
          <w:tcPr>
            <w:tcW w:w="2177" w:type="dxa"/>
          </w:tcPr>
          <w:p>
            <w:pPr>
              <w:pStyle w:val="Compact"/>
              <w:jc w:val="left"/>
              <w:spacing w:before="20" w:after="20" w:line="220" w:lineRule="auto"/>
            </w:pPr>
            <w:r>
              <w:rPr>
                <w:sz w:val="15"/>
                <w:szCs w:val="15"/>
              </w:rPr>
              <w:t xml:space="preserve">Reduce reopens and repeat requirements [A]</w:t>
            </w:r>
          </w:p>
        </w:tc>
        <w:tc>
          <w:tcPr>
            <w:tcW w:w="2177" w:type="dxa"/>
          </w:tcPr>
          <w:p>
            <w:pPr>
              <w:pStyle w:val="Compact"/>
              <w:jc w:val="left"/>
              <w:spacing w:before="20" w:after="20" w:line="220" w:lineRule="auto"/>
            </w:pPr>
            <w:r>
              <w:rPr>
                <w:sz w:val="15"/>
                <w:szCs w:val="15"/>
              </w:rPr>
              <w:t xml:space="preserve">Repairer, parts, assessor and reinsurance pricing on combined volume [A]</w:t>
            </w:r>
          </w:p>
        </w:tc>
        <w:tc>
          <w:tcPr>
            <w:tcW w:w="2177" w:type="dxa"/>
          </w:tcPr>
          <w:p>
            <w:pPr>
              <w:pStyle w:val="Compact"/>
              <w:jc w:val="left"/>
              <w:spacing w:before="20" w:after="20" w:line="220" w:lineRule="auto"/>
            </w:pPr>
            <w:r>
              <w:rPr>
                <w:sz w:val="15"/>
                <w:szCs w:val="15"/>
              </w:rPr>
              <w:t xml:space="preserve">Claims leakage: overpayment, fraud, missed recoveries, salvage and subrogation [I]</w:t>
            </w:r>
          </w:p>
        </w:tc>
      </w:tr>
      <w:tr>
        <w:tc>
          <w:tcPr>
            <w:tcW w:w="1505" w:type="dxa"/>
          </w:tcPr>
          <w:p>
            <w:pPr>
              <w:pStyle w:val="Compact"/>
              <w:jc w:val="left"/>
              <w:spacing w:before="20" w:after="20" w:line="220" w:lineRule="auto"/>
            </w:pPr>
            <w:r>
              <w:rPr>
                <w:sz w:val="15"/>
                <w:szCs w:val="15"/>
              </w:rPr>
              <w:t xml:space="preserve">Investments</w:t>
            </w:r>
          </w:p>
        </w:tc>
        <w:tc>
          <w:tcPr>
            <w:tcW w:w="2177" w:type="dxa"/>
          </w:tcPr>
          <w:p>
            <w:pPr>
              <w:pStyle w:val="Compact"/>
              <w:jc w:val="left"/>
              <w:spacing w:before="20" w:after="20" w:line="220" w:lineRule="auto"/>
            </w:pPr>
            <w:r>
              <w:rPr>
                <w:sz w:val="15"/>
                <w:szCs w:val="15"/>
              </w:rPr>
              <w:t xml:space="preserve">One wealth FSP for AIMS, stockbroking and trust, fewer nominee entities [D]</w:t>
            </w:r>
          </w:p>
        </w:tc>
        <w:tc>
          <w:tcPr>
            <w:tcW w:w="2177" w:type="dxa"/>
          </w:tcPr>
          <w:p>
            <w:pPr>
              <w:pStyle w:val="Compact"/>
              <w:jc w:val="left"/>
              <w:spacing w:before="20" w:after="20" w:line="220" w:lineRule="auto"/>
            </w:pPr>
            <w:r>
              <w:rPr>
                <w:sz w:val="15"/>
                <w:szCs w:val="15"/>
              </w:rPr>
              <w:t xml:space="preserve">One mandate structure for shareholder and policyholder assets across Absa Life, AIC and ARTIC [D]</w:t>
            </w:r>
          </w:p>
        </w:tc>
        <w:tc>
          <w:tcPr>
            <w:tcW w:w="2177" w:type="dxa"/>
          </w:tcPr>
          <w:p>
            <w:pPr>
              <w:pStyle w:val="Compact"/>
              <w:jc w:val="left"/>
              <w:spacing w:before="20" w:after="20" w:line="220" w:lineRule="auto"/>
            </w:pPr>
            <w:r>
              <w:rPr>
                <w:sz w:val="15"/>
                <w:szCs w:val="15"/>
              </w:rPr>
              <w:t xml:space="preserve">Automated investment accounting and reconciliation [A]</w:t>
            </w:r>
          </w:p>
        </w:tc>
        <w:tc>
          <w:tcPr>
            <w:tcW w:w="2177" w:type="dxa"/>
          </w:tcPr>
          <w:p>
            <w:pPr>
              <w:pStyle w:val="Compact"/>
              <w:jc w:val="left"/>
              <w:spacing w:before="20" w:after="20" w:line="220" w:lineRule="auto"/>
            </w:pPr>
            <w:r>
              <w:rPr>
                <w:sz w:val="15"/>
                <w:szCs w:val="15"/>
              </w:rPr>
              <w:t xml:space="preserve">Fewer portfolios and mandates to administer [A]</w:t>
            </w:r>
          </w:p>
        </w:tc>
        <w:tc>
          <w:tcPr>
            <w:tcW w:w="2177" w:type="dxa"/>
          </w:tcPr>
          <w:p>
            <w:pPr>
              <w:pStyle w:val="Compact"/>
              <w:jc w:val="left"/>
              <w:spacing w:before="20" w:after="20" w:line="220" w:lineRule="auto"/>
            </w:pPr>
            <w:r>
              <w:rPr>
                <w:sz w:val="15"/>
                <w:szCs w:val="15"/>
              </w:rPr>
              <w:t xml:space="preserve">Management fee basis points on combined assets, within the ten-year distribution agreement with Sanlam Investment Holdings [D]</w:t>
            </w:r>
          </w:p>
        </w:tc>
        <w:tc>
          <w:tcPr>
            <w:tcW w:w="2177" w:type="dxa"/>
          </w:tcPr>
          <w:p>
            <w:pPr>
              <w:pStyle w:val="Compact"/>
              <w:jc w:val="left"/>
              <w:spacing w:before="20" w:after="20" w:line="220" w:lineRule="auto"/>
            </w:pPr>
            <w:r>
              <w:rPr>
                <w:sz w:val="15"/>
                <w:szCs w:val="15"/>
              </w:rPr>
              <w:t xml:space="preserve">Uninvested cash, custody and transaction cost slippage [I]</w:t>
            </w:r>
          </w:p>
        </w:tc>
      </w:tr>
      <w:tr>
        <w:tc>
          <w:tcPr>
            <w:tcW w:w="1505" w:type="dxa"/>
          </w:tcPr>
          <w:p>
            <w:pPr>
              <w:pStyle w:val="Compact"/>
              <w:jc w:val="left"/>
              <w:spacing w:before="20" w:after="20" w:line="220" w:lineRule="auto"/>
            </w:pPr>
            <w:r>
              <w:rPr>
                <w:sz w:val="15"/>
                <w:szCs w:val="15"/>
              </w:rPr>
              <w:t xml:space="preserve">Technology</w:t>
            </w:r>
          </w:p>
        </w:tc>
        <w:tc>
          <w:tcPr>
            <w:tcW w:w="2177" w:type="dxa"/>
          </w:tcPr>
          <w:p>
            <w:pPr>
              <w:pStyle w:val="Compact"/>
              <w:jc w:val="left"/>
              <w:spacing w:before="20" w:after="20" w:line="220" w:lineRule="auto"/>
            </w:pPr>
            <w:r>
              <w:rPr>
                <w:sz w:val="15"/>
                <w:szCs w:val="15"/>
              </w:rPr>
              <w:t xml:space="preserve">None [I]</w:t>
            </w:r>
          </w:p>
        </w:tc>
        <w:tc>
          <w:tcPr>
            <w:tcW w:w="2177" w:type="dxa"/>
          </w:tcPr>
          <w:p>
            <w:pPr>
              <w:pStyle w:val="Compact"/>
              <w:jc w:val="left"/>
              <w:spacing w:before="20" w:after="20" w:line="220" w:lineRule="auto"/>
            </w:pPr>
            <w:r>
              <w:rPr>
                <w:sz w:val="15"/>
                <w:szCs w:val="15"/>
              </w:rPr>
              <w:t xml:space="preserve">Platform and vendor rationalisation, one hosting estate, shared licences, alignment to group technology [D]</w:t>
            </w:r>
          </w:p>
        </w:tc>
        <w:tc>
          <w:tcPr>
            <w:tcW w:w="2177" w:type="dxa"/>
          </w:tcPr>
          <w:p>
            <w:pPr>
              <w:pStyle w:val="Compact"/>
              <w:jc w:val="left"/>
              <w:spacing w:before="20" w:after="20" w:line="220" w:lineRule="auto"/>
            </w:pPr>
            <w:r>
              <w:rPr>
                <w:sz w:val="15"/>
                <w:szCs w:val="15"/>
              </w:rPr>
              <w:t xml:space="preserve">Cloud migration, decommissioning, DevOps throughput [A]</w:t>
            </w:r>
          </w:p>
        </w:tc>
        <w:tc>
          <w:tcPr>
            <w:tcW w:w="2177" w:type="dxa"/>
          </w:tcPr>
          <w:p>
            <w:pPr>
              <w:pStyle w:val="Compact"/>
              <w:jc w:val="left"/>
              <w:spacing w:before="20" w:after="20" w:line="220" w:lineRule="auto"/>
            </w:pPr>
            <w:r>
              <w:rPr>
                <w:sz w:val="15"/>
                <w:szCs w:val="15"/>
              </w:rPr>
              <w:t xml:space="preserve">Less change demand once product versions are cut [A]</w:t>
            </w:r>
          </w:p>
        </w:tc>
        <w:tc>
          <w:tcPr>
            <w:tcW w:w="2177" w:type="dxa"/>
          </w:tcPr>
          <w:p>
            <w:pPr>
              <w:pStyle w:val="Compact"/>
              <w:jc w:val="left"/>
              <w:spacing w:before="20" w:after="20" w:line="220" w:lineRule="auto"/>
            </w:pPr>
            <w:r>
              <w:rPr>
                <w:sz w:val="15"/>
                <w:szCs w:val="15"/>
              </w:rPr>
              <w:t xml:space="preserve">Software licence renegotiation on group volume [A]</w:t>
            </w:r>
          </w:p>
        </w:tc>
        <w:tc>
          <w:tcPr>
            <w:tcW w:w="2177" w:type="dxa"/>
          </w:tcPr>
          <w:p>
            <w:pPr>
              <w:pStyle w:val="Compact"/>
              <w:jc w:val="left"/>
              <w:spacing w:before="20" w:after="20" w:line="220" w:lineRule="auto"/>
            </w:pPr>
            <w:r>
              <w:rPr>
                <w:sz w:val="15"/>
                <w:szCs w:val="15"/>
              </w:rPr>
              <w:t xml:space="preserve">Unused licences and shadow IT [I]</w:t>
            </w:r>
          </w:p>
        </w:tc>
      </w:tr>
      <w:tr>
        <w:tc>
          <w:tcPr>
            <w:tcW w:w="1505" w:type="dxa"/>
          </w:tcPr>
          <w:p>
            <w:pPr>
              <w:pStyle w:val="Compact"/>
              <w:jc w:val="left"/>
              <w:spacing w:before="20" w:after="20" w:line="220" w:lineRule="auto"/>
            </w:pPr>
            <w:r>
              <w:rPr>
                <w:sz w:val="15"/>
                <w:szCs w:val="15"/>
              </w:rPr>
              <w:t xml:space="preserve">Finance, actuarial, risk and compliance</w:t>
            </w:r>
          </w:p>
        </w:tc>
        <w:tc>
          <w:tcPr>
            <w:tcW w:w="2177" w:type="dxa"/>
          </w:tcPr>
          <w:p>
            <w:pPr>
              <w:pStyle w:val="Compact"/>
              <w:jc w:val="left"/>
              <w:spacing w:before="20" w:after="20" w:line="220" w:lineRule="auto"/>
            </w:pPr>
            <w:r>
              <w:rPr>
                <w:sz w:val="15"/>
                <w:szCs w:val="15"/>
              </w:rPr>
              <w:t xml:space="preserve">One actuarial function supporting two heads of actuarial function, control functions shared by intra-group outsourcing, one external audit engagement, one group ORSA process [D]</w:t>
            </w:r>
          </w:p>
        </w:tc>
        <w:tc>
          <w:tcPr>
            <w:tcW w:w="2177" w:type="dxa"/>
          </w:tcPr>
          <w:p>
            <w:pPr>
              <w:pStyle w:val="Compact"/>
              <w:jc w:val="left"/>
              <w:spacing w:before="20" w:after="20" w:line="220" w:lineRule="auto"/>
            </w:pPr>
            <w:r>
              <w:rPr>
                <w:sz w:val="15"/>
                <w:szCs w:val="15"/>
              </w:rPr>
              <w:t xml:space="preserve">Shared finance operations, one IFRS 17 engine, one reporting stack [D]</w:t>
            </w:r>
          </w:p>
        </w:tc>
        <w:tc>
          <w:tcPr>
            <w:tcW w:w="2177" w:type="dxa"/>
          </w:tcPr>
          <w:p>
            <w:pPr>
              <w:pStyle w:val="Compact"/>
              <w:jc w:val="left"/>
              <w:spacing w:before="20" w:after="20" w:line="220" w:lineRule="auto"/>
            </w:pPr>
            <w:r>
              <w:rPr>
                <w:sz w:val="15"/>
                <w:szCs w:val="15"/>
              </w:rPr>
              <w:t xml:space="preserve">Close automation, model automation [A]</w:t>
            </w:r>
          </w:p>
        </w:tc>
        <w:tc>
          <w:tcPr>
            <w:tcW w:w="2177" w:type="dxa"/>
          </w:tcPr>
          <w:p>
            <w:pPr>
              <w:pStyle w:val="Compact"/>
              <w:jc w:val="left"/>
              <w:spacing w:before="20" w:after="20" w:line="220" w:lineRule="auto"/>
            </w:pPr>
            <w:r>
              <w:rPr>
                <w:sz w:val="15"/>
                <w:szCs w:val="15"/>
              </w:rPr>
              <w:t xml:space="preserve">Fewer entity-level reports and returns as licences reduce [D]</w:t>
            </w:r>
          </w:p>
        </w:tc>
        <w:tc>
          <w:tcPr>
            <w:tcW w:w="2177" w:type="dxa"/>
          </w:tcPr>
          <w:p>
            <w:pPr>
              <w:pStyle w:val="Compact"/>
              <w:jc w:val="left"/>
              <w:spacing w:before="20" w:after="20" w:line="220" w:lineRule="auto"/>
            </w:pPr>
            <w:r>
              <w:rPr>
                <w:sz w:val="15"/>
                <w:szCs w:val="15"/>
              </w:rPr>
              <w:t xml:space="preserve">Audit, actuarial consulting and data vendor fees [A]</w:t>
            </w:r>
          </w:p>
        </w:tc>
        <w:tc>
          <w:tcPr>
            <w:tcW w:w="2177" w:type="dxa"/>
          </w:tcPr>
          <w:p>
            <w:pPr>
              <w:pStyle w:val="Compact"/>
              <w:jc w:val="left"/>
              <w:spacing w:before="20" w:after="20" w:line="220" w:lineRule="auto"/>
            </w:pPr>
            <w:r>
              <w:rPr>
                <w:sz w:val="15"/>
                <w:szCs w:val="15"/>
              </w:rPr>
              <w:t xml:space="preserve">Trapped capital: own funds held above target cover in each entity, priced at cost of equity [D]</w:t>
            </w:r>
          </w:p>
        </w:tc>
      </w:tr>
      <w:tr>
        <w:tc>
          <w:tcPr>
            <w:tcW w:w="1505" w:type="dxa"/>
          </w:tcPr>
          <w:p>
            <w:pPr>
              <w:pStyle w:val="Compact"/>
              <w:jc w:val="left"/>
              <w:spacing w:before="20" w:after="20" w:line="220" w:lineRule="auto"/>
            </w:pPr>
            <w:r>
              <w:rPr>
                <w:sz w:val="15"/>
                <w:szCs w:val="15"/>
              </w:rPr>
              <w:t xml:space="preserve">Governance and corporate</w:t>
            </w:r>
          </w:p>
        </w:tc>
        <w:tc>
          <w:tcPr>
            <w:tcW w:w="2177" w:type="dxa"/>
          </w:tcPr>
          <w:p>
            <w:pPr>
              <w:pStyle w:val="Compact"/>
              <w:jc w:val="left"/>
              <w:spacing w:before="20" w:after="20" w:line="220" w:lineRule="auto"/>
            </w:pPr>
            <w:r>
              <w:rPr>
                <w:sz w:val="15"/>
                <w:szCs w:val="15"/>
              </w:rPr>
              <w:t xml:space="preserve">Fewer boards, committees and licences. AIRMS closure in 2025 is the precedent. Dormant and nominee entities wound up [D]</w:t>
            </w:r>
          </w:p>
        </w:tc>
        <w:tc>
          <w:tcPr>
            <w:tcW w:w="2177" w:type="dxa"/>
          </w:tcPr>
          <w:p>
            <w:pPr>
              <w:pStyle w:val="Compact"/>
              <w:jc w:val="left"/>
              <w:spacing w:before="20" w:after="20" w:line="220" w:lineRule="auto"/>
            </w:pPr>
            <w:r>
              <w:rPr>
                <w:sz w:val="15"/>
                <w:szCs w:val="15"/>
              </w:rPr>
              <w:t xml:space="preserve">Shared company secretarial, legal, HR and premises [D]</w:t>
            </w:r>
          </w:p>
        </w:tc>
        <w:tc>
          <w:tcPr>
            <w:tcW w:w="2177" w:type="dxa"/>
          </w:tcPr>
          <w:p>
            <w:pPr>
              <w:pStyle w:val="Compact"/>
              <w:jc w:val="left"/>
              <w:spacing w:before="20" w:after="20" w:line="220" w:lineRule="auto"/>
            </w:pPr>
            <w:r>
              <w:rPr>
                <w:sz w:val="15"/>
                <w:szCs w:val="15"/>
              </w:rPr>
              <w:t xml:space="preserve">Spans and layers in management [A]</w:t>
            </w:r>
          </w:p>
        </w:tc>
        <w:tc>
          <w:tcPr>
            <w:tcW w:w="2177" w:type="dxa"/>
          </w:tcPr>
          <w:p>
            <w:pPr>
              <w:pStyle w:val="Compact"/>
              <w:jc w:val="left"/>
              <w:spacing w:before="20" w:after="20" w:line="220" w:lineRule="auto"/>
            </w:pPr>
            <w:r>
              <w:rPr>
                <w:sz w:val="15"/>
                <w:szCs w:val="15"/>
              </w:rPr>
              <w:t xml:space="preserve">Fewer committees and reporting cycles [A]</w:t>
            </w:r>
          </w:p>
        </w:tc>
        <w:tc>
          <w:tcPr>
            <w:tcW w:w="2177" w:type="dxa"/>
          </w:tcPr>
          <w:p>
            <w:pPr>
              <w:pStyle w:val="Compact"/>
              <w:jc w:val="left"/>
              <w:spacing w:before="20" w:after="20" w:line="220" w:lineRule="auto"/>
            </w:pPr>
            <w:r>
              <w:rPr>
                <w:sz w:val="15"/>
                <w:szCs w:val="15"/>
              </w:rPr>
              <w:t xml:space="preserve">Premises, group insurance and professional fees procurement [A]</w:t>
            </w:r>
          </w:p>
        </w:tc>
        <w:tc>
          <w:tcPr>
            <w:tcW w:w="2177" w:type="dxa"/>
          </w:tcPr>
          <w:p>
            <w:pPr>
              <w:pStyle w:val="Compact"/>
              <w:jc w:val="left"/>
              <w:spacing w:before="20" w:after="20" w:line="220" w:lineRule="auto"/>
            </w:pPr>
            <w:r>
              <w:rPr>
                <w:sz w:val="15"/>
                <w:szCs w:val="15"/>
              </w:rPr>
              <w:t xml:space="preserve">VAT on intra-group recharges, duplicated regulatory levies per licence [D, can be negative]</w:t>
            </w:r>
          </w:p>
        </w:tc>
      </w:tr>
    </w:tbl>
    <w:p>
      <w:pPr>
        <w:pStyle w:val="BodyText"/>
      </w:pPr>
      <w:r>
        <w:t xml:space="preserve">Count: 18 D, 25 A, 11 I. The eleven independent cells are seven leakage cells, one external price cell and the three functions with no structural lever. That is the first finding for the POV: centralisation does not by itself touch leakage, and leakage is often the fastest money.</w:t>
      </w:r>
    </w:p>
    <w:bookmarkEnd w:id="27"/>
    <w:bookmarkStart w:id="28" w:name="X05ef54466072f0cfe444990ccf9a90f5c6342be"/>
    <w:p>
      <w:pPr>
        <w:pStyle w:val="Heading2"/>
      </w:pPr>
      <w:r>
        <w:t xml:space="preserve">6. Underwriter and intermediary treated separately</w:t>
      </w:r>
    </w:p>
    <w:p>
      <w:pPr>
        <w:pStyle w:val="FirstParagraph"/>
      </w:pPr>
      <w:r>
        <w:t xml:space="preserve">The two businesses have different economics and the tree reads differently for each.</w:t>
      </w:r>
    </w:p>
    <w:tbl>
      <w:tblPr>
        <w:tblStyle w:val="Table"/>
        <w:tblLook w:firstRow="1" w:lastRow="0" w:firstColumn="0" w:lastColumn="0" w:noHBand="0" w:noVBand="0" w:val="0020"/>
        <w:jc w:val="start"/>
        <w:tblW w:w="14569" w:type="dxa"/>
        <w:tblLayout w:type="fixed"/>
      </w:tblPr>
      <w:tblGrid>
        <w:gridCol w:w="2185"/>
        <w:gridCol w:w="6192"/>
        <w:gridCol w:w="6192"/>
      </w:tblGrid>
      <w:tr>
        <w:trPr>
          <w:tblHeader w:val="true"/>
        </w:trPr>
        <w:tc>
          <w:tcPr>
            <w:tcW w:w="2185" w:type="dxa"/>
          </w:tcPr>
          <w:p>
            <w:pPr>
              <w:pStyle w:val="Compact"/>
              <w:jc w:val="left"/>
              <w:spacing w:before="20" w:after="20" w:line="220" w:lineRule="auto"/>
            </w:pPr>
            <w:r>
              <w:rPr>
                <w:sz w:val="15"/>
                <w:szCs w:val="15"/>
              </w:rPr>
              <w:t xml:space="preserve">Dimension</w:t>
            </w:r>
          </w:p>
        </w:tc>
        <w:tc>
          <w:tcPr>
            <w:tcW w:w="6192" w:type="dxa"/>
          </w:tcPr>
          <w:p>
            <w:pPr>
              <w:pStyle w:val="Compact"/>
              <w:jc w:val="left"/>
              <w:spacing w:before="20" w:after="20" w:line="220" w:lineRule="auto"/>
            </w:pPr>
            <w:r>
              <w:rPr>
                <w:sz w:val="15"/>
                <w:szCs w:val="15"/>
              </w:rPr>
              <w:t xml:space="preserve">Underwriter (Absa Life, AIC, ARTIC)</w:t>
            </w:r>
          </w:p>
        </w:tc>
        <w:tc>
          <w:tcPr>
            <w:tcW w:w="6192" w:type="dxa"/>
          </w:tcPr>
          <w:p>
            <w:pPr>
              <w:pStyle w:val="Compact"/>
              <w:jc w:val="left"/>
              <w:spacing w:before="20" w:after="20" w:line="220" w:lineRule="auto"/>
            </w:pPr>
            <w:r>
              <w:rPr>
                <w:sz w:val="15"/>
                <w:szCs w:val="15"/>
              </w:rPr>
              <w:t xml:space="preserve">Intermediary and fee businesses (AIFA, Instant Life, AIMS, stockbroking, trust)</w:t>
            </w:r>
          </w:p>
        </w:tc>
      </w:tr>
      <w:tr>
        <w:tc>
          <w:tcPr>
            <w:tcW w:w="2185" w:type="dxa"/>
          </w:tcPr>
          <w:p>
            <w:pPr>
              <w:pStyle w:val="Compact"/>
              <w:jc w:val="left"/>
              <w:spacing w:before="20" w:after="20" w:line="220" w:lineRule="auto"/>
            </w:pPr>
            <w:r>
              <w:rPr>
                <w:sz w:val="15"/>
                <w:szCs w:val="15"/>
              </w:rPr>
              <w:t xml:space="preserve">Revenue</w:t>
            </w:r>
          </w:p>
        </w:tc>
        <w:tc>
          <w:tcPr>
            <w:tcW w:w="6192" w:type="dxa"/>
          </w:tcPr>
          <w:p>
            <w:pPr>
              <w:pStyle w:val="Compact"/>
              <w:jc w:val="left"/>
              <w:spacing w:before="20" w:after="20" w:line="220" w:lineRule="auto"/>
            </w:pPr>
            <w:r>
              <w:rPr>
                <w:sz w:val="15"/>
                <w:szCs w:val="15"/>
              </w:rPr>
              <w:t xml:space="preserve">Insurance revenue under IFRS 17</w:t>
            </w:r>
          </w:p>
        </w:tc>
        <w:tc>
          <w:tcPr>
            <w:tcW w:w="6192" w:type="dxa"/>
          </w:tcPr>
          <w:p>
            <w:pPr>
              <w:pStyle w:val="Compact"/>
              <w:jc w:val="left"/>
              <w:spacing w:before="20" w:after="20" w:line="220" w:lineRule="auto"/>
            </w:pPr>
            <w:r>
              <w:rPr>
                <w:sz w:val="15"/>
                <w:szCs w:val="15"/>
              </w:rPr>
              <w:t xml:space="preserve">Commission and fees earned, including from third-party insurers</w:t>
            </w:r>
          </w:p>
        </w:tc>
      </w:tr>
      <w:tr>
        <w:tc>
          <w:tcPr>
            <w:tcW w:w="2185" w:type="dxa"/>
          </w:tcPr>
          <w:p>
            <w:pPr>
              <w:pStyle w:val="Compact"/>
              <w:jc w:val="left"/>
              <w:spacing w:before="20" w:after="20" w:line="220" w:lineRule="auto"/>
            </w:pPr>
            <w:r>
              <w:rPr>
                <w:sz w:val="15"/>
                <w:szCs w:val="15"/>
              </w:rPr>
              <w:t xml:space="preserve">Pool 1</w:t>
            </w:r>
          </w:p>
        </w:tc>
        <w:tc>
          <w:tcPr>
            <w:tcW w:w="6192" w:type="dxa"/>
          </w:tcPr>
          <w:p>
            <w:pPr>
              <w:pStyle w:val="Compact"/>
              <w:jc w:val="left"/>
              <w:spacing w:before="20" w:after="20" w:line="220" w:lineRule="auto"/>
            </w:pPr>
            <w:r>
              <w:rPr>
                <w:sz w:val="15"/>
                <w:szCs w:val="15"/>
              </w:rPr>
              <w:t xml:space="preserve">Present, largest</w:t>
            </w:r>
          </w:p>
        </w:tc>
        <w:tc>
          <w:tcPr>
            <w:tcW w:w="6192" w:type="dxa"/>
          </w:tcPr>
          <w:p>
            <w:pPr>
              <w:pStyle w:val="Compact"/>
              <w:jc w:val="left"/>
              <w:spacing w:before="20" w:after="20" w:line="220" w:lineRule="auto"/>
            </w:pPr>
            <w:r>
              <w:rPr>
                <w:sz w:val="15"/>
                <w:szCs w:val="15"/>
              </w:rPr>
              <w:t xml:space="preserve">Absent</w:t>
            </w:r>
          </w:p>
        </w:tc>
      </w:tr>
      <w:tr>
        <w:tc>
          <w:tcPr>
            <w:tcW w:w="2185" w:type="dxa"/>
          </w:tcPr>
          <w:p>
            <w:pPr>
              <w:pStyle w:val="Compact"/>
              <w:jc w:val="left"/>
              <w:spacing w:before="20" w:after="20" w:line="220" w:lineRule="auto"/>
            </w:pPr>
            <w:r>
              <w:rPr>
                <w:sz w:val="15"/>
                <w:szCs w:val="15"/>
              </w:rPr>
              <w:t xml:space="preserve">Pool 2</w:t>
            </w:r>
          </w:p>
        </w:tc>
        <w:tc>
          <w:tcPr>
            <w:tcW w:w="6192" w:type="dxa"/>
          </w:tcPr>
          <w:p>
            <w:pPr>
              <w:pStyle w:val="Compact"/>
              <w:jc w:val="left"/>
              <w:spacing w:before="20" w:after="20" w:line="220" w:lineRule="auto"/>
            </w:pPr>
            <w:r>
              <w:rPr>
                <w:sz w:val="15"/>
                <w:szCs w:val="15"/>
              </w:rPr>
              <w:t xml:space="preserve">Commission paid out, including to AIFA and the bank</w:t>
            </w:r>
          </w:p>
        </w:tc>
        <w:tc>
          <w:tcPr>
            <w:tcW w:w="6192" w:type="dxa"/>
          </w:tcPr>
          <w:p>
            <w:pPr>
              <w:pStyle w:val="Compact"/>
              <w:jc w:val="left"/>
              <w:spacing w:before="20" w:after="20" w:line="220" w:lineRule="auto"/>
            </w:pPr>
            <w:r>
              <w:rPr>
                <w:sz w:val="15"/>
                <w:szCs w:val="15"/>
              </w:rPr>
              <w:t xml:space="preserve">Adviser remuneration is the core cost. Commission received is revenue</w:t>
            </w:r>
          </w:p>
        </w:tc>
      </w:tr>
      <w:tr>
        <w:tc>
          <w:tcPr>
            <w:tcW w:w="2185" w:type="dxa"/>
          </w:tcPr>
          <w:p>
            <w:pPr>
              <w:pStyle w:val="Compact"/>
              <w:jc w:val="left"/>
              <w:spacing w:before="20" w:after="20" w:line="220" w:lineRule="auto"/>
            </w:pPr>
            <w:r>
              <w:rPr>
                <w:sz w:val="15"/>
                <w:szCs w:val="15"/>
              </w:rPr>
              <w:t xml:space="preserve">Pool 3</w:t>
            </w:r>
          </w:p>
        </w:tc>
        <w:tc>
          <w:tcPr>
            <w:tcW w:w="6192" w:type="dxa"/>
          </w:tcPr>
          <w:p>
            <w:pPr>
              <w:pStyle w:val="Compact"/>
              <w:jc w:val="left"/>
              <w:spacing w:before="20" w:after="20" w:line="220" w:lineRule="auto"/>
            </w:pPr>
            <w:r>
              <w:rPr>
                <w:sz w:val="15"/>
                <w:szCs w:val="15"/>
              </w:rPr>
              <w:t xml:space="preserve">Attributable and non-attributable</w:t>
            </w:r>
          </w:p>
        </w:tc>
        <w:tc>
          <w:tcPr>
            <w:tcW w:w="6192" w:type="dxa"/>
          </w:tcPr>
          <w:p>
            <w:pPr>
              <w:pStyle w:val="Compact"/>
              <w:jc w:val="left"/>
              <w:spacing w:before="20" w:after="20" w:line="220" w:lineRule="auto"/>
            </w:pPr>
            <w:r>
              <w:rPr>
                <w:sz w:val="15"/>
                <w:szCs w:val="15"/>
              </w:rPr>
              <w:t xml:space="preserve">Fully non-attributable, mostly staff</w:t>
            </w:r>
          </w:p>
        </w:tc>
      </w:tr>
      <w:tr>
        <w:tc>
          <w:tcPr>
            <w:tcW w:w="2185" w:type="dxa"/>
          </w:tcPr>
          <w:p>
            <w:pPr>
              <w:pStyle w:val="Compact"/>
              <w:jc w:val="left"/>
              <w:spacing w:before="20" w:after="20" w:line="220" w:lineRule="auto"/>
            </w:pPr>
            <w:r>
              <w:rPr>
                <w:sz w:val="15"/>
                <w:szCs w:val="15"/>
              </w:rPr>
              <w:t xml:space="preserve">Pool 4</w:t>
            </w:r>
          </w:p>
        </w:tc>
        <w:tc>
          <w:tcPr>
            <w:tcW w:w="6192" w:type="dxa"/>
          </w:tcPr>
          <w:p>
            <w:pPr>
              <w:pStyle w:val="Compact"/>
              <w:jc w:val="left"/>
              <w:spacing w:before="20" w:after="20" w:line="220" w:lineRule="auto"/>
            </w:pPr>
            <w:r>
              <w:rPr>
                <w:sz w:val="15"/>
                <w:szCs w:val="15"/>
              </w:rPr>
              <w:t xml:space="preserve">Shareholder and policyholder mandates</w:t>
            </w:r>
          </w:p>
        </w:tc>
        <w:tc>
          <w:tcPr>
            <w:tcW w:w="6192" w:type="dxa"/>
          </w:tcPr>
          <w:p>
            <w:pPr>
              <w:pStyle w:val="Compact"/>
              <w:jc w:val="left"/>
              <w:spacing w:before="20" w:after="20" w:line="220" w:lineRule="auto"/>
            </w:pPr>
            <w:r>
              <w:rPr>
                <w:sz w:val="15"/>
                <w:szCs w:val="15"/>
              </w:rPr>
              <w:t xml:space="preserve">Platform and custody fees</w:t>
            </w:r>
          </w:p>
        </w:tc>
      </w:tr>
      <w:tr>
        <w:tc>
          <w:tcPr>
            <w:tcW w:w="2185" w:type="dxa"/>
          </w:tcPr>
          <w:p>
            <w:pPr>
              <w:pStyle w:val="Compact"/>
              <w:jc w:val="left"/>
              <w:spacing w:before="20" w:after="20" w:line="220" w:lineRule="auto"/>
            </w:pPr>
            <w:r>
              <w:rPr>
                <w:sz w:val="15"/>
                <w:szCs w:val="15"/>
              </w:rPr>
              <w:t xml:space="preserve">Pool 5</w:t>
            </w:r>
          </w:p>
        </w:tc>
        <w:tc>
          <w:tcPr>
            <w:tcW w:w="6192" w:type="dxa"/>
          </w:tcPr>
          <w:p>
            <w:pPr>
              <w:pStyle w:val="Compact"/>
              <w:jc w:val="left"/>
              <w:spacing w:before="20" w:after="20" w:line="220" w:lineRule="auto"/>
            </w:pPr>
            <w:r>
              <w:rPr>
                <w:sz w:val="15"/>
                <w:szCs w:val="15"/>
              </w:rPr>
              <w:t xml:space="preserve">SCR per entity, two boards, two heads of actuarial function</w:t>
            </w:r>
          </w:p>
        </w:tc>
        <w:tc>
          <w:tcPr>
            <w:tcW w:w="6192" w:type="dxa"/>
          </w:tcPr>
          <w:p>
            <w:pPr>
              <w:pStyle w:val="Compact"/>
              <w:jc w:val="left"/>
              <w:spacing w:before="20" w:after="20" w:line="220" w:lineRule="auto"/>
            </w:pPr>
            <w:r>
              <w:rPr>
                <w:sz w:val="15"/>
                <w:szCs w:val="15"/>
              </w:rPr>
              <w:t xml:space="preserve">FAIS capital only. Key individuals and compliance officers per FSP</w:t>
            </w:r>
          </w:p>
        </w:tc>
      </w:tr>
      <w:tr>
        <w:tc>
          <w:tcPr>
            <w:tcW w:w="2185" w:type="dxa"/>
          </w:tcPr>
          <w:p>
            <w:pPr>
              <w:pStyle w:val="Compact"/>
              <w:jc w:val="left"/>
              <w:spacing w:before="20" w:after="20" w:line="220" w:lineRule="auto"/>
            </w:pPr>
            <w:r>
              <w:rPr>
                <w:sz w:val="15"/>
                <w:szCs w:val="15"/>
              </w:rPr>
              <w:t xml:space="preserve">Price lever</w:t>
            </w:r>
          </w:p>
        </w:tc>
        <w:tc>
          <w:tcPr>
            <w:tcW w:w="6192" w:type="dxa"/>
          </w:tcPr>
          <w:p>
            <w:pPr>
              <w:pStyle w:val="Compact"/>
              <w:jc w:val="left"/>
              <w:spacing w:before="20" w:after="20" w:line="220" w:lineRule="auto"/>
            </w:pPr>
            <w:r>
              <w:rPr>
                <w:sz w:val="15"/>
                <w:szCs w:val="15"/>
              </w:rPr>
              <w:t xml:space="preserve">Cost side: reinsurance, suppliers</w:t>
            </w:r>
          </w:p>
        </w:tc>
        <w:tc>
          <w:tcPr>
            <w:tcW w:w="6192" w:type="dxa"/>
          </w:tcPr>
          <w:p>
            <w:pPr>
              <w:pStyle w:val="Compact"/>
              <w:jc w:val="left"/>
              <w:spacing w:before="20" w:after="20" w:line="220" w:lineRule="auto"/>
            </w:pPr>
            <w:r>
              <w:rPr>
                <w:sz w:val="15"/>
                <w:szCs w:val="15"/>
              </w:rPr>
              <w:t xml:space="preserve">Revenue side: binder and commission terms with third-party insurers. This is a margin lever, not a cost lever, and is shown separately</w:t>
            </w:r>
          </w:p>
        </w:tc>
      </w:tr>
      <w:tr>
        <w:tc>
          <w:tcPr>
            <w:tcW w:w="2185" w:type="dxa"/>
          </w:tcPr>
          <w:p>
            <w:pPr>
              <w:pStyle w:val="Compact"/>
              <w:jc w:val="left"/>
              <w:spacing w:before="20" w:after="20" w:line="220" w:lineRule="auto"/>
            </w:pPr>
            <w:r>
              <w:rPr>
                <w:sz w:val="15"/>
                <w:szCs w:val="15"/>
              </w:rPr>
              <w:t xml:space="preserve">Structural lever</w:t>
            </w:r>
          </w:p>
        </w:tc>
        <w:tc>
          <w:tcPr>
            <w:tcW w:w="6192" w:type="dxa"/>
          </w:tcPr>
          <w:p>
            <w:pPr>
              <w:pStyle w:val="Compact"/>
              <w:jc w:val="left"/>
              <w:spacing w:before="20" w:after="20" w:line="220" w:lineRule="auto"/>
            </w:pPr>
            <w:r>
              <w:rPr>
                <w:sz w:val="15"/>
                <w:szCs w:val="15"/>
              </w:rPr>
              <w:t xml:space="preserve">Licence and board consolidation within the limits in section 7</w:t>
            </w:r>
          </w:p>
        </w:tc>
        <w:tc>
          <w:tcPr>
            <w:tcW w:w="6192" w:type="dxa"/>
          </w:tcPr>
          <w:p>
            <w:pPr>
              <w:pStyle w:val="Compact"/>
              <w:jc w:val="left"/>
              <w:spacing w:before="20" w:after="20" w:line="220" w:lineRule="auto"/>
            </w:pPr>
            <w:r>
              <w:rPr>
                <w:sz w:val="15"/>
                <w:szCs w:val="15"/>
              </w:rPr>
              <w:t xml:space="preserve">FSP register consolidation, which is lighter regulation and faster</w:t>
            </w:r>
          </w:p>
        </w:tc>
      </w:tr>
    </w:tbl>
    <w:p>
      <w:pPr>
        <w:pStyle w:val="BodyText"/>
      </w:pPr>
      <w:r>
        <w:t xml:space="preserve">Phase 2 will size each side on its own and then show the intra-group flow between them (commission from the underwriters to AIFA and to Absa Bank) gross and net.</w:t>
      </w:r>
    </w:p>
    <w:bookmarkEnd w:id="28"/>
    <w:bookmarkStart w:id="29" w:name="what-does-not-centralise-cleanly-and-why"/>
    <w:p>
      <w:pPr>
        <w:pStyle w:val="Heading2"/>
      </w:pPr>
      <w:r>
        <w:t xml:space="preserve">7. What does not centralise cleanly and why</w:t>
      </w:r>
    </w:p>
    <w:p>
      <w:pPr>
        <w:pStyle w:val="FirstParagraph"/>
      </w:pPr>
      <w:r>
        <w:t xml:space="preserve">Seven constraints bind. Each is a fact about the regime, not a judgement, and each shapes the structural column.</w:t>
      </w:r>
    </w:p>
    <w:p>
      <w:pPr>
        <w:pStyle w:val="BodyText"/>
      </w:pPr>
      <w:r>
        <w:t xml:space="preserve">Life and non-life cannot share a licence. The PA licenses life and non-life insurance separately, and the register of insurers shows composite licences only for microinsurers and reinsurers (Fact, PA Selected South African insurance sector data, December 2025 p4). Absa Life and AIC therefore remain two insurers with two boards, two heads of actuarial function, two external audits, two ORSAs and two solvency capital requirements. The AIC penalty of October 2025 shows that writing a class outside a licence is a contravention, so product cannot be moved between balance sheets without licence amendment.</w:t>
      </w:r>
    </w:p>
    <w:p>
      <w:pPr>
        <w:pStyle w:val="BodyText"/>
      </w:pPr>
      <w:r>
        <w:t xml:space="preserve">Control functions may be shared but accountability may not. Each insurer’s board remains responsible for its risk, compliance, actuarial and internal audit functions. Sharing is possible as intra-group outsourcing under the governance and outsourcing standards, with board approval and PA notification, and the regulator can require a function to be brought back in-house. Shared services therefore reduce headcount but not the number of accountable officers.</w:t>
      </w:r>
    </w:p>
    <w:p>
      <w:pPr>
        <w:pStyle w:val="BodyText"/>
      </w:pPr>
      <w:r>
        <w:t xml:space="preserve">FAIS licences are entity-bound. Each FSP needs its own key individuals, compliance officer and representative register. Consolidating Instant Life, AIMS and the stockbroker into fewer FSPs means re-registering representatives and matching licence categories. It is feasible, but it is a regulatory project, not an organisational one.</w:t>
      </w:r>
    </w:p>
    <w:p>
      <w:pPr>
        <w:pStyle w:val="BodyText"/>
      </w:pPr>
      <w:r>
        <w:t xml:space="preserve">Policyholder transfers need regulatory approval. Moving policies between insurers, for instance from ARTIC to AIC or between cells, requires a statutory transfer process. Absa has done this before, moving policies from Guardrisk Life to Absa Life in 2020 and 2021 (Fact, Absa transfer notices, 16 January 2020 and 27 January 2021). It takes time and actuarial and legal cost.</w:t>
      </w:r>
    </w:p>
    <w:p>
      <w:pPr>
        <w:pStyle w:val="BodyText"/>
      </w:pPr>
      <w:r>
        <w:t xml:space="preserve">The cell captive is ring-fenced. ARTIC is a separate licence with its own conditions and solvency cover. Cells carry their own capital. Collapsing it into AIC is a licence and transfer decision for the PA, not an operating choice.</w:t>
      </w:r>
    </w:p>
    <w:p>
      <w:pPr>
        <w:pStyle w:val="BodyText"/>
      </w:pPr>
      <w:r>
        <w:t xml:space="preserve">Binder and outsourcing rules limit how distribution fees are set. Binder fees are capped and conditioned by regulation, and material outsourcing arrangements carry notification and oversight requirements. Any repricing of the bank distribution fee or of third-party binders must sit inside those caps, which is why the price lever in distribution is adjacent rather than direct.</w:t>
      </w:r>
    </w:p>
    <w:p>
      <w:pPr>
        <w:pStyle w:val="BodyText"/>
      </w:pPr>
      <w:r>
        <w:t xml:space="preserve">VAT can move the wrong way. South Africa has no group VAT registration, and financial services are largely exempt, so VAT charged on intra-group recharges is mostly irrecoverable. Centralising services into one entity and recharging the others can create VAT cost that did not exist when each entity employed its own staff. This needs tax input before any shared service case is signed off, and it is why the leakage cell in governance is marked as possibly negative.</w:t>
      </w:r>
    </w:p>
    <w:p>
      <w:pPr>
        <w:pStyle w:val="BodyText"/>
      </w:pPr>
      <w:r>
        <w:t xml:space="preserve">Two further perimeter constraints. In-country insurance and bancassurance regulation in Kenya and the other markets keeps distribution staff and licences local, so only design, analytics and vendor terms can be centralised for Rest of Africa. And data sharing between the bank and the insurers is subject to POPIA, which constrains how far a single customer and lead platform can go.</w:t>
      </w:r>
    </w:p>
    <w:bookmarkEnd w:id="29"/>
    <w:bookmarkStart w:id="30" w:name="X16e75231ce0e913686fa7fc5d1dc498372031d6"/>
    <w:p>
      <w:pPr>
        <w:pStyle w:val="Heading2"/>
      </w:pPr>
      <w:r>
        <w:t xml:space="preserve">8. One worked example per lever, with the metric that would evidence it</w:t>
      </w:r>
    </w:p>
    <w:p>
      <w:pPr>
        <w:pStyle w:val="FirstParagraph"/>
      </w:pPr>
      <w:r>
        <w:t xml:space="preserve">Structural. The closure of the AIRMS licence in 2025 removed one board, one head of actuarial function, one audit and one set of returns. The same logic applies to ARTIC. The metric is cost per licence (board fees, control function cost, audit fee, levies) and, for trapped capital, own funds above target cover in each entity multiplied by the cost of equity. The FY25 solo covers of 1.51, 1.81 and 2.11 against a group cover of 1.49 (Fact, AFS FY25 p240) show capital is distributed unevenly across the three South African insurers. Whether that is trapped depends on each board’s target, which is management information.</w:t>
      </w:r>
    </w:p>
    <w:p>
      <w:pPr>
        <w:pStyle w:val="BodyText"/>
      </w:pPr>
      <w:r>
        <w:t xml:space="preserve">Consolidation. One policy administration platform for Absa Life, Instant Life and AIC in place of separate stacks. The metric is administration cost per in-force policy, and the number of core platforms and vendors before and after.</w:t>
      </w:r>
    </w:p>
    <w:p>
      <w:pPr>
        <w:pStyle w:val="BodyText"/>
      </w:pPr>
      <w:r>
        <w:t xml:space="preserve">Productivity. Straight-through processing of new business and low-value claims. The metrics are the straight-through rate, cost per transaction and, for distribution, annual premium equivalent per adviser. Spans and layers are evidenced by the ratio of managers to staff and the number of layers from chief executive to front line.</w:t>
      </w:r>
    </w:p>
    <w:p>
      <w:pPr>
        <w:pStyle w:val="BodyText"/>
      </w:pPr>
      <w:r>
        <w:t xml:space="preserve">Demand. Failure demand in the contact centre. The metric is the share of contacts that are repeat, avoidable or caused by an upstream error, and the number of product versions and rate tables in force.</w:t>
      </w:r>
    </w:p>
    <w:p>
      <w:pPr>
        <w:pStyle w:val="BodyText"/>
      </w:pPr>
      <w:r>
        <w:t xml:space="preserve">Price. Reinsurance placed once for the insurance group rather than entity by entity. The metric is net reinsurance cost as a share of insurance revenue, and for suppliers the unit price per repair, assessment or licence before and after.</w:t>
      </w:r>
    </w:p>
    <w:p>
      <w:pPr>
        <w:pStyle w:val="BodyText"/>
      </w:pPr>
      <w:r>
        <w:t xml:space="preserve">Leakage. A claims leakage audit on a sample of paid claims. The metric is leakage as a share of claims paid, split into overpayment, fraud and missed recovery. For premium collection the metric is the share of debit orders that fail and are not recovered within the month.</w:t>
      </w:r>
    </w:p>
    <w:bookmarkEnd w:id="30"/>
    <w:bookmarkStart w:id="31" w:name="mece-test-and-its-result"/>
    <w:p>
      <w:pPr>
        <w:pStyle w:val="Heading2"/>
      </w:pPr>
      <w:r>
        <w:t xml:space="preserve">9. MECE test and its result</w:t>
      </w:r>
    </w:p>
    <w:p>
      <w:pPr>
        <w:pStyle w:val="FirstParagraph"/>
      </w:pPr>
      <w:r>
        <w:t xml:space="preserve">The test was run twice, once on each axis and once across the grid.</w:t>
      </w:r>
    </w:p>
    <w:p>
      <w:pPr>
        <w:pStyle w:val="BodyText"/>
      </w:pPr>
      <w:r>
        <w:t xml:space="preserve">On the Level 1 axis, each IFRS 17 expense line was assigned to one pool (section 3). Two lines could have landed in two pools. Claims handling cost is attributable expense under IFRS 17 and sits with claims, but it is operating expense by nature, so it goes to pool 3. Reinsurance was named in the client’s pool 5 and also under the price lever, so it is measured once in pool 1 and worked by the structural and price levers. Both resolutions are recorded in the table.</w:t>
      </w:r>
    </w:p>
    <w:p>
      <w:pPr>
        <w:pStyle w:val="BodyText"/>
      </w:pPr>
      <w:r>
        <w:t xml:space="preserve">On the Level 2 axis, the nine functions were checked against the segment description of Insurance SA (AFS FY25 p161) and the segment changes note (AFS FY25 p63) and against the IFRS 17 attributable expense categories. Reinsurance structuring sits in product and pricing, not claims. Collections sit in policy administration, not distribution. Both are stated in section 4.</w:t>
      </w:r>
    </w:p>
    <w:p>
      <w:pPr>
        <w:pStyle w:val="BodyText"/>
      </w:pPr>
      <w:r>
        <w:t xml:space="preserve">On the Level 3 axis, the six levers were derived from the volume and unit cost identity in section 2, with the structural and consolidation boundary rule applied. One residual overlap remained: a fee renegotiation that is only possible because volumes have been combined is both price and consolidation. The rule adopted is that the saving is counted as price and the enabler is recorded as consolidation, so it appears once.</w:t>
      </w:r>
    </w:p>
    <w:p>
      <w:pPr>
        <w:pStyle w:val="BodyText"/>
      </w:pPr>
      <w:r>
        <w:t xml:space="preserve">Across the grid, three gaps were found and closed. Credit impairment on premium debtors had no home and now sits in pool 3 under leakage. Depreciation and amortisation had no home and now sit in pool 3 under technology and premises. Cost of capital is not an accounting cost and would have inflated the addressable base, so it is reported in pool 5 and kept out of the accounting total.</w:t>
      </w:r>
    </w:p>
    <w:p>
      <w:pPr>
        <w:pStyle w:val="BodyText"/>
      </w:pPr>
      <w:r>
        <w:t xml:space="preserve">Two perimeter gaps remain open for the partner. The bank-side cost of bancassurance distribution (branch and digital staff who sell insurance) sits in Absa Bank, not in AFS. Fees the underwriters pay the bank are intra-group and net to nil at group level. The POV must decide whether the cost base is AFS as a set of legal entities or bancassurance as an economic activity. The tree works for either, but the addressable base differs materially between them.</w:t>
      </w:r>
    </w:p>
    <w:bookmarkEnd w:id="31"/>
    <w:bookmarkStart w:id="35" w:name="Xcb56b4f9265c36cd2074b7769a666f5195bde88"/>
    <w:p>
      <w:pPr>
        <w:pStyle w:val="Heading2"/>
      </w:pPr>
      <w:r>
        <w:t xml:space="preserve">10. Data availability scan for Phases 2 and 3</w:t>
      </w:r>
    </w:p>
    <w:bookmarkStart w:id="32" w:name="afs-cost-structure-phase-2"/>
    <w:p>
      <w:pPr>
        <w:pStyle w:val="Heading3"/>
      </w:pPr>
      <w:r>
        <w:t xml:space="preserve">10.1 AFS cost structure (Phase 2)</w:t>
      </w:r>
    </w:p>
    <w:tbl>
      <w:tblPr>
        <w:tblStyle w:val="Table"/>
        <w:tblLook w:firstRow="1" w:lastRow="0" w:firstColumn="0" w:lastColumn="0" w:noHBand="0" w:noVBand="0" w:val="0020"/>
        <w:jc w:val="start"/>
        <w:tblW w:w="14568" w:type="dxa"/>
        <w:tblLayout w:type="fixed"/>
      </w:tblPr>
      <w:tblGrid>
        <w:gridCol w:w="3642"/>
        <w:gridCol w:w="3642"/>
        <w:gridCol w:w="3642"/>
        <w:gridCol w:w="3642"/>
      </w:tblGrid>
      <w:tr>
        <w:trPr>
          <w:tblHeader w:val="true"/>
        </w:trPr>
        <w:tc>
          <w:tcPr>
            <w:tcW w:w="3642" w:type="dxa"/>
          </w:tcPr>
          <w:p>
            <w:pPr>
              <w:pStyle w:val="Compact"/>
              <w:jc w:val="left"/>
              <w:spacing w:before="20" w:after="20" w:line="220" w:lineRule="auto"/>
            </w:pPr>
            <w:r>
              <w:rPr>
                <w:sz w:val="15"/>
                <w:szCs w:val="15"/>
              </w:rPr>
              <w:t xml:space="preserve">Data need</w:t>
            </w:r>
          </w:p>
        </w:tc>
        <w:tc>
          <w:tcPr>
            <w:tcW w:w="3642" w:type="dxa"/>
          </w:tcPr>
          <w:p>
            <w:pPr>
              <w:pStyle w:val="Compact"/>
              <w:jc w:val="left"/>
              <w:spacing w:before="20" w:after="20" w:line="220" w:lineRule="auto"/>
            </w:pPr>
            <w:r>
              <w:rPr>
                <w:sz w:val="15"/>
                <w:szCs w:val="15"/>
              </w:rPr>
              <w:t xml:space="preserve">Best public source</w:t>
            </w:r>
          </w:p>
        </w:tc>
        <w:tc>
          <w:tcPr>
            <w:tcW w:w="3642" w:type="dxa"/>
          </w:tcPr>
          <w:p>
            <w:pPr>
              <w:pStyle w:val="Compact"/>
              <w:jc w:val="left"/>
              <w:spacing w:before="20" w:after="20" w:line="220" w:lineRule="auto"/>
            </w:pPr>
            <w:r>
              <w:rPr>
                <w:sz w:val="15"/>
                <w:szCs w:val="15"/>
              </w:rPr>
              <w:t xml:space="preserve">Availability</w:t>
            </w:r>
          </w:p>
        </w:tc>
        <w:tc>
          <w:tcPr>
            <w:tcW w:w="3642" w:type="dxa"/>
          </w:tcPr>
          <w:p>
            <w:pPr>
              <w:pStyle w:val="Compact"/>
              <w:jc w:val="left"/>
              <w:spacing w:before="20" w:after="20" w:line="220" w:lineRule="auto"/>
            </w:pPr>
            <w:r>
              <w:rPr>
                <w:sz w:val="15"/>
                <w:szCs w:val="15"/>
              </w:rPr>
              <w:t xml:space="preserve">What it gives and what it does not</w:t>
            </w:r>
          </w:p>
        </w:tc>
      </w:tr>
      <w:tr>
        <w:tc>
          <w:tcPr>
            <w:tcW w:w="3642" w:type="dxa"/>
          </w:tcPr>
          <w:p>
            <w:pPr>
              <w:pStyle w:val="Compact"/>
              <w:jc w:val="left"/>
              <w:spacing w:before="20" w:after="20" w:line="220" w:lineRule="auto"/>
            </w:pPr>
            <w:r>
              <w:rPr>
                <w:sz w:val="15"/>
                <w:szCs w:val="15"/>
              </w:rPr>
              <w:t xml:space="preserve">Insurance revenue and insurance service expenses, life and non-life, three years plus interim</w:t>
            </w:r>
          </w:p>
        </w:tc>
        <w:tc>
          <w:tcPr>
            <w:tcW w:w="3642" w:type="dxa"/>
          </w:tcPr>
          <w:p>
            <w:pPr>
              <w:pStyle w:val="Compact"/>
              <w:jc w:val="left"/>
              <w:spacing w:before="20" w:after="20" w:line="220" w:lineRule="auto"/>
            </w:pPr>
            <w:r>
              <w:rPr>
                <w:sz w:val="15"/>
                <w:szCs w:val="15"/>
              </w:rPr>
              <w:t xml:space="preserve">Absa Group AFS FY23, FY24, FY25 note 8 and note 27; interim SENS June 2026</w:t>
            </w:r>
          </w:p>
        </w:tc>
        <w:tc>
          <w:tcPr>
            <w:tcW w:w="3642" w:type="dxa"/>
          </w:tcPr>
          <w:p>
            <w:pPr>
              <w:pStyle w:val="Compact"/>
              <w:jc w:val="left"/>
              <w:spacing w:before="20" w:after="20" w:line="220" w:lineRule="auto"/>
            </w:pPr>
            <w:r>
              <w:rPr>
                <w:sz w:val="15"/>
                <w:szCs w:val="15"/>
              </w:rPr>
              <w:t xml:space="preserve">Available, downloaded</w:t>
            </w:r>
          </w:p>
        </w:tc>
        <w:tc>
          <w:tcPr>
            <w:tcW w:w="3642" w:type="dxa"/>
          </w:tcPr>
          <w:p>
            <w:pPr>
              <w:pStyle w:val="Compact"/>
              <w:jc w:val="left"/>
              <w:spacing w:before="20" w:after="20" w:line="220" w:lineRule="auto"/>
            </w:pPr>
            <w:r>
              <w:rPr>
                <w:sz w:val="15"/>
                <w:szCs w:val="15"/>
              </w:rPr>
              <w:t xml:space="preserve">Group level, includes Kenya and the sold entities. FY25: revenue R11 678m, life R6 121m, non-life R5 557m (Fact, AFS FY25 p117). Does not split South Africa from Africa Regions</w:t>
            </w:r>
          </w:p>
        </w:tc>
      </w:tr>
      <w:tr>
        <w:tc>
          <w:tcPr>
            <w:tcW w:w="3642" w:type="dxa"/>
          </w:tcPr>
          <w:p>
            <w:pPr>
              <w:pStyle w:val="Compact"/>
              <w:jc w:val="left"/>
              <w:spacing w:before="20" w:after="20" w:line="220" w:lineRule="auto"/>
            </w:pPr>
            <w:r>
              <w:rPr>
                <w:sz w:val="15"/>
                <w:szCs w:val="15"/>
              </w:rPr>
              <w:t xml:space="preserve">Insurance SA segment series</w:t>
            </w:r>
          </w:p>
        </w:tc>
        <w:tc>
          <w:tcPr>
            <w:tcW w:w="3642" w:type="dxa"/>
          </w:tcPr>
          <w:p>
            <w:pPr>
              <w:pStyle w:val="Compact"/>
              <w:jc w:val="left"/>
              <w:spacing w:before="20" w:after="20" w:line="220" w:lineRule="auto"/>
            </w:pPr>
            <w:r>
              <w:rPr>
                <w:sz w:val="15"/>
                <w:szCs w:val="15"/>
              </w:rPr>
              <w:t xml:space="preserve">Results booklets (full SENS) FY23 to FY25 and 1H24 to 1H26; investor presentations</w:t>
            </w:r>
          </w:p>
        </w:tc>
        <w:tc>
          <w:tcPr>
            <w:tcW w:w="3642" w:type="dxa"/>
          </w:tcPr>
          <w:p>
            <w:pPr>
              <w:pStyle w:val="Compact"/>
              <w:jc w:val="left"/>
              <w:spacing w:before="20" w:after="20" w:line="220" w:lineRule="auto"/>
            </w:pPr>
            <w:r>
              <w:rPr>
                <w:sz w:val="15"/>
                <w:szCs w:val="15"/>
              </w:rPr>
              <w:t xml:space="preserve">Available for 1H25, FY25 and 1H26, downloaded. FY23 and FY24 booklets to be located</w:t>
            </w:r>
          </w:p>
        </w:tc>
        <w:tc>
          <w:tcPr>
            <w:tcW w:w="3642" w:type="dxa"/>
          </w:tcPr>
          <w:p>
            <w:pPr>
              <w:pStyle w:val="Compact"/>
              <w:jc w:val="left"/>
              <w:spacing w:before="20" w:after="20" w:line="220" w:lineRule="auto"/>
            </w:pPr>
            <w:r>
              <w:rPr>
                <w:sz w:val="15"/>
                <w:szCs w:val="15"/>
              </w:rPr>
              <w:t xml:space="preserve">Insurance SA headline earnings, Life and Non-life profit, PPB insurance revenue and service expenses (FY25 R11 590m and R8 957m, Fact, 1H26 SENS p43). Derived: Africa Regions insurance revenue equals group less PPB, R11 678m less R11 590m. Does not give Insurance SA operating expenses</w:t>
            </w:r>
          </w:p>
        </w:tc>
      </w:tr>
      <w:tr>
        <w:tc>
          <w:tcPr>
            <w:tcW w:w="3642" w:type="dxa"/>
          </w:tcPr>
          <w:p>
            <w:pPr>
              <w:pStyle w:val="Compact"/>
              <w:jc w:val="left"/>
              <w:spacing w:before="20" w:after="20" w:line="220" w:lineRule="auto"/>
            </w:pPr>
            <w:r>
              <w:rPr>
                <w:sz w:val="15"/>
                <w:szCs w:val="15"/>
              </w:rPr>
              <w:t xml:space="preserve">Acquisition cash flows and amortisation</w:t>
            </w:r>
          </w:p>
        </w:tc>
        <w:tc>
          <w:tcPr>
            <w:tcW w:w="3642" w:type="dxa"/>
          </w:tcPr>
          <w:p>
            <w:pPr>
              <w:pStyle w:val="Compact"/>
              <w:jc w:val="left"/>
              <w:spacing w:before="20" w:after="20" w:line="220" w:lineRule="auto"/>
            </w:pPr>
            <w:r>
              <w:rPr>
                <w:sz w:val="15"/>
                <w:szCs w:val="15"/>
              </w:rPr>
              <w:t xml:space="preserve">AFS note 8 roll-forwards</w:t>
            </w:r>
          </w:p>
        </w:tc>
        <w:tc>
          <w:tcPr>
            <w:tcW w:w="3642" w:type="dxa"/>
          </w:tcPr>
          <w:p>
            <w:pPr>
              <w:pStyle w:val="Compact"/>
              <w:jc w:val="left"/>
              <w:spacing w:before="20" w:after="20" w:line="220" w:lineRule="auto"/>
            </w:pPr>
            <w:r>
              <w:rPr>
                <w:sz w:val="15"/>
                <w:szCs w:val="15"/>
              </w:rPr>
              <w:t xml:space="preserve">Available</w:t>
            </w:r>
          </w:p>
        </w:tc>
        <w:tc>
          <w:tcPr>
            <w:tcW w:w="3642" w:type="dxa"/>
          </w:tcPr>
          <w:p>
            <w:pPr>
              <w:pStyle w:val="Compact"/>
              <w:jc w:val="left"/>
              <w:spacing w:before="20" w:after="20" w:line="220" w:lineRule="auto"/>
            </w:pPr>
            <w:r>
              <w:rPr>
                <w:sz w:val="15"/>
                <w:szCs w:val="15"/>
              </w:rPr>
              <w:t xml:space="preserve">Life and non-life, group level, three years</w:t>
            </w:r>
          </w:p>
        </w:tc>
      </w:tr>
      <w:tr>
        <w:tc>
          <w:tcPr>
            <w:tcW w:w="3642" w:type="dxa"/>
          </w:tcPr>
          <w:p>
            <w:pPr>
              <w:pStyle w:val="Compact"/>
              <w:jc w:val="left"/>
              <w:spacing w:before="20" w:after="20" w:line="220" w:lineRule="auto"/>
            </w:pPr>
            <w:r>
              <w:rPr>
                <w:sz w:val="15"/>
                <w:szCs w:val="15"/>
              </w:rPr>
              <w:t xml:space="preserve">Expense by nature for AFS (staff, IT, premises, professional fees, recharges)</w:t>
            </w:r>
          </w:p>
        </w:tc>
        <w:tc>
          <w:tcPr>
            <w:tcW w:w="3642" w:type="dxa"/>
          </w:tcPr>
          <w:p>
            <w:pPr>
              <w:pStyle w:val="Compact"/>
              <w:jc w:val="left"/>
              <w:spacing w:before="20" w:after="20" w:line="220" w:lineRule="auto"/>
            </w:pPr>
            <w:r>
              <w:rPr>
                <w:sz w:val="15"/>
                <w:szCs w:val="15"/>
              </w:rPr>
              <w:t xml:space="preserve">None public</w:t>
            </w:r>
          </w:p>
        </w:tc>
        <w:tc>
          <w:tcPr>
            <w:tcW w:w="3642" w:type="dxa"/>
          </w:tcPr>
          <w:p>
            <w:pPr>
              <w:pStyle w:val="Compact"/>
              <w:jc w:val="left"/>
              <w:spacing w:before="20" w:after="20" w:line="220" w:lineRule="auto"/>
            </w:pPr>
            <w:r>
              <w:rPr>
                <w:sz w:val="15"/>
                <w:szCs w:val="15"/>
              </w:rPr>
              <w:t xml:space="preserve">Not public</w:t>
            </w:r>
          </w:p>
        </w:tc>
        <w:tc>
          <w:tcPr>
            <w:tcW w:w="3642" w:type="dxa"/>
          </w:tcPr>
          <w:p>
            <w:pPr>
              <w:pStyle w:val="Compact"/>
              <w:jc w:val="left"/>
              <w:spacing w:before="20" w:after="20" w:line="220" w:lineRule="auto"/>
            </w:pPr>
            <w:r>
              <w:rPr>
                <w:sz w:val="15"/>
                <w:szCs w:val="15"/>
              </w:rPr>
              <w:t xml:space="preserve">Group AFS gives expense by nature for the Group only. This is the first of the ten management information items</w:t>
            </w:r>
          </w:p>
        </w:tc>
      </w:tr>
      <w:tr>
        <w:tc>
          <w:tcPr>
            <w:tcW w:w="3642" w:type="dxa"/>
          </w:tcPr>
          <w:p>
            <w:pPr>
              <w:pStyle w:val="Compact"/>
              <w:jc w:val="left"/>
              <w:spacing w:before="20" w:after="20" w:line="220" w:lineRule="auto"/>
            </w:pPr>
            <w:r>
              <w:rPr>
                <w:sz w:val="15"/>
                <w:szCs w:val="15"/>
              </w:rPr>
              <w:t xml:space="preserve">Attributable versus non-attributable split for AFS</w:t>
            </w:r>
          </w:p>
        </w:tc>
        <w:tc>
          <w:tcPr>
            <w:tcW w:w="3642" w:type="dxa"/>
          </w:tcPr>
          <w:p>
            <w:pPr>
              <w:pStyle w:val="Compact"/>
              <w:jc w:val="left"/>
              <w:spacing w:before="20" w:after="20" w:line="220" w:lineRule="auto"/>
            </w:pPr>
            <w:r>
              <w:rPr>
                <w:sz w:val="15"/>
                <w:szCs w:val="15"/>
              </w:rPr>
              <w:t xml:space="preserve">AFS note 8 (attributable inside service expenses) and segment disclosures</w:t>
            </w:r>
          </w:p>
        </w:tc>
        <w:tc>
          <w:tcPr>
            <w:tcW w:w="3642" w:type="dxa"/>
          </w:tcPr>
          <w:p>
            <w:pPr>
              <w:pStyle w:val="Compact"/>
              <w:jc w:val="left"/>
              <w:spacing w:before="20" w:after="20" w:line="220" w:lineRule="auto"/>
            </w:pPr>
            <w:r>
              <w:rPr>
                <w:sz w:val="15"/>
                <w:szCs w:val="15"/>
              </w:rPr>
              <w:t xml:space="preserve">Partial</w:t>
            </w:r>
          </w:p>
        </w:tc>
        <w:tc>
          <w:tcPr>
            <w:tcW w:w="3642" w:type="dxa"/>
          </w:tcPr>
          <w:p>
            <w:pPr>
              <w:pStyle w:val="Compact"/>
              <w:jc w:val="left"/>
              <w:spacing w:before="20" w:after="20" w:line="220" w:lineRule="auto"/>
            </w:pPr>
            <w:r>
              <w:rPr>
                <w:sz w:val="15"/>
                <w:szCs w:val="15"/>
              </w:rPr>
              <w:t xml:space="preserve">The attributable share is inferable from service expenses less incurred claims. The non-attributable share for AFS is not disclosed</w:t>
            </w:r>
          </w:p>
        </w:tc>
      </w:tr>
      <w:tr>
        <w:tc>
          <w:tcPr>
            <w:tcW w:w="3642" w:type="dxa"/>
          </w:tcPr>
          <w:p>
            <w:pPr>
              <w:pStyle w:val="Compact"/>
              <w:jc w:val="left"/>
              <w:spacing w:before="20" w:after="20" w:line="220" w:lineRule="auto"/>
            </w:pPr>
            <w:r>
              <w:rPr>
                <w:sz w:val="15"/>
                <w:szCs w:val="15"/>
              </w:rPr>
              <w:t xml:space="preserve">Entity statements for Absa Life, AIC, ARTIC</w:t>
            </w:r>
          </w:p>
        </w:tc>
        <w:tc>
          <w:tcPr>
            <w:tcW w:w="3642" w:type="dxa"/>
          </w:tcPr>
          <w:p>
            <w:pPr>
              <w:pStyle w:val="Compact"/>
              <w:jc w:val="left"/>
              <w:spacing w:before="20" w:after="20" w:line="220" w:lineRule="auto"/>
            </w:pPr>
            <w:r>
              <w:rPr>
                <w:sz w:val="15"/>
                <w:szCs w:val="15"/>
              </w:rPr>
              <w:t xml:space="preserve">Not on absa.africa. Public companies, so obtainable from CIPC on request</w:t>
            </w:r>
          </w:p>
        </w:tc>
        <w:tc>
          <w:tcPr>
            <w:tcW w:w="3642" w:type="dxa"/>
          </w:tcPr>
          <w:p>
            <w:pPr>
              <w:pStyle w:val="Compact"/>
              <w:jc w:val="left"/>
              <w:spacing w:before="20" w:after="20" w:line="220" w:lineRule="auto"/>
            </w:pPr>
            <w:r>
              <w:rPr>
                <w:sz w:val="15"/>
                <w:szCs w:val="15"/>
              </w:rPr>
              <w:t xml:space="preserve">Obtainable, not online</w:t>
            </w:r>
          </w:p>
        </w:tc>
        <w:tc>
          <w:tcPr>
            <w:tcW w:w="3642" w:type="dxa"/>
          </w:tcPr>
          <w:p>
            <w:pPr>
              <w:pStyle w:val="Compact"/>
              <w:jc w:val="left"/>
              <w:spacing w:before="20" w:after="20" w:line="220" w:lineRule="auto"/>
            </w:pPr>
            <w:r>
              <w:rPr>
                <w:sz w:val="15"/>
                <w:szCs w:val="15"/>
              </w:rPr>
              <w:t xml:space="preserve">Would give entity-level expenses, commission paid and related party flows. Recommend requesting from the client to save time</w:t>
            </w:r>
          </w:p>
        </w:tc>
      </w:tr>
      <w:tr>
        <w:tc>
          <w:tcPr>
            <w:tcW w:w="3642" w:type="dxa"/>
          </w:tcPr>
          <w:p>
            <w:pPr>
              <w:pStyle w:val="Compact"/>
              <w:jc w:val="left"/>
              <w:spacing w:before="20" w:after="20" w:line="220" w:lineRule="auto"/>
            </w:pPr>
            <w:r>
              <w:rPr>
                <w:sz w:val="15"/>
                <w:szCs w:val="15"/>
              </w:rPr>
              <w:t xml:space="preserve">Solvency covers by entity</w:t>
            </w:r>
          </w:p>
        </w:tc>
        <w:tc>
          <w:tcPr>
            <w:tcW w:w="3642" w:type="dxa"/>
          </w:tcPr>
          <w:p>
            <w:pPr>
              <w:pStyle w:val="Compact"/>
              <w:jc w:val="left"/>
              <w:spacing w:before="20" w:after="20" w:line="220" w:lineRule="auto"/>
            </w:pPr>
            <w:r>
              <w:rPr>
                <w:sz w:val="15"/>
                <w:szCs w:val="15"/>
              </w:rPr>
              <w:t xml:space="preserve">AFS FY25 p240</w:t>
            </w:r>
          </w:p>
        </w:tc>
        <w:tc>
          <w:tcPr>
            <w:tcW w:w="3642" w:type="dxa"/>
          </w:tcPr>
          <w:p>
            <w:pPr>
              <w:pStyle w:val="Compact"/>
              <w:jc w:val="left"/>
              <w:spacing w:before="20" w:after="20" w:line="220" w:lineRule="auto"/>
            </w:pPr>
            <w:r>
              <w:rPr>
                <w:sz w:val="15"/>
                <w:szCs w:val="15"/>
              </w:rPr>
              <w:t xml:space="preserve">Available, unaudited</w:t>
            </w:r>
          </w:p>
        </w:tc>
        <w:tc>
          <w:tcPr>
            <w:tcW w:w="3642" w:type="dxa"/>
          </w:tcPr>
          <w:p>
            <w:pPr>
              <w:pStyle w:val="Compact"/>
              <w:jc w:val="left"/>
              <w:spacing w:before="20" w:after="20" w:line="220" w:lineRule="auto"/>
            </w:pPr>
            <w:r>
              <w:rPr>
                <w:sz w:val="15"/>
                <w:szCs w:val="15"/>
              </w:rPr>
              <w:t xml:space="preserve">Solo covers only. SCR amounts and own funds are not disclosed</w:t>
            </w:r>
          </w:p>
        </w:tc>
      </w:tr>
      <w:tr>
        <w:tc>
          <w:tcPr>
            <w:tcW w:w="3642" w:type="dxa"/>
          </w:tcPr>
          <w:p>
            <w:pPr>
              <w:pStyle w:val="Compact"/>
              <w:jc w:val="left"/>
              <w:spacing w:before="20" w:after="20" w:line="220" w:lineRule="auto"/>
            </w:pPr>
            <w:r>
              <w:rPr>
                <w:sz w:val="15"/>
                <w:szCs w:val="15"/>
              </w:rPr>
              <w:t xml:space="preserve">Headcount, policy counts, adviser numbers</w:t>
            </w:r>
          </w:p>
        </w:tc>
        <w:tc>
          <w:tcPr>
            <w:tcW w:w="3642" w:type="dxa"/>
          </w:tcPr>
          <w:p>
            <w:pPr>
              <w:pStyle w:val="Compact"/>
              <w:jc w:val="left"/>
              <w:spacing w:before="20" w:after="20" w:line="220" w:lineRule="auto"/>
            </w:pPr>
            <w:r>
              <w:rPr>
                <w:sz w:val="15"/>
                <w:szCs w:val="15"/>
              </w:rPr>
              <w:t xml:space="preserve">Integrated Report (Group headcount 37 033 at FY25, Fact, p20); FSCA FSP register for representative counts per FSP</w:t>
            </w:r>
          </w:p>
        </w:tc>
        <w:tc>
          <w:tcPr>
            <w:tcW w:w="3642" w:type="dxa"/>
          </w:tcPr>
          <w:p>
            <w:pPr>
              <w:pStyle w:val="Compact"/>
              <w:jc w:val="left"/>
              <w:spacing w:before="20" w:after="20" w:line="220" w:lineRule="auto"/>
            </w:pPr>
            <w:r>
              <w:rPr>
                <w:sz w:val="15"/>
                <w:szCs w:val="15"/>
              </w:rPr>
              <w:t xml:space="preserve">Partial</w:t>
            </w:r>
          </w:p>
        </w:tc>
        <w:tc>
          <w:tcPr>
            <w:tcW w:w="3642" w:type="dxa"/>
          </w:tcPr>
          <w:p>
            <w:pPr>
              <w:pStyle w:val="Compact"/>
              <w:jc w:val="left"/>
              <w:spacing w:before="20" w:after="20" w:line="220" w:lineRule="auto"/>
            </w:pPr>
            <w:r>
              <w:rPr>
                <w:sz w:val="15"/>
                <w:szCs w:val="15"/>
              </w:rPr>
              <w:t xml:space="preserve">No AFS headcount. Representative counts on the FSCA register are a proxy for adviser numbers</w:t>
            </w:r>
          </w:p>
        </w:tc>
      </w:tr>
      <w:tr>
        <w:tc>
          <w:tcPr>
            <w:tcW w:w="3642" w:type="dxa"/>
          </w:tcPr>
          <w:p>
            <w:pPr>
              <w:pStyle w:val="Compact"/>
              <w:jc w:val="left"/>
              <w:spacing w:before="20" w:after="20" w:line="220" w:lineRule="auto"/>
            </w:pPr>
            <w:r>
              <w:rPr>
                <w:sz w:val="15"/>
                <w:szCs w:val="15"/>
              </w:rPr>
              <w:t xml:space="preserve">Intra-group flows: commission to Absa Bank, group recharges</w:t>
            </w:r>
          </w:p>
        </w:tc>
        <w:tc>
          <w:tcPr>
            <w:tcW w:w="3642" w:type="dxa"/>
          </w:tcPr>
          <w:p>
            <w:pPr>
              <w:pStyle w:val="Compact"/>
              <w:jc w:val="left"/>
              <w:spacing w:before="20" w:after="20" w:line="220" w:lineRule="auto"/>
            </w:pPr>
            <w:r>
              <w:rPr>
                <w:sz w:val="15"/>
                <w:szCs w:val="15"/>
              </w:rPr>
              <w:t xml:space="preserve">Results booklet fee income note (</w:t>
            </w:r>
            <w:r>
              <w:rPr>
                <w:sz w:val="15"/>
                <w:szCs w:val="15"/>
              </w:rPr>
              <w:t xml:space="preserve">“</w:t>
            </w:r>
            <w:r>
              <w:rPr>
                <w:sz w:val="15"/>
                <w:szCs w:val="15"/>
              </w:rPr>
              <w:t xml:space="preserve">Insurance commission received</w:t>
            </w:r>
            <w:r>
              <w:rPr>
                <w:sz w:val="15"/>
                <w:szCs w:val="15"/>
              </w:rPr>
              <w:t xml:space="preserve">”</w:t>
            </w:r>
            <w:r>
              <w:rPr>
                <w:sz w:val="15"/>
                <w:szCs w:val="15"/>
              </w:rPr>
              <w:t xml:space="preserve">), Absa Bank Limited AFS related party note</w:t>
            </w:r>
          </w:p>
        </w:tc>
        <w:tc>
          <w:tcPr>
            <w:tcW w:w="3642" w:type="dxa"/>
          </w:tcPr>
          <w:p>
            <w:pPr>
              <w:pStyle w:val="Compact"/>
              <w:jc w:val="left"/>
              <w:spacing w:before="20" w:after="20" w:line="220" w:lineRule="auto"/>
            </w:pPr>
            <w:r>
              <w:rPr>
                <w:sz w:val="15"/>
                <w:szCs w:val="15"/>
              </w:rPr>
              <w:t xml:space="preserve">Partial</w:t>
            </w:r>
          </w:p>
        </w:tc>
        <w:tc>
          <w:tcPr>
            <w:tcW w:w="3642" w:type="dxa"/>
          </w:tcPr>
          <w:p>
            <w:pPr>
              <w:pStyle w:val="Compact"/>
              <w:jc w:val="left"/>
              <w:spacing w:before="20" w:after="20" w:line="220" w:lineRule="auto"/>
            </w:pPr>
            <w:r>
              <w:rPr>
                <w:sz w:val="15"/>
                <w:szCs w:val="15"/>
              </w:rPr>
              <w:t xml:space="preserve">The bank’s insurance commission line is disclosed in the booklet. Whether it is wholly from AFS needs the Bank AFS related party note</w:t>
            </w:r>
          </w:p>
        </w:tc>
      </w:tr>
      <w:tr>
        <w:tc>
          <w:tcPr>
            <w:tcW w:w="3642" w:type="dxa"/>
          </w:tcPr>
          <w:p>
            <w:pPr>
              <w:pStyle w:val="Compact"/>
              <w:jc w:val="left"/>
              <w:spacing w:before="20" w:after="20" w:line="220" w:lineRule="auto"/>
            </w:pPr>
            <w:r>
              <w:rPr>
                <w:sz w:val="15"/>
                <w:szCs w:val="15"/>
              </w:rPr>
              <w:t xml:space="preserve">Assets under management and administration</w:t>
            </w:r>
          </w:p>
        </w:tc>
        <w:tc>
          <w:tcPr>
            <w:tcW w:w="3642" w:type="dxa"/>
          </w:tcPr>
          <w:p>
            <w:pPr>
              <w:pStyle w:val="Compact"/>
              <w:jc w:val="left"/>
              <w:spacing w:before="20" w:after="20" w:line="220" w:lineRule="auto"/>
            </w:pPr>
            <w:r>
              <w:rPr>
                <w:sz w:val="15"/>
                <w:szCs w:val="15"/>
              </w:rPr>
              <w:t xml:space="preserve">None for AIMS. Sanlam Investment Holdings not consolidated</w:t>
            </w:r>
          </w:p>
        </w:tc>
        <w:tc>
          <w:tcPr>
            <w:tcW w:w="3642" w:type="dxa"/>
          </w:tcPr>
          <w:p>
            <w:pPr>
              <w:pStyle w:val="Compact"/>
              <w:jc w:val="left"/>
              <w:spacing w:before="20" w:after="20" w:line="220" w:lineRule="auto"/>
            </w:pPr>
            <w:r>
              <w:rPr>
                <w:sz w:val="15"/>
                <w:szCs w:val="15"/>
              </w:rPr>
              <w:t xml:space="preserve">Not public for AFS</w:t>
            </w:r>
          </w:p>
        </w:tc>
        <w:tc>
          <w:tcPr>
            <w:tcW w:w="3642" w:type="dxa"/>
          </w:tcPr>
          <w:p>
            <w:pPr>
              <w:pStyle w:val="Compact"/>
              <w:jc w:val="left"/>
              <w:spacing w:before="20" w:after="20" w:line="220" w:lineRule="auto"/>
            </w:pPr>
            <w:r>
              <w:rPr>
                <w:sz w:val="15"/>
                <w:szCs w:val="15"/>
              </w:rPr>
              <w:t xml:space="preserve">AIMS assets under administration were last disclosed at the Glacier transaction</w:t>
            </w:r>
          </w:p>
        </w:tc>
      </w:tr>
      <w:tr>
        <w:tc>
          <w:tcPr>
            <w:tcW w:w="3642" w:type="dxa"/>
          </w:tcPr>
          <w:p>
            <w:pPr>
              <w:pStyle w:val="Compact"/>
              <w:jc w:val="left"/>
              <w:spacing w:before="20" w:after="20" w:line="220" w:lineRule="auto"/>
            </w:pPr>
            <w:r>
              <w:rPr>
                <w:sz w:val="15"/>
                <w:szCs w:val="15"/>
              </w:rPr>
              <w:t xml:space="preserve">Kenya entities</w:t>
            </w:r>
          </w:p>
        </w:tc>
        <w:tc>
          <w:tcPr>
            <w:tcW w:w="3642" w:type="dxa"/>
          </w:tcPr>
          <w:p>
            <w:pPr>
              <w:pStyle w:val="Compact"/>
              <w:jc w:val="left"/>
              <w:spacing w:before="20" w:after="20" w:line="220" w:lineRule="auto"/>
            </w:pPr>
            <w:r>
              <w:rPr>
                <w:sz w:val="15"/>
                <w:szCs w:val="15"/>
              </w:rPr>
              <w:t xml:space="preserve">ALAK and First Assurance publish statements under Kenyan requirements</w:t>
            </w:r>
          </w:p>
        </w:tc>
        <w:tc>
          <w:tcPr>
            <w:tcW w:w="3642" w:type="dxa"/>
          </w:tcPr>
          <w:p>
            <w:pPr>
              <w:pStyle w:val="Compact"/>
              <w:jc w:val="left"/>
              <w:spacing w:before="20" w:after="20" w:line="220" w:lineRule="auto"/>
            </w:pPr>
            <w:r>
              <w:rPr>
                <w:sz w:val="15"/>
                <w:szCs w:val="15"/>
              </w:rPr>
              <w:t xml:space="preserve">Available in principle</w:t>
            </w:r>
          </w:p>
        </w:tc>
        <w:tc>
          <w:tcPr>
            <w:tcW w:w="3642" w:type="dxa"/>
          </w:tcPr>
          <w:p>
            <w:pPr>
              <w:pStyle w:val="Compact"/>
              <w:jc w:val="left"/>
              <w:spacing w:before="20" w:after="20" w:line="220" w:lineRule="auto"/>
            </w:pPr>
            <w:r>
              <w:rPr>
                <w:sz w:val="15"/>
                <w:szCs w:val="15"/>
              </w:rPr>
              <w:t xml:space="preserve">Needed to strip Kenya out of the group series</w:t>
            </w:r>
          </w:p>
        </w:tc>
      </w:tr>
      <w:tr>
        <w:tc>
          <w:tcPr>
            <w:tcW w:w="3642" w:type="dxa"/>
          </w:tcPr>
          <w:p>
            <w:pPr>
              <w:pStyle w:val="Compact"/>
              <w:jc w:val="left"/>
              <w:spacing w:before="20" w:after="20" w:line="220" w:lineRule="auto"/>
            </w:pPr>
            <w:r>
              <w:rPr>
                <w:sz w:val="15"/>
                <w:szCs w:val="15"/>
              </w:rPr>
              <w:t xml:space="preserve">Industry context</w:t>
            </w:r>
          </w:p>
        </w:tc>
        <w:tc>
          <w:tcPr>
            <w:tcW w:w="3642" w:type="dxa"/>
          </w:tcPr>
          <w:p>
            <w:pPr>
              <w:pStyle w:val="Compact"/>
              <w:jc w:val="left"/>
              <w:spacing w:before="20" w:after="20" w:line="220" w:lineRule="auto"/>
            </w:pPr>
            <w:r>
              <w:rPr>
                <w:sz w:val="15"/>
                <w:szCs w:val="15"/>
              </w:rPr>
              <w:t xml:space="preserve">PA Selected insurance sector data (quarterly), ASISA statistics, KPMG South African Insurance Industry Survey 2025</w:t>
            </w:r>
          </w:p>
        </w:tc>
        <w:tc>
          <w:tcPr>
            <w:tcW w:w="3642" w:type="dxa"/>
          </w:tcPr>
          <w:p>
            <w:pPr>
              <w:pStyle w:val="Compact"/>
              <w:jc w:val="left"/>
              <w:spacing w:before="20" w:after="20" w:line="220" w:lineRule="auto"/>
            </w:pPr>
            <w:r>
              <w:rPr>
                <w:sz w:val="15"/>
                <w:szCs w:val="15"/>
              </w:rPr>
              <w:t xml:space="preserve">Available</w:t>
            </w:r>
          </w:p>
        </w:tc>
        <w:tc>
          <w:tcPr>
            <w:tcW w:w="3642" w:type="dxa"/>
          </w:tcPr>
          <w:p>
            <w:pPr>
              <w:pStyle w:val="Compact"/>
              <w:jc w:val="left"/>
              <w:spacing w:before="20" w:after="20" w:line="220" w:lineRule="auto"/>
            </w:pPr>
            <w:r>
              <w:rPr>
                <w:sz w:val="15"/>
                <w:szCs w:val="15"/>
              </w:rPr>
              <w:t xml:space="preserve">PA data is aggregate only. KPMG survey carries entity tables and should include Absa Life and AIC, to be verified</w:t>
            </w:r>
          </w:p>
        </w:tc>
      </w:tr>
    </w:tbl>
    <w:bookmarkEnd w:id="32"/>
    <w:bookmarkStart w:id="33" w:name="peer-benchmark-phase-3"/>
    <w:p>
      <w:pPr>
        <w:pStyle w:val="Heading3"/>
      </w:pPr>
      <w:r>
        <w:t xml:space="preserve">10.2 Peer benchmark (Phase 3)</w:t>
      </w:r>
    </w:p>
    <w:tbl>
      <w:tblPr>
        <w:tblStyle w:val="Table"/>
        <w:tblLook w:firstRow="1" w:lastRow="0" w:firstColumn="0" w:lastColumn="0" w:noHBand="0" w:noVBand="0" w:val="0020"/>
        <w:jc w:val="start"/>
        <w:tblW w:w="14568" w:type="dxa"/>
        <w:tblLayout w:type="fixed"/>
      </w:tblPr>
      <w:tblGrid>
        <w:gridCol w:w="4856"/>
        <w:gridCol w:w="4856"/>
        <w:gridCol w:w="4856"/>
      </w:tblGrid>
      <w:tr>
        <w:trPr>
          <w:tblHeader w:val="true"/>
        </w:trPr>
        <w:tc>
          <w:tcPr>
            <w:tcW w:w="4856" w:type="dxa"/>
          </w:tcPr>
          <w:p>
            <w:pPr>
              <w:pStyle w:val="Compact"/>
              <w:jc w:val="left"/>
              <w:spacing w:before="20" w:after="20" w:line="220" w:lineRule="auto"/>
            </w:pPr>
            <w:r>
              <w:rPr>
                <w:sz w:val="15"/>
                <w:szCs w:val="15"/>
              </w:rPr>
              <w:t xml:space="preserve">Peer cluster</w:t>
            </w:r>
          </w:p>
        </w:tc>
        <w:tc>
          <w:tcPr>
            <w:tcW w:w="4856" w:type="dxa"/>
          </w:tcPr>
          <w:p>
            <w:pPr>
              <w:pStyle w:val="Compact"/>
              <w:jc w:val="left"/>
              <w:spacing w:before="20" w:after="20" w:line="220" w:lineRule="auto"/>
            </w:pPr>
            <w:r>
              <w:rPr>
                <w:sz w:val="15"/>
                <w:szCs w:val="15"/>
              </w:rPr>
              <w:t xml:space="preserve">Disclosure depth</w:t>
            </w:r>
          </w:p>
        </w:tc>
        <w:tc>
          <w:tcPr>
            <w:tcW w:w="4856" w:type="dxa"/>
          </w:tcPr>
          <w:p>
            <w:pPr>
              <w:pStyle w:val="Compact"/>
              <w:jc w:val="left"/>
              <w:spacing w:before="20" w:after="20" w:line="220" w:lineRule="auto"/>
            </w:pPr>
            <w:r>
              <w:rPr>
                <w:sz w:val="15"/>
                <w:szCs w:val="15"/>
              </w:rPr>
              <w:t xml:space="preserve">Basis and normalisation issues</w:t>
            </w:r>
          </w:p>
        </w:tc>
      </w:tr>
      <w:tr>
        <w:tc>
          <w:tcPr>
            <w:tcW w:w="4856" w:type="dxa"/>
          </w:tcPr>
          <w:p>
            <w:pPr>
              <w:pStyle w:val="Compact"/>
              <w:jc w:val="left"/>
              <w:spacing w:before="20" w:after="20" w:line="220" w:lineRule="auto"/>
            </w:pPr>
            <w:r>
              <w:rPr>
                <w:sz w:val="15"/>
                <w:szCs w:val="15"/>
              </w:rPr>
              <w:t xml:space="preserve">Standard Bank Insurance and Asset Management, including Liberty</w:t>
            </w:r>
          </w:p>
        </w:tc>
        <w:tc>
          <w:tcPr>
            <w:tcW w:w="4856" w:type="dxa"/>
          </w:tcPr>
          <w:p>
            <w:pPr>
              <w:pStyle w:val="Compact"/>
              <w:jc w:val="left"/>
              <w:spacing w:before="20" w:after="20" w:line="220" w:lineRule="auto"/>
            </w:pPr>
            <w:r>
              <w:rPr>
                <w:sz w:val="15"/>
                <w:szCs w:val="15"/>
              </w:rPr>
              <w:t xml:space="preserve">Segment disclosure in Standard Bank results. Liberty Group Limited still publishes statements as a subsidiary</w:t>
            </w:r>
          </w:p>
        </w:tc>
        <w:tc>
          <w:tcPr>
            <w:tcW w:w="4856" w:type="dxa"/>
          </w:tcPr>
          <w:p>
            <w:pPr>
              <w:pStyle w:val="Compact"/>
              <w:jc w:val="left"/>
              <w:spacing w:before="20" w:after="20" w:line="220" w:lineRule="auto"/>
            </w:pPr>
            <w:r>
              <w:rPr>
                <w:sz w:val="15"/>
                <w:szCs w:val="15"/>
              </w:rPr>
              <w:t xml:space="preserve">IFRS 17. Liberty is an open-architecture life insurer with a large advice force, so the mix is not bancassurance pure</w:t>
            </w:r>
          </w:p>
        </w:tc>
      </w:tr>
      <w:tr>
        <w:tc>
          <w:tcPr>
            <w:tcW w:w="4856" w:type="dxa"/>
          </w:tcPr>
          <w:p>
            <w:pPr>
              <w:pStyle w:val="Compact"/>
              <w:jc w:val="left"/>
              <w:spacing w:before="20" w:after="20" w:line="220" w:lineRule="auto"/>
            </w:pPr>
            <w:r>
              <w:rPr>
                <w:sz w:val="15"/>
                <w:szCs w:val="15"/>
              </w:rPr>
              <w:t xml:space="preserve">FirstRand insurance activities</w:t>
            </w:r>
          </w:p>
        </w:tc>
        <w:tc>
          <w:tcPr>
            <w:tcW w:w="4856" w:type="dxa"/>
          </w:tcPr>
          <w:p>
            <w:pPr>
              <w:pStyle w:val="Compact"/>
              <w:jc w:val="left"/>
              <w:spacing w:before="20" w:after="20" w:line="220" w:lineRule="auto"/>
            </w:pPr>
            <w:r>
              <w:rPr>
                <w:sz w:val="15"/>
                <w:szCs w:val="15"/>
              </w:rPr>
              <w:t xml:space="preserve">Thin. Disclosed within FNB and WesBank segments and in the FirstRand Life notes</w:t>
            </w:r>
          </w:p>
        </w:tc>
        <w:tc>
          <w:tcPr>
            <w:tcW w:w="4856" w:type="dxa"/>
          </w:tcPr>
          <w:p>
            <w:pPr>
              <w:pStyle w:val="Compact"/>
              <w:jc w:val="left"/>
              <w:spacing w:before="20" w:after="20" w:line="220" w:lineRule="auto"/>
            </w:pPr>
            <w:r>
              <w:rPr>
                <w:sz w:val="15"/>
                <w:szCs w:val="15"/>
              </w:rPr>
              <w:t xml:space="preserve">IFRS 17. Expense ratios will need reconstruction from notes</w:t>
            </w:r>
          </w:p>
        </w:tc>
      </w:tr>
      <w:tr>
        <w:tc>
          <w:tcPr>
            <w:tcW w:w="4856" w:type="dxa"/>
          </w:tcPr>
          <w:p>
            <w:pPr>
              <w:pStyle w:val="Compact"/>
              <w:jc w:val="left"/>
              <w:spacing w:before="20" w:after="20" w:line="220" w:lineRule="auto"/>
            </w:pPr>
            <w:r>
              <w:rPr>
                <w:sz w:val="15"/>
                <w:szCs w:val="15"/>
              </w:rPr>
              <w:t xml:space="preserve">Nedbank Insurance</w:t>
            </w:r>
          </w:p>
        </w:tc>
        <w:tc>
          <w:tcPr>
            <w:tcW w:w="4856" w:type="dxa"/>
          </w:tcPr>
          <w:p>
            <w:pPr>
              <w:pStyle w:val="Compact"/>
              <w:jc w:val="left"/>
              <w:spacing w:before="20" w:after="20" w:line="220" w:lineRule="auto"/>
            </w:pPr>
            <w:r>
              <w:rPr>
                <w:sz w:val="15"/>
                <w:szCs w:val="15"/>
              </w:rPr>
              <w:t xml:space="preserve">Thin. Inside Nedbank Wealth, with some insurance disclosure</w:t>
            </w:r>
          </w:p>
        </w:tc>
        <w:tc>
          <w:tcPr>
            <w:tcW w:w="4856" w:type="dxa"/>
          </w:tcPr>
          <w:p>
            <w:pPr>
              <w:pStyle w:val="Compact"/>
              <w:jc w:val="left"/>
              <w:spacing w:before="20" w:after="20" w:line="220" w:lineRule="auto"/>
            </w:pPr>
            <w:r>
              <w:rPr>
                <w:sz w:val="15"/>
                <w:szCs w:val="15"/>
              </w:rPr>
              <w:t xml:space="preserve">IFRS 17. Nedgroup Life and Nedgroup Insurance statements not public</w:t>
            </w:r>
          </w:p>
        </w:tc>
      </w:tr>
      <w:tr>
        <w:tc>
          <w:tcPr>
            <w:tcW w:w="4856" w:type="dxa"/>
          </w:tcPr>
          <w:p>
            <w:pPr>
              <w:pStyle w:val="Compact"/>
              <w:jc w:val="left"/>
              <w:spacing w:before="20" w:after="20" w:line="220" w:lineRule="auto"/>
            </w:pPr>
            <w:r>
              <w:rPr>
                <w:sz w:val="15"/>
                <w:szCs w:val="15"/>
              </w:rPr>
              <w:t xml:space="preserve">Capitec insurance</w:t>
            </w:r>
          </w:p>
        </w:tc>
        <w:tc>
          <w:tcPr>
            <w:tcW w:w="4856" w:type="dxa"/>
          </w:tcPr>
          <w:p>
            <w:pPr>
              <w:pStyle w:val="Compact"/>
              <w:jc w:val="left"/>
              <w:spacing w:before="20" w:after="20" w:line="220" w:lineRule="auto"/>
            </w:pPr>
            <w:r>
              <w:rPr>
                <w:sz w:val="15"/>
                <w:szCs w:val="15"/>
              </w:rPr>
              <w:t xml:space="preserve">Disclosed in Capitec results from the Capitec Life launch</w:t>
            </w:r>
          </w:p>
        </w:tc>
        <w:tc>
          <w:tcPr>
            <w:tcW w:w="4856" w:type="dxa"/>
          </w:tcPr>
          <w:p>
            <w:pPr>
              <w:pStyle w:val="Compact"/>
              <w:jc w:val="left"/>
              <w:spacing w:before="20" w:after="20" w:line="220" w:lineRule="auto"/>
            </w:pPr>
            <w:r>
              <w:rPr>
                <w:sz w:val="15"/>
                <w:szCs w:val="15"/>
              </w:rPr>
              <w:t xml:space="preserve">Young book, funeral and credit life heavy. Expense ratios will not be steady state</w:t>
            </w:r>
          </w:p>
        </w:tc>
      </w:tr>
      <w:tr>
        <w:tc>
          <w:tcPr>
            <w:tcW w:w="4856" w:type="dxa"/>
          </w:tcPr>
          <w:p>
            <w:pPr>
              <w:pStyle w:val="Compact"/>
              <w:jc w:val="left"/>
              <w:spacing w:before="20" w:after="20" w:line="220" w:lineRule="auto"/>
            </w:pPr>
            <w:r>
              <w:rPr>
                <w:sz w:val="15"/>
                <w:szCs w:val="15"/>
              </w:rPr>
              <w:t xml:space="preserve">Local non-bank reference</w:t>
            </w:r>
          </w:p>
        </w:tc>
        <w:tc>
          <w:tcPr>
            <w:tcW w:w="4856" w:type="dxa"/>
          </w:tcPr>
          <w:p>
            <w:pPr>
              <w:pStyle w:val="Compact"/>
              <w:jc w:val="left"/>
              <w:spacing w:before="20" w:after="20" w:line="220" w:lineRule="auto"/>
            </w:pPr>
            <w:r>
              <w:rPr>
                <w:sz w:val="15"/>
                <w:szCs w:val="15"/>
              </w:rPr>
              <w:t xml:space="preserve">Sanlam, Old Mutual, Momentum, Discovery, Santam, OUTsurance publish full statements and results booklets. Hollard publishes statements as an unlisted company</w:t>
            </w:r>
          </w:p>
        </w:tc>
        <w:tc>
          <w:tcPr>
            <w:tcW w:w="4856" w:type="dxa"/>
          </w:tcPr>
          <w:p>
            <w:pPr>
              <w:pStyle w:val="Compact"/>
              <w:jc w:val="left"/>
              <w:spacing w:before="20" w:after="20" w:line="220" w:lineRule="auto"/>
            </w:pPr>
            <w:r>
              <w:rPr>
                <w:sz w:val="15"/>
                <w:szCs w:val="15"/>
              </w:rPr>
              <w:t xml:space="preserve">IFRS 17 for all. Mix normalisation needed for savings-heavy and health-heavy books</w:t>
            </w:r>
          </w:p>
        </w:tc>
      </w:tr>
      <w:tr>
        <w:tc>
          <w:tcPr>
            <w:tcW w:w="4856" w:type="dxa"/>
          </w:tcPr>
          <w:p>
            <w:pPr>
              <w:pStyle w:val="Compact"/>
              <w:jc w:val="left"/>
              <w:spacing w:before="20" w:after="20" w:line="220" w:lineRule="auto"/>
            </w:pPr>
            <w:r>
              <w:rPr>
                <w:sz w:val="15"/>
                <w:szCs w:val="15"/>
              </w:rPr>
              <w:t xml:space="preserve">European bancassurers</w:t>
            </w:r>
          </w:p>
        </w:tc>
        <w:tc>
          <w:tcPr>
            <w:tcW w:w="4856" w:type="dxa"/>
          </w:tcPr>
          <w:p>
            <w:pPr>
              <w:pStyle w:val="Compact"/>
              <w:jc w:val="left"/>
              <w:spacing w:before="20" w:after="20" w:line="220" w:lineRule="auto"/>
            </w:pPr>
            <w:r>
              <w:rPr>
                <w:sz w:val="15"/>
                <w:szCs w:val="15"/>
              </w:rPr>
              <w:t xml:space="preserve">Annual reports plus Solvency II public reports (SFCR) for Crédit Agricole Assurances, BNP Paribas Cardif, VidaCaixa, KBC Insurance, Société Générale Assurances. Intesa Sanpaolo and Lloyds disclose at division level</w:t>
            </w:r>
          </w:p>
        </w:tc>
        <w:tc>
          <w:tcPr>
            <w:tcW w:w="4856" w:type="dxa"/>
          </w:tcPr>
          <w:p>
            <w:pPr>
              <w:pStyle w:val="Compact"/>
              <w:jc w:val="left"/>
              <w:spacing w:before="20" w:after="20" w:line="220" w:lineRule="auto"/>
            </w:pPr>
            <w:r>
              <w:rPr>
                <w:sz w:val="15"/>
                <w:szCs w:val="15"/>
              </w:rPr>
              <w:t xml:space="preserve">IFRS 17 and Solvency II. Expense disclosure in SFCRs is useful but on a Solvency II basis, not IFRS 17</w:t>
            </w:r>
          </w:p>
        </w:tc>
      </w:tr>
      <w:tr>
        <w:tc>
          <w:tcPr>
            <w:tcW w:w="4856" w:type="dxa"/>
          </w:tcPr>
          <w:p>
            <w:pPr>
              <w:pStyle w:val="Compact"/>
              <w:jc w:val="left"/>
              <w:spacing w:before="20" w:after="20" w:line="220" w:lineRule="auto"/>
            </w:pPr>
            <w:r>
              <w:rPr>
                <w:sz w:val="15"/>
                <w:szCs w:val="15"/>
              </w:rPr>
              <w:t xml:space="preserve">Brazil, India, Malaysia</w:t>
            </w:r>
          </w:p>
        </w:tc>
        <w:tc>
          <w:tcPr>
            <w:tcW w:w="4856" w:type="dxa"/>
          </w:tcPr>
          <w:p>
            <w:pPr>
              <w:pStyle w:val="Compact"/>
              <w:jc w:val="left"/>
              <w:spacing w:before="20" w:after="20" w:line="220" w:lineRule="auto"/>
            </w:pPr>
            <w:r>
              <w:rPr>
                <w:sz w:val="15"/>
                <w:szCs w:val="15"/>
              </w:rPr>
              <w:t xml:space="preserve">BB Seguridade and SBI Life are listed with full disclosure. Itaú and Bradesco disclose insurance at segment level. Etiqa disclosed within Maybank and in its own statements</w:t>
            </w:r>
          </w:p>
        </w:tc>
        <w:tc>
          <w:tcPr>
            <w:tcW w:w="4856" w:type="dxa"/>
          </w:tcPr>
          <w:p>
            <w:pPr>
              <w:pStyle w:val="Compact"/>
              <w:jc w:val="left"/>
              <w:spacing w:before="20" w:after="20" w:line="220" w:lineRule="auto"/>
            </w:pPr>
            <w:r>
              <w:rPr>
                <w:sz w:val="15"/>
                <w:szCs w:val="15"/>
              </w:rPr>
              <w:t xml:space="preserve">Brazil moved to IFRS 17 only recently and India’s life insurers report under IRDAI GAAP, not IFRS 17. Ratios will need a stated bridge and may only be comparable on a gross written premium basis</w:t>
            </w:r>
          </w:p>
        </w:tc>
      </w:tr>
    </w:tbl>
    <w:p>
      <w:pPr>
        <w:pStyle w:val="BodyText"/>
      </w:pPr>
      <w:r>
        <w:t xml:space="preserve">Peer set suggestions for the partner. Keep the set as given. Two additions are worth considering for the local bancassurance cluster: Standard Bank should be shown with and without Liberty, since Liberty’s advice force distorts the acquisition ratio; and Old Mutual’s bank distribution deal data will not be separable, so it stays in the non-bank reference. On the global list, Intesa and Lloyds will yield only partial metrics, and the Indian and Brazilian peers will need the gross written premium basis rather than insurance revenue.</w:t>
      </w:r>
    </w:p>
    <w:bookmarkEnd w:id="33"/>
    <w:bookmarkStart w:id="34" w:name="X0c4ca370542d85b57eefef57d99446323b28796"/>
    <w:p>
      <w:pPr>
        <w:pStyle w:val="Heading3"/>
      </w:pPr>
      <w:r>
        <w:t xml:space="preserve">10.3 Items likely to need management information</w:t>
      </w:r>
    </w:p>
    <w:p>
      <w:pPr>
        <w:pStyle w:val="FirstParagraph"/>
      </w:pPr>
      <w:r>
        <w:t xml:space="preserve">A preliminary list, to be firmed up in Phase 2. AFS expense by nature by entity. Attributable and non-attributable split by entity. Headcount by function and entity. In-force policy counts by product. Adviser headcount and productivity. Commission and fees paid to Absa Bank by product. Group shared service recharges by service. Reinsurance programme structure and cost by entity. Target solvency cover and own funds by entity. Platform and vendor inventory with contract values.</w:t>
      </w:r>
    </w:p>
    <w:bookmarkEnd w:id="34"/>
    <w:bookmarkEnd w:id="35"/>
    <w:bookmarkStart w:id="36" w:name="decisions-requested-before-phase-2"/>
    <w:p>
      <w:pPr>
        <w:pStyle w:val="Heading2"/>
      </w:pPr>
      <w:r>
        <w:t xml:space="preserve">11. Decisions requested before Phase 2</w:t>
      </w:r>
    </w:p>
    <w:p>
      <w:pPr>
        <w:numPr>
          <w:ilvl w:val="0"/>
          <w:numId w:val="1001"/>
        </w:numPr>
        <w:pStyle w:val="Compact"/>
      </w:pPr>
      <w:r>
        <w:t xml:space="preserve">Perimeter: AFS legal entities, or bancassurance as an economic activity including bank-side distribution cost. The addressable base differs materially.</w:t>
      </w:r>
    </w:p>
    <w:p>
      <w:pPr>
        <w:numPr>
          <w:ilvl w:val="0"/>
          <w:numId w:val="1001"/>
        </w:numPr>
        <w:pStyle w:val="Compact"/>
      </w:pPr>
      <w:r>
        <w:t xml:space="preserve">Kenya: show as discontinued from FY25 and exclude from the addressable base, or include until completion.</w:t>
      </w:r>
    </w:p>
    <w:p>
      <w:pPr>
        <w:numPr>
          <w:ilvl w:val="0"/>
          <w:numId w:val="1001"/>
        </w:numPr>
        <w:pStyle w:val="Compact"/>
      </w:pPr>
      <w:r>
        <w:t xml:space="preserve">Cost of capital: in scope as an economic saving shown separately, or out of scope.</w:t>
      </w:r>
    </w:p>
    <w:p>
      <w:pPr>
        <w:numPr>
          <w:ilvl w:val="0"/>
          <w:numId w:val="1001"/>
        </w:numPr>
        <w:pStyle w:val="Compact"/>
      </w:pPr>
      <w:r>
        <w:t xml:space="preserve">Policyholder-borne investment fees: out of scope (recommended), since they are a margin question.</w:t>
      </w:r>
    </w:p>
    <w:p>
      <w:pPr>
        <w:numPr>
          <w:ilvl w:val="0"/>
          <w:numId w:val="1001"/>
        </w:numPr>
        <w:pStyle w:val="Compact"/>
      </w:pPr>
      <w:r>
        <w:t xml:space="preserve">Entity statements: ask the client for Absa Life, AIC and ARTIC statements for FY23 to FY25 rather than purchasing from CIPC.</w:t>
      </w:r>
    </w:p>
    <w:p>
      <w:pPr>
        <w:numPr>
          <w:ilvl w:val="0"/>
          <w:numId w:val="1001"/>
        </w:numPr>
        <w:pStyle w:val="Compact"/>
      </w:pPr>
      <w:r>
        <w:t xml:space="preserve">Peer set: confirm as given, with Standard Bank shown with and without Liberty.</w:t>
      </w:r>
    </w:p>
    <w:bookmarkEnd w:id="36"/>
    <w:bookmarkStart w:id="37" w:name="decisions-taken-6-october-2026"/>
    <w:p>
      <w:pPr>
        <w:pStyle w:val="Heading2"/>
      </w:pPr>
      <w:r>
        <w:t xml:space="preserve">12. Decisions taken (6 October 2026)</w:t>
      </w:r>
    </w:p>
    <w:p>
      <w:pPr>
        <w:pStyle w:val="FirstParagraph"/>
      </w:pPr>
      <w:r>
        <w:t xml:space="preserve">Perimeter is the AFS South African legal entities: Absa Life, AIC, ARTIC, AIFA, Instant Life, AIMS, Absa Stockbrokers and Portfolio Management and Absa Trust. Kenya (ALAK, First Assurance, Absa Asset Management Kenya), the Botswana, Zambia and Mozambique entities sold in 2025, the Botswana agency and the closed AIRMS licence are stripped out and shown only as a reconciling item. Cost of capital is in scope and reported as a separate economic line, never added to the accounting cost base without saying so. Policyholder-borne investment fees are out of scope. Entity statements are to be obtained from public sources by the analyst. The peer set stands as specified, with Standard Bank shown with and without Liberty.</w:t>
      </w:r>
    </w:p>
    <w:bookmarkEnd w:id="37"/>
    <w:bookmarkEnd w:id="38"/>
    <w:sectPr>
      <w:pgSz w:w="16838" w:h="11906" w:orient="landscape"/>
      <w:pgMar w:top="1134" w:right="1134" w:bottom="1134" w:left="1134"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2026-10-07T01:45:29Z</dcterms:created>
  <dcterms:modified xsi:type="dcterms:W3CDTF">2026-10-07T01:45:29Z</dcterms:modified>
</cp:coreProperties>
</file>

<file path=docProps/custom.xml><?xml version="1.0" encoding="utf-8"?>
<Properties xmlns="http://schemas.openxmlformats.org/officeDocument/2006/custom-properties" xmlns:vt="http://schemas.openxmlformats.org/officeDocument/2006/docPropsVTypes"/>
</file>