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3d703ea26697703424cec05bdb792c9295b3b4c"/>
    <w:p>
      <w:pPr>
        <w:pStyle w:val="Heading1"/>
      </w:pPr>
      <w:r>
        <w:t xml:space="preserve">02 AFS cost structure from public information</w:t>
      </w:r>
    </w:p>
    <w:p>
      <w:pPr>
        <w:pStyle w:val="FirstParagraph"/>
      </w:pPr>
      <w:r>
        <w:t xml:space="preserve">Phase 2 deliverable. Date: 7 October 2026. Perimeter: AFS South African entities (Absa Life, Absa Insurance Company, Absa Risk Transfer Insurance Company, Absa Insurance and Financial Advisers, Instant Life, AIMS, Absa Stockbrokers and Portfolio Management, Absa Trust). Kenya and the entities sold in 2025 are excluded and shown only as reconciling items. Currency: rand millions. Basis: IFRS 17 unless stated. Tags: Fact, Derived (formula shown), Assumption (dagger). Every figure carries a data_id that resolves to document, page and URL on the Raw data tab of</w:t>
      </w:r>
      <w:r>
        <w:t xml:space="preserve"> </w:t>
      </w:r>
      <w:r>
        <w:rPr>
          <w:rStyle w:val="VerbatimChar"/>
        </w:rPr>
        <w:t xml:space="preserve">afs_cost_benchmark.xlsx</w:t>
      </w:r>
      <w:r>
        <w:t xml:space="preserve"> </w:t>
      </w:r>
      <w:r>
        <w:t xml:space="preserve">and in</w:t>
      </w:r>
      <w:r>
        <w:t xml:space="preserve"> </w:t>
      </w:r>
      <w:r>
        <w:rPr>
          <w:rStyle w:val="VerbatimChar"/>
        </w:rPr>
        <w:t xml:space="preserve">source_log.csv</w:t>
      </w:r>
      <w:r>
        <w:t xml:space="preserve">.</w:t>
      </w:r>
    </w:p>
    <w:bookmarkStart w:id="20" w:name="answer-first"/>
    <w:p>
      <w:pPr>
        <w:pStyle w:val="Heading2"/>
      </w:pPr>
      <w:r>
        <w:t xml:space="preserve">Answer first</w:t>
      </w:r>
    </w:p>
    <w:p>
      <w:pPr>
        <w:pStyle w:val="FirstParagraph"/>
      </w:pPr>
      <w:r>
        <w:t xml:space="preserve">The public record supports a cost base for the AFS underwriters of about R3.5bn on the base case, and a further R1.7bn for the advice and investment businesses on an older but disclosed basis. Insurance SA (Absa Life, AIC, ARTIC and the insurance head office) earned insurance revenue of R9 079m in FY2025 and reported other operating expenses of R1 042m, which is 11.5 percent of revenue. Inside insurance service expenses of R7 225m sit the claims, the amortised acquisition cost and an undisclosed block of attributable expenses. That block is the single biggest gap in the public record and is bracketed here at R363m to R999m, base R726m, on peer evidence.</w:t>
      </w:r>
    </w:p>
    <w:p>
      <w:pPr>
        <w:pStyle w:val="BodyText"/>
      </w:pPr>
      <w:r>
        <w:t xml:space="preserve">Three findings matter for the point of view. First, the overhead sits in the non-life book and the head office. Non-Life SA carries non-attributable expenses of 12.3 percent of revenue against 4.0 percent in Life SA, and the Insurance HO column has grown from R276m to R326m in a year while reporting a loss before tax of R288m. Second, the fee paid to the bank dominates acquisition cost. Absa Bank Limited received R774m of insurance commission in FY2025, which is 56 percent of the acquisition cash flows allocated to South Africa. Strip it out and AFS acquires at 6.7 percent of revenue, which is at peer top quartile. Third, the intermediary block is larger than the underwriters’ overhead. The Non-Banking Financial Services segment, which housed AIFA, AIMS, Absa Trust and the stockbroker, spent R1 724m against non-interest income of R1 104m in FY2023 and reported a headline loss of R389m. That block has not been disclosed separately since.</w:t>
      </w:r>
    </w:p>
    <w:p>
      <w:pPr>
        <w:pStyle w:val="BodyText"/>
      </w:pPr>
      <w:r>
        <w:t xml:space="preserve">The addressable accounting cost base, defined as operating expense plus acquisition cost excluding the bank fee plus shareholder investment cost, is R3 119m to R4 161m, base R3 710m. Applying the precedent range of 6 to 13 percent gives a run-rate hypothesis of R187m to R541m before claims leakage, reinsurance and capital. The total hypothesis across all levers is R252m to R754m, base R468m, at a cost to achieve of R126m to R1 356m. This is a hypothesis range built from public data and peer evidence. It is not a target.</w:t>
      </w:r>
    </w:p>
    <w:bookmarkEnd w:id="20"/>
    <w:bookmarkStart w:id="21" w:name="Xb6632eeb14556a42c001b94b5f0d02f6951af2c"/>
    <w:p>
      <w:pPr>
        <w:pStyle w:val="Heading2"/>
      </w:pPr>
      <w:r>
        <w:t xml:space="preserve">1. What the public record contains and what it does not</w:t>
      </w:r>
    </w:p>
    <w:p>
      <w:pPr>
        <w:pStyle w:val="FirstParagraph"/>
      </w:pPr>
      <w:r>
        <w:t xml:space="preserve">Absa discloses Insurance SA as a sub-segment of Personal and Private Banking in the results booklets, with a full insurance-format income statement for Life, Non-Life and Insurance HO, and the Group annual financial statements carry the IFRS 17 note 8 roll-forwards at group level, which includes Kenya. No AFS entity publishes standalone statements online. The KPMG South African Insurance Industry Survey carries entity tables for Absa Life Limited and Absa Insurance Company Limited to FY2024, which gives the only entity-level non-attributable expense figures. Absa Bank Limited discloses insurance commission received but does not name the counterparty. No document gives AFS headcount, policy counts, adviser numbers, expense by nature, the attributable expense split, group recharges, or FY2025 entity figures.</w:t>
      </w:r>
    </w:p>
    <w:p>
      <w:pPr>
        <w:pStyle w:val="BodyText"/>
      </w:pPr>
      <w:r>
        <w:t xml:space="preserve">Three different Insurance SA perimeters appear across the booklets. The FY2023 and FY2024 booklets show Life plus Non-Life only. The 1H2025 booklet adds Insurance HO and associates. The FY2025 and 1H2026 booklets show Life, Non-Life and HO with associates removed, and the 1H2026 booklet restates FY2025 again (headline earnings R996m from R1 010m, other operating expenses R1 060m from R1 042m). The series below uses the FY2025 booklet basis from FY2024 onward and flags FY2023 as the older basis. The two cannot be spliced without an adjustment, and the adjustment is the HO column.</w:t>
      </w:r>
    </w:p>
    <w:bookmarkEnd w:id="21"/>
    <w:bookmarkStart w:id="28" w:name="findings"/>
    <w:p>
      <w:pPr>
        <w:pStyle w:val="Heading2"/>
      </w:pPr>
      <w:r>
        <w:t xml:space="preserve">2. Findings</w:t>
      </w:r>
    </w:p>
    <w:bookmarkStart w:id="22" w:name="revenue-and-cost-base-by-line"/>
    <w:p>
      <w:pPr>
        <w:pStyle w:val="Heading3"/>
      </w:pPr>
      <w:r>
        <w:t xml:space="preserve">2.1 Revenue and cost base by line</w:t>
      </w:r>
    </w:p>
    <w:p>
      <w:pPr>
        <w:pStyle w:val="FirstParagraph"/>
      </w:pPr>
      <w:r>
        <w:t xml:space="preserve">Insurance SA revenue grew from R8 849m to R9 079m between FY2024 and FY2025, with Life at R5 310m and Non-Life at R4 102m and the HO column carrying negative revenue of R333m from intra-AFS eliminations. Insurance service expenses were R7 225m, 79.6 percent of revenue, and the insurance service result R1 655m. Other operating expenses, which are the non-attributable costs outside the service result, were R1 042m. Headline earnings fell from R1 082m to R1 010m. The reported cost-to-income ratio of 40.0 percent divides segment operating expenses by net insurance income after claims and including investment income, so it is a bank metric, not an insurer expense ratio, and should not be compared with any peer’s expense ratio.</w:t>
      </w:r>
    </w:p>
    <w:p>
      <w:pPr>
        <w:pStyle w:val="BodyText"/>
      </w:pPr>
      <w:r>
        <w:t xml:space="preserve">By division, Life SA is lean on overhead and heavy on claims: non-attributable expenses are 4.0 percent of revenue and the service expense ratio is 78.7 percent. Non-Life SA is the reverse: service expenses are 77.6 percent of revenue, which is a good underwriting result for personal lines, but non-attributable expenses are 12.3 percent. The HO column holds R326m of non-attributable cost, up 18 percent on the year, and this is the natural home of duplicated licence, governance and control-function cost.</w:t>
      </w:r>
    </w:p>
    <w:p>
      <w:pPr>
        <w:pStyle w:val="BodyText"/>
      </w:pPr>
      <w:r>
        <w:t xml:space="preserve">The advice and investment businesses appear only in older booklets. The FY2023 Non-Banking Financial Services segment reported non-interest income of R1 104m against operating expenses of R1 724m and a headline loss of R389m. In FY2024 the block was merged with the Product Solutions Cluster head office (income R1 274m, expenses R2 073m, loss R515m), and from FY2025 it is folded into Transactions and Deposits. The intermediary cost base is therefore an FY2023 fact carried forward as an assumption, bracketed R1 500m to R1 900m.</w:t>
      </w:r>
    </w:p>
    <w:bookmarkEnd w:id="22"/>
    <w:bookmarkStart w:id="23" w:name="expense-split"/>
    <w:p>
      <w:pPr>
        <w:pStyle w:val="Heading3"/>
      </w:pPr>
      <w:r>
        <w:t xml:space="preserve">2.2 Expense split</w:t>
      </w:r>
    </w:p>
    <w:p>
      <w:pPr>
        <w:pStyle w:val="FirstParagraph"/>
      </w:pPr>
      <w:r>
        <w:t xml:space="preserve">Absa does not split other directly attributable expenses from incurred claims in note 8. The disclosed components at group level are incurred claims and other attributable expenses, amortisation of insurance acquisition cash flows, and losses on onerous contracts. Allocating the group components to South Africa by each division’s share of group insurance service expenses (life 88.5 percent, non-life 75.1 percent in FY2025, tagged as an assumption because Kenya’s mix differs) gives allocated incurred claims and attributable expenses of R5 900m, amortised acquisition cost of R982m, and onerous losses of R356m for Insurance SA in FY2025. The attributable expense carve-out is set at 4 to 11 percent of revenue from peer disclosures (Capitec 2.6 percent, Standard Bank 9.5 percent, Liberty 11.2 percent, Sanlam 13.6 percent, Old Mutual 15.7 percent), with the base at 8 percent, which is R726m.</w:t>
      </w:r>
    </w:p>
    <w:p>
      <w:pPr>
        <w:pStyle w:val="BodyText"/>
      </w:pPr>
      <w:r>
        <w:t xml:space="preserve">Expense by nature is not disclosed for AFS. The Group’s own split (staff 58 percent of operating expenses) cannot be assumed to hold for an insurer. The First Assurance Kenya statements show what an entity-level split looks like (employee benefits KES 559m, IT and other contracted services inside a KES 348m other line) but Kenya is out of perimeter.</w:t>
      </w:r>
    </w:p>
    <w:bookmarkEnd w:id="23"/>
    <w:bookmarkStart w:id="24" w:name="operational-counts"/>
    <w:p>
      <w:pPr>
        <w:pStyle w:val="Heading3"/>
      </w:pPr>
      <w:r>
        <w:t xml:space="preserve">2.3 Operational counts</w:t>
      </w:r>
    </w:p>
    <w:p>
      <w:pPr>
        <w:pStyle w:val="FirstParagraph"/>
      </w:pPr>
      <w:r>
        <w:t xml:space="preserve">None are public. Group headcount was 37 033 at FY2025, with 26 565 in South Africa, but no insurance split exists. The FSCA register confirms AIFA, Instant Life and AIMS as authorised FSPs but does not populate representative or key individual counts. Policy counts, adviser numbers, claims counts and assets under administration for AIMS are all management information.</w:t>
      </w:r>
    </w:p>
    <w:bookmarkEnd w:id="24"/>
    <w:bookmarkStart w:id="25" w:name="intra-group-flows"/>
    <w:p>
      <w:pPr>
        <w:pStyle w:val="Heading3"/>
      </w:pPr>
      <w:r>
        <w:t xml:space="preserve">2.4 Intra-group flows</w:t>
      </w:r>
    </w:p>
    <w:p>
      <w:pPr>
        <w:pStyle w:val="FirstParagraph"/>
      </w:pPr>
      <w:r>
        <w:t xml:space="preserve">Absa Bank Limited recognised insurance commission received of R774m in FY2025, R774m in FY2024 and R739m in FY2023, all allocated to PPB. The counterparty is not named, so treating it as the fee AFS pays the bank channel is an assumption. On that assumption it is 56 percent of the acquisition cash flows allocated to South Africa in FY2025. The acquisition ratio on a cash basis is 15.3 percent of revenue including the bank fee and 6.7 percent excluding it. The Bank’s related party note gives fee and commission income from fellow subsidiaries of R812m and operating expenditure with fellow subsidiaries of R1 573m, but neither names Absa Life, AIC or AIFA, so group recharges into AFS cannot be isolated and the opex ratio without recharges cannot be computed.</w:t>
      </w:r>
    </w:p>
    <w:bookmarkEnd w:id="25"/>
    <w:bookmarkStart w:id="26" w:name="top-down-and-bottom-up-reconciliation"/>
    <w:p>
      <w:pPr>
        <w:pStyle w:val="Heading3"/>
      </w:pPr>
      <w:r>
        <w:t xml:space="preserve">2.5 Top-down and bottom-up reconciliation</w:t>
      </w:r>
    </w:p>
    <w:p>
      <w:pPr>
        <w:pStyle w:val="FirstParagraph"/>
      </w:pPr>
      <w:r>
        <w:t xml:space="preserve">Top-down, Group insurance revenue of R11 678m less the Africa Regions segment’s R2 130m gives R9 548m for South Africa, which is R469m more than Insurance SA. The difference is insurance revenue booked in South Africa outside AFS: products inside PPB that are not Insurance SA (vehicle warranties and similar), R34m in Business Banking and R54m in CIB. Bottom-up, the KPMG entity tables for FY2024 give Absa Life Limited revenue of R4 944m and AIC R3 987m, R8 931m together, which is R82m more than Insurance SA’s R8 849m. The gap is the negative HO revenue, ARTIC (not a survey participant) and the Instant Life cell. On cost, entity non-attributable expenses of R765m (Absa Life R293m, AIC R472m) are R225m below the segment’s R990m, which is the HO cost the entities do not carry. The three views reconcile to within the disclosed HO column, which is itself the finding: the head office is where the undisclosed cost sits.</w:t>
      </w:r>
    </w:p>
    <w:bookmarkEnd w:id="26"/>
    <w:bookmarkStart w:id="27" w:name="cost-of-capital"/>
    <w:p>
      <w:pPr>
        <w:pStyle w:val="Heading3"/>
      </w:pPr>
      <w:r>
        <w:t xml:space="preserve">2.6 Cost of capital</w:t>
      </w:r>
    </w:p>
    <w:p>
      <w:pPr>
        <w:pStyle w:val="FirstParagraph"/>
      </w:pPr>
      <w:r>
        <w:t xml:space="preserve">Segment equity of R5 540m at a cost of equity of 15.1 percent (Absa Group Integrated Report 2025) is an economic charge of R837m. Solo covers at December 2025 are 1.51 for Absa Life, 1.81 for AIC, 2.11 for ARTIC and 1.49 for the AFS insurance group. On a target cover assumption of 1.25 to 1.50 and IFRS equity as the own-funds proxy, capital above target costs R0m to R129m a year, base R79m. This is reported separately from the accounting cost base.</w:t>
      </w:r>
    </w:p>
    <w:bookmarkEnd w:id="27"/>
    <w:bookmarkEnd w:id="28"/>
    <w:bookmarkStart w:id="37" w:name="Xfd5ca62fc6d07f1c81892d61fd5e9e9a9c8f566"/>
    <w:p>
      <w:pPr>
        <w:pStyle w:val="Heading2"/>
      </w:pPr>
      <w:r>
        <w:t xml:space="preserve">3. Tables (live in the workbook, tab AFS cost base)</w:t>
      </w:r>
    </w:p>
    <w:bookmarkStart w:id="29" w:name="X27c536318b605feae9ff14bb939c71e83c3d8b1"/>
    <w:p>
      <w:pPr>
        <w:pStyle w:val="Heading4"/>
      </w:pPr>
      <w:r>
        <w:t xml:space="preserve">A. Insurance SA income statement (segment, insurance presentation)</w:t>
      </w:r>
    </w:p>
    <w:tbl>
      <w:tblPr>
        <w:tblStyle w:val="Table"/>
        <w:tblLook w:firstRow="1" w:lastRow="0" w:firstColumn="0" w:lastColumn="0" w:noHBand="0" w:noVBand="0" w:val="0020"/>
        <w:jc w:val="start"/>
        <w:tblW w:w="14566" w:type="dxa"/>
        <w:tblLayout w:type="fixed"/>
      </w:tblPr>
      <w:tblGrid>
        <w:gridCol w:w="5629"/>
        <w:gridCol w:w="5629"/>
        <w:gridCol w:w="827"/>
        <w:gridCol w:w="827"/>
        <w:gridCol w:w="827"/>
        <w:gridCol w:w="827"/>
      </w:tblGrid>
      <w:tr>
        <w:trPr>
          <w:tblHeader w:val="true"/>
        </w:trPr>
        <w:tc>
          <w:tcPr>
            <w:tcW w:w="5629" w:type="dxa"/>
          </w:tcPr>
          <w:p>
            <w:pPr>
              <w:pStyle w:val="Compact"/>
              <w:jc w:val="left"/>
              <w:spacing w:before="20" w:after="20" w:line="220" w:lineRule="auto"/>
            </w:pPr>
            <w:r>
              <w:rPr>
                <w:sz w:val="15"/>
                <w:szCs w:val="15"/>
              </w:rPr>
              <w:t xml:space="preserve">Line</w:t>
            </w:r>
          </w:p>
        </w:tc>
        <w:tc>
          <w:tcPr>
            <w:tcW w:w="5629" w:type="dxa"/>
          </w:tcPr>
          <w:p>
            <w:pPr>
              <w:pStyle w:val="Compact"/>
              <w:jc w:val="left"/>
              <w:spacing w:before="20" w:after="20" w:line="220" w:lineRule="auto"/>
            </w:pPr>
            <w:r>
              <w:rPr>
                <w:sz w:val="15"/>
                <w:szCs w:val="15"/>
              </w:rPr>
              <w:t xml:space="preserve">Basis</w:t>
            </w:r>
          </w:p>
        </w:tc>
        <w:tc>
          <w:tcPr>
            <w:tcW w:w="827" w:type="dxa"/>
          </w:tcPr>
          <w:p>
            <w:pPr>
              <w:pStyle w:val="Compact"/>
              <w:jc w:val="left"/>
              <w:spacing w:before="20" w:after="20" w:line="220" w:lineRule="auto"/>
            </w:pPr>
            <w:r>
              <w:rPr>
                <w:sz w:val="15"/>
                <w:szCs w:val="15"/>
              </w:rPr>
              <w:t xml:space="preserve">FY2023</w:t>
            </w:r>
          </w:p>
        </w:tc>
        <w:tc>
          <w:tcPr>
            <w:tcW w:w="827" w:type="dxa"/>
          </w:tcPr>
          <w:p>
            <w:pPr>
              <w:pStyle w:val="Compact"/>
              <w:jc w:val="left"/>
              <w:spacing w:before="20" w:after="20" w:line="220" w:lineRule="auto"/>
            </w:pPr>
            <w:r>
              <w:rPr>
                <w:sz w:val="15"/>
                <w:szCs w:val="15"/>
              </w:rPr>
              <w:t xml:space="preserve">FY2024</w:t>
            </w:r>
          </w:p>
        </w:tc>
        <w:tc>
          <w:tcPr>
            <w:tcW w:w="827" w:type="dxa"/>
          </w:tcPr>
          <w:p>
            <w:pPr>
              <w:pStyle w:val="Compact"/>
              <w:jc w:val="left"/>
              <w:spacing w:before="20" w:after="20" w:line="220" w:lineRule="auto"/>
            </w:pPr>
            <w:r>
              <w:rPr>
                <w:sz w:val="15"/>
                <w:szCs w:val="15"/>
              </w:rPr>
              <w:t xml:space="preserve">FY2025</w:t>
            </w:r>
          </w:p>
        </w:tc>
        <w:tc>
          <w:tcPr>
            <w:tcW w:w="827" w:type="dxa"/>
          </w:tcPr>
          <w:p>
            <w:pPr>
              <w:pStyle w:val="Compact"/>
              <w:jc w:val="left"/>
              <w:spacing w:before="20" w:after="20" w:line="220" w:lineRule="auto"/>
            </w:pPr>
            <w:r>
              <w:rPr>
                <w:sz w:val="15"/>
                <w:szCs w:val="15"/>
              </w:rPr>
              <w:t xml:space="preserve">1H2026</w:t>
            </w:r>
          </w:p>
        </w:tc>
      </w:tr>
      <w:tr>
        <w:tc>
          <w:tcPr>
            <w:tcW w:w="5629" w:type="dxa"/>
          </w:tcPr>
          <w:p>
            <w:pPr>
              <w:pStyle w:val="Compact"/>
              <w:jc w:val="left"/>
              <w:spacing w:before="20" w:after="20" w:line="220" w:lineRule="auto"/>
            </w:pPr>
            <w:r>
              <w:rPr>
                <w:sz w:val="15"/>
                <w:szCs w:val="15"/>
              </w:rPr>
              <w:t xml:space="preserve">Insurance revenue</w:t>
            </w:r>
          </w:p>
        </w:tc>
        <w:tc>
          <w:tcPr>
            <w:tcW w:w="5629" w:type="dxa"/>
          </w:tcPr>
          <w:p>
            <w:pPr>
              <w:pStyle w:val="Compact"/>
              <w:jc w:val="left"/>
              <w:spacing w:before="20" w:after="20" w:line="220" w:lineRule="auto"/>
            </w:pPr>
            <w:r>
              <w:rPr>
                <w:sz w:val="15"/>
                <w:szCs w:val="15"/>
              </w:rPr>
              <w:t xml:space="preserve">Fact; FY2023 on FY2024 booklet basis (no HO)</w:t>
            </w:r>
          </w:p>
        </w:tc>
        <w:tc>
          <w:tcPr>
            <w:tcW w:w="827" w:type="dxa"/>
          </w:tcPr>
          <w:p>
            <w:pPr>
              <w:pStyle w:val="Compact"/>
              <w:jc w:val="left"/>
              <w:spacing w:before="20" w:after="20" w:line="220" w:lineRule="auto"/>
            </w:pPr>
            <w:r>
              <w:rPr>
                <w:sz w:val="15"/>
                <w:szCs w:val="15"/>
              </w:rPr>
              <w:t xml:space="preserve">8,678</w:t>
            </w:r>
          </w:p>
        </w:tc>
        <w:tc>
          <w:tcPr>
            <w:tcW w:w="827" w:type="dxa"/>
          </w:tcPr>
          <w:p>
            <w:pPr>
              <w:pStyle w:val="Compact"/>
              <w:jc w:val="left"/>
              <w:spacing w:before="20" w:after="20" w:line="220" w:lineRule="auto"/>
            </w:pPr>
            <w:r>
              <w:rPr>
                <w:sz w:val="15"/>
                <w:szCs w:val="15"/>
              </w:rPr>
              <w:t xml:space="preserve">8,849</w:t>
            </w:r>
          </w:p>
        </w:tc>
        <w:tc>
          <w:tcPr>
            <w:tcW w:w="827" w:type="dxa"/>
          </w:tcPr>
          <w:p>
            <w:pPr>
              <w:pStyle w:val="Compact"/>
              <w:jc w:val="left"/>
              <w:spacing w:before="20" w:after="20" w:line="220" w:lineRule="auto"/>
            </w:pPr>
            <w:r>
              <w:rPr>
                <w:sz w:val="15"/>
                <w:szCs w:val="15"/>
              </w:rPr>
              <w:t xml:space="preserve">9,079</w:t>
            </w:r>
          </w:p>
        </w:tc>
        <w:tc>
          <w:tcPr>
            <w:tcW w:w="827" w:type="dxa"/>
          </w:tcPr>
          <w:p>
            <w:pPr>
              <w:pStyle w:val="Compact"/>
              <w:jc w:val="left"/>
              <w:spacing w:before="20" w:after="20" w:line="220" w:lineRule="auto"/>
            </w:pPr>
            <w:r>
              <w:rPr>
                <w:sz w:val="15"/>
                <w:szCs w:val="15"/>
              </w:rPr>
              <w:t xml:space="preserve">4,567</w:t>
            </w:r>
          </w:p>
        </w:tc>
      </w:tr>
      <w:tr>
        <w:tc>
          <w:tcPr>
            <w:tcW w:w="5629" w:type="dxa"/>
          </w:tcPr>
          <w:p>
            <w:pPr>
              <w:pStyle w:val="Compact"/>
              <w:jc w:val="left"/>
              <w:spacing w:before="20" w:after="20" w:line="220" w:lineRule="auto"/>
            </w:pPr>
            <w:r>
              <w:rPr>
                <w:sz w:val="15"/>
                <w:szCs w:val="15"/>
              </w:rPr>
              <w:t xml:space="preserve">Insurance service expenses</w:t>
            </w:r>
          </w:p>
        </w:tc>
        <w:tc>
          <w:tcPr>
            <w:tcW w:w="5629" w:type="dxa"/>
          </w:tcPr>
          <w:p>
            <w:pPr>
              <w:pStyle w:val="Compact"/>
              <w:jc w:val="left"/>
              <w:spacing w:before="20" w:after="20" w:line="220" w:lineRule="auto"/>
            </w:pPr>
            <w:r>
              <w:rPr>
                <w:sz w:val="15"/>
                <w:szCs w:val="15"/>
              </w:rPr>
              <w:t xml:space="preserve">Fact; attributable (claims, acquisition amortisation, onerou</w:t>
            </w:r>
          </w:p>
        </w:tc>
        <w:tc>
          <w:tcPr>
            <w:tcW w:w="827" w:type="dxa"/>
          </w:tcPr>
          <w:p>
            <w:pPr>
              <w:pStyle w:val="Compact"/>
              <w:jc w:val="left"/>
              <w:spacing w:before="20" w:after="20" w:line="220" w:lineRule="auto"/>
            </w:pPr>
            <w:r>
              <w:rPr>
                <w:sz w:val="15"/>
                <w:szCs w:val="15"/>
              </w:rPr>
              <w:t xml:space="preserve">6,763</w:t>
            </w:r>
          </w:p>
        </w:tc>
        <w:tc>
          <w:tcPr>
            <w:tcW w:w="827" w:type="dxa"/>
          </w:tcPr>
          <w:p>
            <w:pPr>
              <w:pStyle w:val="Compact"/>
              <w:jc w:val="left"/>
              <w:spacing w:before="20" w:after="20" w:line="220" w:lineRule="auto"/>
            </w:pPr>
            <w:r>
              <w:rPr>
                <w:sz w:val="15"/>
                <w:szCs w:val="15"/>
              </w:rPr>
              <w:t xml:space="preserve">7,031</w:t>
            </w:r>
          </w:p>
        </w:tc>
        <w:tc>
          <w:tcPr>
            <w:tcW w:w="827" w:type="dxa"/>
          </w:tcPr>
          <w:p>
            <w:pPr>
              <w:pStyle w:val="Compact"/>
              <w:jc w:val="left"/>
              <w:spacing w:before="20" w:after="20" w:line="220" w:lineRule="auto"/>
            </w:pPr>
            <w:r>
              <w:rPr>
                <w:sz w:val="15"/>
                <w:szCs w:val="15"/>
              </w:rPr>
              <w:t xml:space="preserve">7,225</w:t>
            </w:r>
          </w:p>
        </w:tc>
        <w:tc>
          <w:tcPr>
            <w:tcW w:w="827" w:type="dxa"/>
          </w:tcPr>
          <w:p>
            <w:pPr>
              <w:pStyle w:val="Compact"/>
              <w:jc w:val="left"/>
              <w:spacing w:before="20" w:after="20" w:line="220" w:lineRule="auto"/>
            </w:pPr>
            <w:r>
              <w:rPr>
                <w:sz w:val="15"/>
                <w:szCs w:val="15"/>
              </w:rPr>
              <w:t xml:space="preserve">3,494</w:t>
            </w:r>
          </w:p>
        </w:tc>
      </w:tr>
      <w:tr>
        <w:tc>
          <w:tcPr>
            <w:tcW w:w="5629" w:type="dxa"/>
          </w:tcPr>
          <w:p>
            <w:pPr>
              <w:pStyle w:val="Compact"/>
              <w:jc w:val="left"/>
              <w:spacing w:before="20" w:after="20" w:line="220" w:lineRule="auto"/>
            </w:pPr>
            <w:r>
              <w:rPr>
                <w:sz w:val="15"/>
                <w:szCs w:val="15"/>
              </w:rPr>
              <w:t xml:space="preserve">Net expense from reinsurance contracts held</w:t>
            </w:r>
          </w:p>
        </w:tc>
        <w:tc>
          <w:tcPr>
            <w:tcW w:w="5629" w:type="dxa"/>
          </w:tcPr>
          <w:p>
            <w:pPr>
              <w:pStyle w:val="Compact"/>
              <w:jc w:val="left"/>
              <w:spacing w:before="20" w:after="20" w:line="220" w:lineRule="auto"/>
            </w:pPr>
            <w:r>
              <w:rPr>
                <w:sz w:val="15"/>
                <w:szCs w:val="15"/>
              </w:rPr>
              <w:t xml:space="preserve">Fact; negative = net cost (sign as disclosed)</w:t>
            </w:r>
          </w:p>
        </w:tc>
        <w:tc>
          <w:tcPr>
            <w:tcW w:w="827" w:type="dxa"/>
          </w:tcPr>
          <w:p>
            <w:pPr>
              <w:pStyle w:val="Compact"/>
              <w:jc w:val="left"/>
              <w:spacing w:before="20" w:after="20" w:line="220" w:lineRule="auto"/>
            </w:pPr>
            <w:r>
              <w:rPr>
                <w:sz w:val="15"/>
                <w:szCs w:val="15"/>
              </w:rPr>
              <w:t xml:space="preserve">-341</w:t>
            </w:r>
          </w:p>
        </w:tc>
        <w:tc>
          <w:tcPr>
            <w:tcW w:w="827" w:type="dxa"/>
          </w:tcPr>
          <w:p>
            <w:pPr>
              <w:pStyle w:val="Compact"/>
              <w:jc w:val="left"/>
              <w:spacing w:before="20" w:after="20" w:line="220" w:lineRule="auto"/>
            </w:pPr>
            <w:r>
              <w:rPr>
                <w:sz w:val="15"/>
                <w:szCs w:val="15"/>
              </w:rPr>
              <w:t xml:space="preserve">-123</w:t>
            </w:r>
          </w:p>
        </w:tc>
        <w:tc>
          <w:tcPr>
            <w:tcW w:w="827" w:type="dxa"/>
          </w:tcPr>
          <w:p>
            <w:pPr>
              <w:pStyle w:val="Compact"/>
              <w:jc w:val="left"/>
              <w:spacing w:before="20" w:after="20" w:line="220" w:lineRule="auto"/>
            </w:pPr>
            <w:r>
              <w:rPr>
                <w:sz w:val="15"/>
                <w:szCs w:val="15"/>
              </w:rPr>
              <w:t xml:space="preserve">-199</w:t>
            </w:r>
          </w:p>
        </w:tc>
        <w:tc>
          <w:tcPr>
            <w:tcW w:w="827" w:type="dxa"/>
          </w:tcPr>
          <w:p>
            <w:pPr>
              <w:pStyle w:val="Compact"/>
              <w:jc w:val="left"/>
              <w:spacing w:before="20" w:after="20" w:line="220" w:lineRule="auto"/>
            </w:pPr>
            <w:r>
              <w:rPr>
                <w:sz w:val="15"/>
                <w:szCs w:val="15"/>
              </w:rPr>
              <w:t xml:space="preserve">-138</w:t>
            </w:r>
          </w:p>
        </w:tc>
      </w:tr>
      <w:tr>
        <w:tc>
          <w:tcPr>
            <w:tcW w:w="5629" w:type="dxa"/>
          </w:tcPr>
          <w:p>
            <w:pPr>
              <w:pStyle w:val="Compact"/>
              <w:jc w:val="left"/>
              <w:spacing w:before="20" w:after="20" w:line="220" w:lineRule="auto"/>
            </w:pPr>
            <w:r>
              <w:rPr>
                <w:sz w:val="15"/>
                <w:szCs w:val="15"/>
              </w:rPr>
              <w:t xml:space="preserve">Insurance service result</w:t>
            </w:r>
          </w:p>
        </w:tc>
        <w:tc>
          <w:tcPr>
            <w:tcW w:w="5629" w:type="dxa"/>
          </w:tcPr>
          <w:p>
            <w:pPr>
              <w:pStyle w:val="Compact"/>
              <w:jc w:val="left"/>
              <w:spacing w:before="20" w:after="20" w:line="220" w:lineRule="auto"/>
            </w:pPr>
            <w:r>
              <w:rPr>
                <w:sz w:val="15"/>
                <w:szCs w:val="15"/>
              </w:rPr>
              <w:t xml:space="preserve">Fact</w:t>
            </w:r>
          </w:p>
        </w:tc>
        <w:tc>
          <w:tcPr>
            <w:tcW w:w="827" w:type="dxa"/>
          </w:tcPr>
          <w:p>
            <w:pPr>
              <w:pStyle w:val="Compact"/>
              <w:jc w:val="left"/>
              <w:spacing w:before="20" w:after="20" w:line="220" w:lineRule="auto"/>
            </w:pPr>
            <w:r>
              <w:rPr>
                <w:sz w:val="15"/>
                <w:szCs w:val="15"/>
              </w:rPr>
              <w:t xml:space="preserve">1,574</w:t>
            </w:r>
          </w:p>
        </w:tc>
        <w:tc>
          <w:tcPr>
            <w:tcW w:w="827" w:type="dxa"/>
          </w:tcPr>
          <w:p>
            <w:pPr>
              <w:pStyle w:val="Compact"/>
              <w:jc w:val="left"/>
              <w:spacing w:before="20" w:after="20" w:line="220" w:lineRule="auto"/>
            </w:pPr>
            <w:r>
              <w:rPr>
                <w:sz w:val="15"/>
                <w:szCs w:val="15"/>
              </w:rPr>
              <w:t xml:space="preserve">1,695</w:t>
            </w:r>
          </w:p>
        </w:tc>
        <w:tc>
          <w:tcPr>
            <w:tcW w:w="827" w:type="dxa"/>
          </w:tcPr>
          <w:p>
            <w:pPr>
              <w:pStyle w:val="Compact"/>
              <w:jc w:val="left"/>
              <w:spacing w:before="20" w:after="20" w:line="220" w:lineRule="auto"/>
            </w:pPr>
            <w:r>
              <w:rPr>
                <w:sz w:val="15"/>
                <w:szCs w:val="15"/>
              </w:rPr>
              <w:t xml:space="preserve">1,655</w:t>
            </w:r>
          </w:p>
        </w:tc>
        <w:tc>
          <w:tcPr>
            <w:tcW w:w="827" w:type="dxa"/>
          </w:tcPr>
          <w:p>
            <w:pPr>
              <w:pStyle w:val="Compact"/>
              <w:jc w:val="left"/>
              <w:spacing w:before="20" w:after="20" w:line="220" w:lineRule="auto"/>
            </w:pPr>
            <w:r>
              <w:rPr>
                <w:sz w:val="15"/>
                <w:szCs w:val="15"/>
              </w:rPr>
              <w:t xml:space="preserve">935</w:t>
            </w:r>
          </w:p>
        </w:tc>
      </w:tr>
      <w:tr>
        <w:tc>
          <w:tcPr>
            <w:tcW w:w="5629" w:type="dxa"/>
          </w:tcPr>
          <w:p>
            <w:pPr>
              <w:pStyle w:val="Compact"/>
              <w:jc w:val="left"/>
              <w:spacing w:before="20" w:after="20" w:line="220" w:lineRule="auto"/>
            </w:pPr>
            <w:r>
              <w:rPr>
                <w:sz w:val="15"/>
                <w:szCs w:val="15"/>
              </w:rPr>
              <w:t xml:space="preserve">Gross operating income (net insurance income incl. investment income)</w:t>
            </w:r>
          </w:p>
        </w:tc>
        <w:tc>
          <w:tcPr>
            <w:tcW w:w="5629" w:type="dxa"/>
          </w:tcPr>
          <w:p>
            <w:pPr>
              <w:pStyle w:val="Compact"/>
              <w:jc w:val="left"/>
              <w:spacing w:before="20" w:after="20" w:line="220" w:lineRule="auto"/>
            </w:pPr>
            <w:r>
              <w:rPr>
                <w:sz w:val="15"/>
                <w:szCs w:val="15"/>
              </w:rPr>
              <w:t xml:space="preserve">Fact; this is the CTI denominator</w:t>
            </w:r>
          </w:p>
        </w:tc>
        <w:tc>
          <w:tcPr>
            <w:tcW w:w="827" w:type="dxa"/>
          </w:tcPr>
          <w:p>
            <w:pPr>
              <w:pStyle w:val="Compact"/>
              <w:jc w:val="left"/>
              <w:spacing w:before="20" w:after="20" w:line="220" w:lineRule="auto"/>
            </w:pPr>
            <w:r>
              <w:rPr>
                <w:sz w:val="15"/>
                <w:szCs w:val="15"/>
              </w:rPr>
              <w:t xml:space="preserve">2,279</w:t>
            </w:r>
          </w:p>
        </w:tc>
        <w:tc>
          <w:tcPr>
            <w:tcW w:w="827" w:type="dxa"/>
          </w:tcPr>
          <w:p>
            <w:pPr>
              <w:pStyle w:val="Compact"/>
              <w:jc w:val="left"/>
              <w:spacing w:before="20" w:after="20" w:line="220" w:lineRule="auto"/>
            </w:pPr>
            <w:r>
              <w:rPr>
                <w:sz w:val="15"/>
                <w:szCs w:val="15"/>
              </w:rPr>
              <w:t xml:space="preserve">2,546</w:t>
            </w:r>
          </w:p>
        </w:tc>
        <w:tc>
          <w:tcPr>
            <w:tcW w:w="827" w:type="dxa"/>
          </w:tcPr>
          <w:p>
            <w:pPr>
              <w:pStyle w:val="Compact"/>
              <w:jc w:val="left"/>
              <w:spacing w:before="20" w:after="20" w:line="220" w:lineRule="auto"/>
            </w:pPr>
            <w:r>
              <w:rPr>
                <w:sz w:val="15"/>
                <w:szCs w:val="15"/>
              </w:rPr>
              <w:t xml:space="preserve">2,490</w:t>
            </w:r>
          </w:p>
        </w:tc>
        <w:tc>
          <w:tcPr>
            <w:tcW w:w="827" w:type="dxa"/>
          </w:tcPr>
          <w:p>
            <w:pPr>
              <w:pStyle w:val="Compact"/>
              <w:jc w:val="left"/>
              <w:spacing w:before="20" w:after="20" w:line="220" w:lineRule="auto"/>
            </w:pPr>
            <w:r>
              <w:rPr>
                <w:sz w:val="15"/>
                <w:szCs w:val="15"/>
              </w:rPr>
              <w:t xml:space="preserve">1,281</w:t>
            </w:r>
          </w:p>
        </w:tc>
      </w:tr>
      <w:tr>
        <w:tc>
          <w:tcPr>
            <w:tcW w:w="5629" w:type="dxa"/>
          </w:tcPr>
          <w:p>
            <w:pPr>
              <w:pStyle w:val="Compact"/>
              <w:jc w:val="left"/>
              <w:spacing w:before="20" w:after="20" w:line="220" w:lineRule="auto"/>
            </w:pPr>
            <w:r>
              <w:rPr>
                <w:sz w:val="15"/>
                <w:szCs w:val="15"/>
              </w:rPr>
              <w:t xml:space="preserve">Other operating expenses (non-attributable)</w:t>
            </w:r>
          </w:p>
        </w:tc>
        <w:tc>
          <w:tcPr>
            <w:tcW w:w="5629" w:type="dxa"/>
          </w:tcPr>
          <w:p>
            <w:pPr>
              <w:pStyle w:val="Compact"/>
              <w:jc w:val="left"/>
              <w:spacing w:before="20" w:after="20" w:line="220" w:lineRule="auto"/>
            </w:pPr>
            <w:r>
              <w:rPr>
                <w:sz w:val="15"/>
                <w:szCs w:val="15"/>
              </w:rPr>
              <w:t xml:space="preserve">Fact; FY2025 as first reported (1 042); restated to 1 060 in</w:t>
            </w:r>
          </w:p>
        </w:tc>
        <w:tc>
          <w:tcPr>
            <w:tcW w:w="827" w:type="dxa"/>
          </w:tcPr>
          <w:p>
            <w:pPr>
              <w:pStyle w:val="Compact"/>
              <w:jc w:val="left"/>
              <w:spacing w:before="20" w:after="20" w:line="220" w:lineRule="auto"/>
            </w:pPr>
            <w:r>
              <w:rPr>
                <w:sz w:val="15"/>
                <w:szCs w:val="15"/>
              </w:rPr>
              <w:t xml:space="preserve">593</w:t>
            </w:r>
          </w:p>
        </w:tc>
        <w:tc>
          <w:tcPr>
            <w:tcW w:w="827" w:type="dxa"/>
          </w:tcPr>
          <w:p>
            <w:pPr>
              <w:pStyle w:val="Compact"/>
              <w:jc w:val="left"/>
              <w:spacing w:before="20" w:after="20" w:line="220" w:lineRule="auto"/>
            </w:pPr>
            <w:r>
              <w:rPr>
                <w:sz w:val="15"/>
                <w:szCs w:val="15"/>
              </w:rPr>
              <w:t xml:space="preserve">990</w:t>
            </w:r>
          </w:p>
        </w:tc>
        <w:tc>
          <w:tcPr>
            <w:tcW w:w="827" w:type="dxa"/>
          </w:tcPr>
          <w:p>
            <w:pPr>
              <w:pStyle w:val="Compact"/>
              <w:jc w:val="left"/>
              <w:spacing w:before="20" w:after="20" w:line="220" w:lineRule="auto"/>
            </w:pPr>
            <w:r>
              <w:rPr>
                <w:sz w:val="15"/>
                <w:szCs w:val="15"/>
              </w:rPr>
              <w:t xml:space="preserve">1,042</w:t>
            </w:r>
          </w:p>
        </w:tc>
        <w:tc>
          <w:tcPr>
            <w:tcW w:w="827" w:type="dxa"/>
          </w:tcPr>
          <w:p>
            <w:pPr>
              <w:pStyle w:val="Compact"/>
              <w:jc w:val="left"/>
              <w:spacing w:before="20" w:after="20" w:line="220" w:lineRule="auto"/>
            </w:pPr>
            <w:r>
              <w:rPr>
                <w:sz w:val="15"/>
                <w:szCs w:val="15"/>
              </w:rPr>
              <w:t xml:space="preserve">530</w:t>
            </w:r>
          </w:p>
        </w:tc>
      </w:tr>
      <w:tr>
        <w:tc>
          <w:tcPr>
            <w:tcW w:w="5629" w:type="dxa"/>
          </w:tcPr>
          <w:p>
            <w:pPr>
              <w:pStyle w:val="Compact"/>
              <w:jc w:val="left"/>
              <w:spacing w:before="20" w:after="20" w:line="220" w:lineRule="auto"/>
            </w:pPr>
            <w:r>
              <w:rPr>
                <w:sz w:val="15"/>
                <w:szCs w:val="15"/>
              </w:rPr>
              <w:t xml:space="preserve">Profit before tax</w:t>
            </w:r>
          </w:p>
        </w:tc>
        <w:tc>
          <w:tcPr>
            <w:tcW w:w="5629" w:type="dxa"/>
          </w:tcPr>
          <w:p>
            <w:pPr>
              <w:pStyle w:val="Compact"/>
              <w:jc w:val="left"/>
              <w:spacing w:before="20" w:after="20" w:line="220" w:lineRule="auto"/>
            </w:pPr>
            <w:r>
              <w:rPr>
                <w:sz w:val="15"/>
                <w:szCs w:val="15"/>
              </w:rPr>
              <w:t xml:space="preserve">Fact</w:t>
            </w:r>
          </w:p>
        </w:tc>
        <w:tc>
          <w:tcPr>
            <w:tcW w:w="827" w:type="dxa"/>
          </w:tcPr>
          <w:p>
            <w:pPr>
              <w:pStyle w:val="Compact"/>
              <w:jc w:val="left"/>
              <w:spacing w:before="20" w:after="20" w:line="220" w:lineRule="auto"/>
            </w:pPr>
            <w:r>
              <w:rPr>
                <w:sz w:val="15"/>
                <w:szCs w:val="15"/>
              </w:rPr>
              <w:t xml:space="preserve">1,686</w:t>
            </w:r>
          </w:p>
        </w:tc>
        <w:tc>
          <w:tcPr>
            <w:tcW w:w="827" w:type="dxa"/>
          </w:tcPr>
          <w:p>
            <w:pPr>
              <w:pStyle w:val="Compact"/>
              <w:jc w:val="left"/>
              <w:spacing w:before="20" w:after="20" w:line="220" w:lineRule="auto"/>
            </w:pPr>
            <w:r>
              <w:rPr>
                <w:sz w:val="15"/>
                <w:szCs w:val="15"/>
              </w:rPr>
              <w:t xml:space="preserve">1,556</w:t>
            </w:r>
          </w:p>
        </w:tc>
        <w:tc>
          <w:tcPr>
            <w:tcW w:w="827" w:type="dxa"/>
          </w:tcPr>
          <w:p>
            <w:pPr>
              <w:pStyle w:val="Compact"/>
              <w:jc w:val="left"/>
              <w:spacing w:before="20" w:after="20" w:line="220" w:lineRule="auto"/>
            </w:pPr>
            <w:r>
              <w:rPr>
                <w:sz w:val="15"/>
                <w:szCs w:val="15"/>
              </w:rPr>
              <w:t xml:space="preserve">1,448</w:t>
            </w:r>
          </w:p>
        </w:tc>
        <w:tc>
          <w:tcPr>
            <w:tcW w:w="827" w:type="dxa"/>
          </w:tcPr>
          <w:p>
            <w:pPr>
              <w:pStyle w:val="Compact"/>
              <w:jc w:val="left"/>
              <w:spacing w:before="20" w:after="20" w:line="220" w:lineRule="auto"/>
            </w:pPr>
            <w:r>
              <w:rPr>
                <w:sz w:val="15"/>
                <w:szCs w:val="15"/>
              </w:rPr>
              <w:t xml:space="preserve">751</w:t>
            </w:r>
          </w:p>
        </w:tc>
      </w:tr>
      <w:tr>
        <w:tc>
          <w:tcPr>
            <w:tcW w:w="5629" w:type="dxa"/>
          </w:tcPr>
          <w:p>
            <w:pPr>
              <w:pStyle w:val="Compact"/>
              <w:jc w:val="left"/>
              <w:spacing w:before="20" w:after="20" w:line="220" w:lineRule="auto"/>
            </w:pPr>
            <w:r>
              <w:rPr>
                <w:sz w:val="15"/>
                <w:szCs w:val="15"/>
              </w:rPr>
              <w:t xml:space="preserve">Headline earnings</w:t>
            </w:r>
          </w:p>
        </w:tc>
        <w:tc>
          <w:tcPr>
            <w:tcW w:w="5629" w:type="dxa"/>
          </w:tcPr>
          <w:p>
            <w:pPr>
              <w:pStyle w:val="Compact"/>
              <w:jc w:val="left"/>
              <w:spacing w:before="20" w:after="20" w:line="220" w:lineRule="auto"/>
            </w:pPr>
            <w:r>
              <w:rPr>
                <w:sz w:val="15"/>
                <w:szCs w:val="15"/>
              </w:rPr>
              <w:t xml:space="preserve">Fact; FY2025 restated to 996 in 1H2026 (AFS-897)</w:t>
            </w:r>
          </w:p>
        </w:tc>
        <w:tc>
          <w:tcPr>
            <w:tcW w:w="827" w:type="dxa"/>
          </w:tcPr>
          <w:p>
            <w:pPr>
              <w:pStyle w:val="Compact"/>
              <w:jc w:val="left"/>
              <w:spacing w:before="20" w:after="20" w:line="220" w:lineRule="auto"/>
            </w:pPr>
            <w:r>
              <w:rPr>
                <w:sz w:val="15"/>
                <w:szCs w:val="15"/>
              </w:rPr>
              <w:t xml:space="preserve">1,194</w:t>
            </w:r>
          </w:p>
        </w:tc>
        <w:tc>
          <w:tcPr>
            <w:tcW w:w="827" w:type="dxa"/>
          </w:tcPr>
          <w:p>
            <w:pPr>
              <w:pStyle w:val="Compact"/>
              <w:jc w:val="left"/>
              <w:spacing w:before="20" w:after="20" w:line="220" w:lineRule="auto"/>
            </w:pPr>
            <w:r>
              <w:rPr>
                <w:sz w:val="15"/>
                <w:szCs w:val="15"/>
              </w:rPr>
              <w:t xml:space="preserve">1,082</w:t>
            </w:r>
          </w:p>
        </w:tc>
        <w:tc>
          <w:tcPr>
            <w:tcW w:w="827" w:type="dxa"/>
          </w:tcPr>
          <w:p>
            <w:pPr>
              <w:pStyle w:val="Compact"/>
              <w:jc w:val="left"/>
              <w:spacing w:before="20" w:after="20" w:line="220" w:lineRule="auto"/>
            </w:pPr>
            <w:r>
              <w:rPr>
                <w:sz w:val="15"/>
                <w:szCs w:val="15"/>
              </w:rPr>
              <w:t xml:space="preserve">1,010</w:t>
            </w:r>
          </w:p>
        </w:tc>
        <w:tc>
          <w:tcPr>
            <w:tcW w:w="827" w:type="dxa"/>
          </w:tcPr>
          <w:p>
            <w:pPr>
              <w:pStyle w:val="Compact"/>
              <w:jc w:val="left"/>
              <w:spacing w:before="20" w:after="20" w:line="220" w:lineRule="auto"/>
            </w:pPr>
            <w:r>
              <w:rPr>
                <w:sz w:val="15"/>
                <w:szCs w:val="15"/>
              </w:rPr>
              <w:t xml:space="preserve">505</w:t>
            </w:r>
          </w:p>
        </w:tc>
      </w:tr>
      <w:tr>
        <w:tc>
          <w:tcPr>
            <w:tcW w:w="5629" w:type="dxa"/>
          </w:tcPr>
          <w:p>
            <w:pPr>
              <w:pStyle w:val="Compact"/>
              <w:jc w:val="left"/>
              <w:spacing w:before="20" w:after="20" w:line="220" w:lineRule="auto"/>
            </w:pPr>
            <w:r>
              <w:rPr>
                <w:sz w:val="15"/>
                <w:szCs w:val="15"/>
              </w:rPr>
              <w:t xml:space="preserve">Cost-to-income ratio as reported (percent)</w:t>
            </w:r>
          </w:p>
        </w:tc>
        <w:tc>
          <w:tcPr>
            <w:tcW w:w="5629" w:type="dxa"/>
          </w:tcPr>
          <w:p>
            <w:pPr>
              <w:pStyle w:val="Compact"/>
              <w:jc w:val="left"/>
              <w:spacing w:before="20" w:after="20" w:line="220" w:lineRule="auto"/>
            </w:pPr>
            <w:r>
              <w:rPr>
                <w:sz w:val="15"/>
                <w:szCs w:val="15"/>
              </w:rPr>
              <w:t xml:space="preserve">Fact; segment opex / net insurance income; not an insurer ex</w:t>
            </w:r>
          </w:p>
        </w:tc>
        <w:tc>
          <w:tcPr>
            <w:tcW w:w="827" w:type="dxa"/>
          </w:tcPr>
          <w:p>
            <w:pPr>
              <w:pStyle w:val="Compact"/>
              <w:jc w:val="left"/>
              <w:spacing w:before="20" w:after="20" w:line="220" w:lineRule="auto"/>
            </w:pPr>
            <w:r>
              <w:rPr>
                <w:sz w:val="15"/>
                <w:szCs w:val="15"/>
              </w:rPr>
              <w:t xml:space="preserve">24</w:t>
            </w:r>
          </w:p>
        </w:tc>
        <w:tc>
          <w:tcPr>
            <w:tcW w:w="827" w:type="dxa"/>
          </w:tcPr>
          <w:p>
            <w:pPr>
              <w:pStyle w:val="Compact"/>
              <w:jc w:val="left"/>
              <w:spacing w:before="20" w:after="20" w:line="220" w:lineRule="auto"/>
            </w:pPr>
            <w:r>
              <w:rPr>
                <w:sz w:val="15"/>
                <w:szCs w:val="15"/>
              </w:rPr>
              <w:t xml:space="preserve">37</w:t>
            </w:r>
          </w:p>
        </w:tc>
        <w:tc>
          <w:tcPr>
            <w:tcW w:w="827" w:type="dxa"/>
          </w:tcPr>
          <w:p>
            <w:pPr>
              <w:pStyle w:val="Compact"/>
              <w:jc w:val="left"/>
              <w:spacing w:before="20" w:after="20" w:line="220" w:lineRule="auto"/>
            </w:pPr>
            <w:r>
              <w:rPr>
                <w:sz w:val="15"/>
                <w:szCs w:val="15"/>
              </w:rPr>
              <w:t xml:space="preserve">40</w:t>
            </w:r>
          </w:p>
        </w:tc>
        <w:tc>
          <w:tcPr>
            <w:tcW w:w="827" w:type="dxa"/>
          </w:tcPr>
          <w:p>
            <w:pPr>
              <w:pStyle w:val="Compact"/>
              <w:spacing w:before="20" w:after="20" w:line="220" w:lineRule="auto"/>
            </w:pPr>
          </w:p>
        </w:tc>
      </w:tr>
      <w:tr>
        <w:tc>
          <w:tcPr>
            <w:tcW w:w="5629" w:type="dxa"/>
          </w:tcPr>
          <w:p>
            <w:pPr>
              <w:pStyle w:val="Compact"/>
              <w:jc w:val="left"/>
              <w:spacing w:before="20" w:after="20" w:line="220" w:lineRule="auto"/>
            </w:pPr>
            <w:r>
              <w:rPr>
                <w:sz w:val="15"/>
                <w:szCs w:val="15"/>
              </w:rPr>
              <w:t xml:space="preserve">Non-attributable opex / insurance revenue</w:t>
            </w:r>
          </w:p>
        </w:tc>
        <w:tc>
          <w:tcPr>
            <w:tcW w:w="5629" w:type="dxa"/>
          </w:tcPr>
          <w:p>
            <w:pPr>
              <w:pStyle w:val="Compact"/>
              <w:jc w:val="left"/>
              <w:spacing w:before="20" w:after="20" w:line="220" w:lineRule="auto"/>
            </w:pPr>
            <w:r>
              <w:rPr>
                <w:sz w:val="15"/>
                <w:szCs w:val="15"/>
              </w:rPr>
              <w:t xml:space="preserve">Derived</w:t>
            </w:r>
          </w:p>
        </w:tc>
        <w:tc>
          <w:tcPr>
            <w:tcW w:w="827" w:type="dxa"/>
          </w:tcPr>
          <w:p>
            <w:pPr>
              <w:pStyle w:val="Compact"/>
              <w:jc w:val="left"/>
              <w:spacing w:before="20" w:after="20" w:line="220" w:lineRule="auto"/>
            </w:pPr>
            <w:r>
              <w:rPr>
                <w:sz w:val="15"/>
                <w:szCs w:val="15"/>
              </w:rPr>
              <w:t xml:space="preserve">6.8%</w:t>
            </w:r>
          </w:p>
        </w:tc>
        <w:tc>
          <w:tcPr>
            <w:tcW w:w="827" w:type="dxa"/>
          </w:tcPr>
          <w:p>
            <w:pPr>
              <w:pStyle w:val="Compact"/>
              <w:jc w:val="left"/>
              <w:spacing w:before="20" w:after="20" w:line="220" w:lineRule="auto"/>
            </w:pPr>
            <w:r>
              <w:rPr>
                <w:sz w:val="15"/>
                <w:szCs w:val="15"/>
              </w:rPr>
              <w:t xml:space="preserve">11.2%</w:t>
            </w:r>
          </w:p>
        </w:tc>
        <w:tc>
          <w:tcPr>
            <w:tcW w:w="827" w:type="dxa"/>
          </w:tcPr>
          <w:p>
            <w:pPr>
              <w:pStyle w:val="Compact"/>
              <w:jc w:val="left"/>
              <w:spacing w:before="20" w:after="20" w:line="220" w:lineRule="auto"/>
            </w:pPr>
            <w:r>
              <w:rPr>
                <w:sz w:val="15"/>
                <w:szCs w:val="15"/>
              </w:rPr>
              <w:t xml:space="preserve">11.5%</w:t>
            </w:r>
          </w:p>
        </w:tc>
        <w:tc>
          <w:tcPr>
            <w:tcW w:w="827" w:type="dxa"/>
          </w:tcPr>
          <w:p>
            <w:pPr>
              <w:pStyle w:val="Compact"/>
              <w:jc w:val="left"/>
              <w:spacing w:before="20" w:after="20" w:line="220" w:lineRule="auto"/>
            </w:pPr>
            <w:r>
              <w:rPr>
                <w:sz w:val="15"/>
                <w:szCs w:val="15"/>
              </w:rPr>
              <w:t xml:space="preserve">11.6%</w:t>
            </w:r>
          </w:p>
        </w:tc>
      </w:tr>
      <w:tr>
        <w:tc>
          <w:tcPr>
            <w:tcW w:w="5629" w:type="dxa"/>
          </w:tcPr>
          <w:p>
            <w:pPr>
              <w:pStyle w:val="Compact"/>
              <w:jc w:val="left"/>
              <w:spacing w:before="20" w:after="20" w:line="220" w:lineRule="auto"/>
            </w:pPr>
            <w:r>
              <w:rPr>
                <w:sz w:val="15"/>
                <w:szCs w:val="15"/>
              </w:rPr>
              <w:t xml:space="preserve">Insurance service expenses / insurance revenue</w:t>
            </w:r>
          </w:p>
        </w:tc>
        <w:tc>
          <w:tcPr>
            <w:tcW w:w="5629" w:type="dxa"/>
          </w:tcPr>
          <w:p>
            <w:pPr>
              <w:pStyle w:val="Compact"/>
              <w:jc w:val="left"/>
              <w:spacing w:before="20" w:after="20" w:line="220" w:lineRule="auto"/>
            </w:pPr>
            <w:r>
              <w:rPr>
                <w:sz w:val="15"/>
                <w:szCs w:val="15"/>
              </w:rPr>
              <w:t xml:space="preserve">Derived</w:t>
            </w:r>
          </w:p>
        </w:tc>
        <w:tc>
          <w:tcPr>
            <w:tcW w:w="827" w:type="dxa"/>
          </w:tcPr>
          <w:p>
            <w:pPr>
              <w:pStyle w:val="Compact"/>
              <w:jc w:val="left"/>
              <w:spacing w:before="20" w:after="20" w:line="220" w:lineRule="auto"/>
            </w:pPr>
            <w:r>
              <w:rPr>
                <w:sz w:val="15"/>
                <w:szCs w:val="15"/>
              </w:rPr>
              <w:t xml:space="preserve">77.9%</w:t>
            </w:r>
          </w:p>
        </w:tc>
        <w:tc>
          <w:tcPr>
            <w:tcW w:w="827" w:type="dxa"/>
          </w:tcPr>
          <w:p>
            <w:pPr>
              <w:pStyle w:val="Compact"/>
              <w:jc w:val="left"/>
              <w:spacing w:before="20" w:after="20" w:line="220" w:lineRule="auto"/>
            </w:pPr>
            <w:r>
              <w:rPr>
                <w:sz w:val="15"/>
                <w:szCs w:val="15"/>
              </w:rPr>
              <w:t xml:space="preserve">79.5%</w:t>
            </w:r>
          </w:p>
        </w:tc>
        <w:tc>
          <w:tcPr>
            <w:tcW w:w="827" w:type="dxa"/>
          </w:tcPr>
          <w:p>
            <w:pPr>
              <w:pStyle w:val="Compact"/>
              <w:jc w:val="left"/>
              <w:spacing w:before="20" w:after="20" w:line="220" w:lineRule="auto"/>
            </w:pPr>
            <w:r>
              <w:rPr>
                <w:sz w:val="15"/>
                <w:szCs w:val="15"/>
              </w:rPr>
              <w:t xml:space="preserve">79.6%</w:t>
            </w:r>
          </w:p>
        </w:tc>
        <w:tc>
          <w:tcPr>
            <w:tcW w:w="827" w:type="dxa"/>
          </w:tcPr>
          <w:p>
            <w:pPr>
              <w:pStyle w:val="Compact"/>
              <w:jc w:val="left"/>
              <w:spacing w:before="20" w:after="20" w:line="220" w:lineRule="auto"/>
            </w:pPr>
            <w:r>
              <w:rPr>
                <w:sz w:val="15"/>
                <w:szCs w:val="15"/>
              </w:rPr>
              <w:t xml:space="preserve">76.5%</w:t>
            </w:r>
          </w:p>
        </w:tc>
      </w:tr>
    </w:tbl>
    <w:bookmarkEnd w:id="29"/>
    <w:bookmarkStart w:id="30" w:name="Xd9206f1193d83065353bbdc586f02f1932924c2"/>
    <w:p>
      <w:pPr>
        <w:pStyle w:val="Heading4"/>
      </w:pPr>
      <w:r>
        <w:t xml:space="preserve">B. Division view (Life, Non-Life, HO) on the FY2025 booklet basis</w:t>
      </w:r>
    </w:p>
    <w:tbl>
      <w:tblPr>
        <w:tblStyle w:val="Table"/>
        <w:tblLook w:firstRow="1" w:lastRow="0" w:firstColumn="0" w:lastColumn="0" w:noHBand="0" w:noVBand="0" w:val="0020"/>
        <w:jc w:val="start"/>
        <w:tblW w:w="14566" w:type="dxa"/>
        <w:tblLayout w:type="fixed"/>
      </w:tblPr>
      <w:tblGrid>
        <w:gridCol w:w="6561"/>
        <w:gridCol w:w="4149"/>
        <w:gridCol w:w="964"/>
        <w:gridCol w:w="964"/>
        <w:gridCol w:w="964"/>
        <w:gridCol w:w="964"/>
      </w:tblGrid>
      <w:tr>
        <w:trPr>
          <w:tblHeader w:val="true"/>
        </w:trPr>
        <w:tc>
          <w:tcPr>
            <w:tcW w:w="6561" w:type="dxa"/>
          </w:tcPr>
          <w:p>
            <w:pPr>
              <w:pStyle w:val="Compact"/>
              <w:jc w:val="left"/>
              <w:spacing w:before="20" w:after="20" w:line="220" w:lineRule="auto"/>
            </w:pPr>
            <w:r>
              <w:rPr>
                <w:sz w:val="15"/>
                <w:szCs w:val="15"/>
              </w:rPr>
              <w:t xml:space="preserve">Line</w:t>
            </w:r>
          </w:p>
        </w:tc>
        <w:tc>
          <w:tcPr>
            <w:tcW w:w="4149" w:type="dxa"/>
          </w:tcPr>
          <w:p>
            <w:pPr>
              <w:pStyle w:val="Compact"/>
              <w:jc w:val="left"/>
              <w:spacing w:before="20" w:after="20" w:line="220" w:lineRule="auto"/>
            </w:pPr>
            <w:r>
              <w:rPr>
                <w:sz w:val="15"/>
                <w:szCs w:val="15"/>
              </w:rPr>
              <w:t xml:space="preserve">Basis</w:t>
            </w:r>
          </w:p>
        </w:tc>
        <w:tc>
          <w:tcPr>
            <w:tcW w:w="964" w:type="dxa"/>
          </w:tcPr>
          <w:p>
            <w:pPr>
              <w:pStyle w:val="Compact"/>
              <w:jc w:val="left"/>
              <w:spacing w:before="20" w:after="20" w:line="220" w:lineRule="auto"/>
            </w:pPr>
            <w:r>
              <w:rPr>
                <w:sz w:val="15"/>
                <w:szCs w:val="15"/>
              </w:rPr>
              <w:t xml:space="preserve">FY2023</w:t>
            </w:r>
          </w:p>
        </w:tc>
        <w:tc>
          <w:tcPr>
            <w:tcW w:w="964" w:type="dxa"/>
          </w:tcPr>
          <w:p>
            <w:pPr>
              <w:pStyle w:val="Compact"/>
              <w:jc w:val="left"/>
              <w:spacing w:before="20" w:after="20" w:line="220" w:lineRule="auto"/>
            </w:pPr>
            <w:r>
              <w:rPr>
                <w:sz w:val="15"/>
                <w:szCs w:val="15"/>
              </w:rPr>
              <w:t xml:space="preserve">FY2024</w:t>
            </w:r>
          </w:p>
        </w:tc>
        <w:tc>
          <w:tcPr>
            <w:tcW w:w="964" w:type="dxa"/>
          </w:tcPr>
          <w:p>
            <w:pPr>
              <w:pStyle w:val="Compact"/>
              <w:jc w:val="left"/>
              <w:spacing w:before="20" w:after="20" w:line="220" w:lineRule="auto"/>
            </w:pPr>
            <w:r>
              <w:rPr>
                <w:sz w:val="15"/>
                <w:szCs w:val="15"/>
              </w:rPr>
              <w:t xml:space="preserve">FY2025</w:t>
            </w:r>
          </w:p>
        </w:tc>
        <w:tc>
          <w:tcPr>
            <w:tcW w:w="964" w:type="dxa"/>
          </w:tcPr>
          <w:p>
            <w:pPr>
              <w:pStyle w:val="Compact"/>
              <w:jc w:val="left"/>
              <w:spacing w:before="20" w:after="20" w:line="220" w:lineRule="auto"/>
            </w:pPr>
            <w:r>
              <w:rPr>
                <w:sz w:val="15"/>
                <w:szCs w:val="15"/>
              </w:rPr>
              <w:t xml:space="preserve">1H2026</w:t>
            </w:r>
          </w:p>
        </w:tc>
      </w:tr>
      <w:tr>
        <w:tc>
          <w:tcPr>
            <w:tcW w:w="6561" w:type="dxa"/>
          </w:tcPr>
          <w:p>
            <w:pPr>
              <w:pStyle w:val="Compact"/>
              <w:jc w:val="left"/>
              <w:spacing w:before="20" w:after="20" w:line="220" w:lineRule="auto"/>
            </w:pPr>
            <w:r>
              <w:rPr>
                <w:sz w:val="15"/>
                <w:szCs w:val="15"/>
              </w:rPr>
              <w:t xml:space="preserve">Life: insurance revenue</w:t>
            </w:r>
          </w:p>
        </w:tc>
        <w:tc>
          <w:tcPr>
            <w:tcW w:w="4149" w:type="dxa"/>
          </w:tcPr>
          <w:p>
            <w:pPr>
              <w:pStyle w:val="Compact"/>
              <w:jc w:val="left"/>
              <w:spacing w:before="20" w:after="20" w:line="220" w:lineRule="auto"/>
            </w:pPr>
            <w:r>
              <w:rPr>
                <w:sz w:val="15"/>
                <w:szCs w:val="15"/>
              </w:rPr>
              <w:t xml:space="preserve">Fact</w:t>
            </w:r>
          </w:p>
        </w:tc>
        <w:tc>
          <w:tcPr>
            <w:tcW w:w="964" w:type="dxa"/>
          </w:tcPr>
          <w:p>
            <w:pPr>
              <w:pStyle w:val="Compact"/>
              <w:jc w:val="left"/>
              <w:spacing w:before="20" w:after="20" w:line="220" w:lineRule="auto"/>
            </w:pPr>
            <w:r>
              <w:rPr>
                <w:sz w:val="15"/>
                <w:szCs w:val="15"/>
              </w:rPr>
              <w:t xml:space="preserve">4,961</w:t>
            </w:r>
          </w:p>
        </w:tc>
        <w:tc>
          <w:tcPr>
            <w:tcW w:w="964" w:type="dxa"/>
          </w:tcPr>
          <w:p>
            <w:pPr>
              <w:pStyle w:val="Compact"/>
              <w:jc w:val="left"/>
              <w:spacing w:before="20" w:after="20" w:line="220" w:lineRule="auto"/>
            </w:pPr>
            <w:r>
              <w:rPr>
                <w:sz w:val="15"/>
                <w:szCs w:val="15"/>
              </w:rPr>
              <w:t xml:space="preserve">5,088</w:t>
            </w:r>
          </w:p>
        </w:tc>
        <w:tc>
          <w:tcPr>
            <w:tcW w:w="964" w:type="dxa"/>
          </w:tcPr>
          <w:p>
            <w:pPr>
              <w:pStyle w:val="Compact"/>
              <w:jc w:val="left"/>
              <w:spacing w:before="20" w:after="20" w:line="220" w:lineRule="auto"/>
            </w:pPr>
            <w:r>
              <w:rPr>
                <w:sz w:val="15"/>
                <w:szCs w:val="15"/>
              </w:rPr>
              <w:t xml:space="preserve">5,310</w:t>
            </w:r>
          </w:p>
        </w:tc>
        <w:tc>
          <w:tcPr>
            <w:tcW w:w="964" w:type="dxa"/>
          </w:tcPr>
          <w:p>
            <w:pPr>
              <w:pStyle w:val="Compact"/>
              <w:jc w:val="left"/>
              <w:spacing w:before="20" w:after="20" w:line="220" w:lineRule="auto"/>
            </w:pPr>
            <w:r>
              <w:rPr>
                <w:sz w:val="15"/>
                <w:szCs w:val="15"/>
              </w:rPr>
              <w:t xml:space="preserve">2,644</w:t>
            </w:r>
          </w:p>
        </w:tc>
      </w:tr>
      <w:tr>
        <w:tc>
          <w:tcPr>
            <w:tcW w:w="6561" w:type="dxa"/>
          </w:tcPr>
          <w:p>
            <w:pPr>
              <w:pStyle w:val="Compact"/>
              <w:jc w:val="left"/>
              <w:spacing w:before="20" w:after="20" w:line="220" w:lineRule="auto"/>
            </w:pPr>
            <w:r>
              <w:rPr>
                <w:sz w:val="15"/>
                <w:szCs w:val="15"/>
              </w:rPr>
              <w:t xml:space="preserve">Life: insurance service expenses</w:t>
            </w:r>
          </w:p>
        </w:tc>
        <w:tc>
          <w:tcPr>
            <w:tcW w:w="4149" w:type="dxa"/>
          </w:tcPr>
          <w:p>
            <w:pPr>
              <w:pStyle w:val="Compact"/>
              <w:jc w:val="left"/>
              <w:spacing w:before="20" w:after="20" w:line="220" w:lineRule="auto"/>
            </w:pPr>
            <w:r>
              <w:rPr>
                <w:sz w:val="15"/>
                <w:szCs w:val="15"/>
              </w:rPr>
              <w:t xml:space="preserve">Fact</w:t>
            </w:r>
          </w:p>
        </w:tc>
        <w:tc>
          <w:tcPr>
            <w:tcW w:w="964" w:type="dxa"/>
          </w:tcPr>
          <w:p>
            <w:pPr>
              <w:pStyle w:val="Compact"/>
              <w:jc w:val="left"/>
              <w:spacing w:before="20" w:after="20" w:line="220" w:lineRule="auto"/>
            </w:pPr>
            <w:r>
              <w:rPr>
                <w:sz w:val="15"/>
                <w:szCs w:val="15"/>
              </w:rPr>
              <w:t xml:space="preserve">3,575</w:t>
            </w:r>
          </w:p>
        </w:tc>
        <w:tc>
          <w:tcPr>
            <w:tcW w:w="964" w:type="dxa"/>
          </w:tcPr>
          <w:p>
            <w:pPr>
              <w:pStyle w:val="Compact"/>
              <w:jc w:val="left"/>
              <w:spacing w:before="20" w:after="20" w:line="220" w:lineRule="auto"/>
            </w:pPr>
            <w:r>
              <w:rPr>
                <w:sz w:val="15"/>
                <w:szCs w:val="15"/>
              </w:rPr>
              <w:t xml:space="preserve">3,867</w:t>
            </w:r>
          </w:p>
        </w:tc>
        <w:tc>
          <w:tcPr>
            <w:tcW w:w="964" w:type="dxa"/>
          </w:tcPr>
          <w:p>
            <w:pPr>
              <w:pStyle w:val="Compact"/>
              <w:jc w:val="left"/>
              <w:spacing w:before="20" w:after="20" w:line="220" w:lineRule="auto"/>
            </w:pPr>
            <w:r>
              <w:rPr>
                <w:sz w:val="15"/>
                <w:szCs w:val="15"/>
              </w:rPr>
              <w:t xml:space="preserve">4,178</w:t>
            </w:r>
          </w:p>
        </w:tc>
        <w:tc>
          <w:tcPr>
            <w:tcW w:w="964" w:type="dxa"/>
          </w:tcPr>
          <w:p>
            <w:pPr>
              <w:pStyle w:val="Compact"/>
              <w:jc w:val="left"/>
              <w:spacing w:before="20" w:after="20" w:line="220" w:lineRule="auto"/>
            </w:pPr>
            <w:r>
              <w:rPr>
                <w:sz w:val="15"/>
                <w:szCs w:val="15"/>
              </w:rPr>
              <w:t xml:space="preserve">1,912</w:t>
            </w:r>
          </w:p>
        </w:tc>
      </w:tr>
      <w:tr>
        <w:tc>
          <w:tcPr>
            <w:tcW w:w="6561" w:type="dxa"/>
          </w:tcPr>
          <w:p>
            <w:pPr>
              <w:pStyle w:val="Compact"/>
              <w:jc w:val="left"/>
              <w:spacing w:before="20" w:after="20" w:line="220" w:lineRule="auto"/>
            </w:pPr>
            <w:r>
              <w:rPr>
                <w:sz w:val="15"/>
                <w:szCs w:val="15"/>
              </w:rPr>
              <w:t xml:space="preserve">Life: other operating expenses (non-attributable)</w:t>
            </w:r>
          </w:p>
        </w:tc>
        <w:tc>
          <w:tcPr>
            <w:tcW w:w="4149" w:type="dxa"/>
          </w:tcPr>
          <w:p>
            <w:pPr>
              <w:pStyle w:val="Compact"/>
              <w:jc w:val="left"/>
              <w:spacing w:before="20" w:after="20" w:line="220" w:lineRule="auto"/>
            </w:pPr>
            <w:r>
              <w:rPr>
                <w:sz w:val="15"/>
                <w:szCs w:val="15"/>
              </w:rPr>
              <w:t xml:space="preserve">Fact</w:t>
            </w:r>
          </w:p>
        </w:tc>
        <w:tc>
          <w:tcPr>
            <w:tcW w:w="964" w:type="dxa"/>
          </w:tcPr>
          <w:p>
            <w:pPr>
              <w:pStyle w:val="Compact"/>
              <w:jc w:val="left"/>
              <w:spacing w:before="20" w:after="20" w:line="220" w:lineRule="auto"/>
            </w:pPr>
            <w:r>
              <w:rPr>
                <w:sz w:val="15"/>
                <w:szCs w:val="15"/>
              </w:rPr>
              <w:t xml:space="preserve">173</w:t>
            </w:r>
          </w:p>
        </w:tc>
        <w:tc>
          <w:tcPr>
            <w:tcW w:w="964" w:type="dxa"/>
          </w:tcPr>
          <w:p>
            <w:pPr>
              <w:pStyle w:val="Compact"/>
              <w:jc w:val="left"/>
              <w:spacing w:before="20" w:after="20" w:line="220" w:lineRule="auto"/>
            </w:pPr>
            <w:r>
              <w:rPr>
                <w:sz w:val="15"/>
                <w:szCs w:val="15"/>
              </w:rPr>
              <w:t xml:space="preserve">248</w:t>
            </w:r>
          </w:p>
        </w:tc>
        <w:tc>
          <w:tcPr>
            <w:tcW w:w="964" w:type="dxa"/>
          </w:tcPr>
          <w:p>
            <w:pPr>
              <w:pStyle w:val="Compact"/>
              <w:jc w:val="left"/>
              <w:spacing w:before="20" w:after="20" w:line="220" w:lineRule="auto"/>
            </w:pPr>
            <w:r>
              <w:rPr>
                <w:sz w:val="15"/>
                <w:szCs w:val="15"/>
              </w:rPr>
              <w:t xml:space="preserve">212</w:t>
            </w:r>
          </w:p>
        </w:tc>
        <w:tc>
          <w:tcPr>
            <w:tcW w:w="964" w:type="dxa"/>
          </w:tcPr>
          <w:p>
            <w:pPr>
              <w:pStyle w:val="Compact"/>
              <w:jc w:val="left"/>
              <w:spacing w:before="20" w:after="20" w:line="220" w:lineRule="auto"/>
            </w:pPr>
            <w:r>
              <w:rPr>
                <w:sz w:val="15"/>
                <w:szCs w:val="15"/>
              </w:rPr>
              <w:t xml:space="preserve">111</w:t>
            </w:r>
          </w:p>
        </w:tc>
      </w:tr>
      <w:tr>
        <w:tc>
          <w:tcPr>
            <w:tcW w:w="6561" w:type="dxa"/>
          </w:tcPr>
          <w:p>
            <w:pPr>
              <w:pStyle w:val="Compact"/>
              <w:jc w:val="left"/>
              <w:spacing w:before="20" w:after="20" w:line="220" w:lineRule="auto"/>
            </w:pPr>
            <w:r>
              <w:rPr>
                <w:sz w:val="15"/>
                <w:szCs w:val="15"/>
              </w:rPr>
              <w:t xml:space="preserve">Life: profit for the period</w:t>
            </w:r>
          </w:p>
        </w:tc>
        <w:tc>
          <w:tcPr>
            <w:tcW w:w="4149" w:type="dxa"/>
          </w:tcPr>
          <w:p>
            <w:pPr>
              <w:pStyle w:val="Compact"/>
              <w:jc w:val="left"/>
              <w:spacing w:before="20" w:after="20" w:line="220" w:lineRule="auto"/>
            </w:pPr>
            <w:r>
              <w:rPr>
                <w:sz w:val="15"/>
                <w:szCs w:val="15"/>
              </w:rPr>
              <w:t xml:space="preserve">Fact</w:t>
            </w:r>
          </w:p>
        </w:tc>
        <w:tc>
          <w:tcPr>
            <w:tcW w:w="964" w:type="dxa"/>
          </w:tcPr>
          <w:p>
            <w:pPr>
              <w:pStyle w:val="Compact"/>
              <w:jc w:val="left"/>
              <w:spacing w:before="20" w:after="20" w:line="220" w:lineRule="auto"/>
            </w:pPr>
            <w:r>
              <w:rPr>
                <w:sz w:val="15"/>
                <w:szCs w:val="15"/>
              </w:rPr>
              <w:t xml:space="preserve">996</w:t>
            </w:r>
          </w:p>
        </w:tc>
        <w:tc>
          <w:tcPr>
            <w:tcW w:w="964" w:type="dxa"/>
          </w:tcPr>
          <w:p>
            <w:pPr>
              <w:pStyle w:val="Compact"/>
              <w:jc w:val="left"/>
              <w:spacing w:before="20" w:after="20" w:line="220" w:lineRule="auto"/>
            </w:pPr>
            <w:r>
              <w:rPr>
                <w:sz w:val="15"/>
                <w:szCs w:val="15"/>
              </w:rPr>
              <w:t xml:space="preserve">957</w:t>
            </w:r>
          </w:p>
        </w:tc>
        <w:tc>
          <w:tcPr>
            <w:tcW w:w="964" w:type="dxa"/>
          </w:tcPr>
          <w:p>
            <w:pPr>
              <w:pStyle w:val="Compact"/>
              <w:jc w:val="left"/>
              <w:spacing w:before="20" w:after="20" w:line="220" w:lineRule="auto"/>
            </w:pPr>
            <w:r>
              <w:rPr>
                <w:sz w:val="15"/>
                <w:szCs w:val="15"/>
              </w:rPr>
              <w:t xml:space="preserve">885</w:t>
            </w:r>
          </w:p>
        </w:tc>
        <w:tc>
          <w:tcPr>
            <w:tcW w:w="964" w:type="dxa"/>
          </w:tcPr>
          <w:p>
            <w:pPr>
              <w:pStyle w:val="Compact"/>
              <w:jc w:val="left"/>
              <w:spacing w:before="20" w:after="20" w:line="220" w:lineRule="auto"/>
            </w:pPr>
            <w:r>
              <w:rPr>
                <w:sz w:val="15"/>
                <w:szCs w:val="15"/>
              </w:rPr>
              <w:t xml:space="preserve">444</w:t>
            </w:r>
          </w:p>
        </w:tc>
      </w:tr>
      <w:tr>
        <w:tc>
          <w:tcPr>
            <w:tcW w:w="6561" w:type="dxa"/>
          </w:tcPr>
          <w:p>
            <w:pPr>
              <w:pStyle w:val="Compact"/>
              <w:jc w:val="left"/>
              <w:spacing w:before="20" w:after="20" w:line="220" w:lineRule="auto"/>
            </w:pPr>
            <w:r>
              <w:rPr>
                <w:sz w:val="15"/>
                <w:szCs w:val="15"/>
              </w:rPr>
              <w:t xml:space="preserve">Non-Life: insurance revenue</w:t>
            </w:r>
          </w:p>
        </w:tc>
        <w:tc>
          <w:tcPr>
            <w:tcW w:w="4149" w:type="dxa"/>
          </w:tcPr>
          <w:p>
            <w:pPr>
              <w:pStyle w:val="Compact"/>
              <w:jc w:val="left"/>
              <w:spacing w:before="20" w:after="20" w:line="220" w:lineRule="auto"/>
            </w:pPr>
            <w:r>
              <w:rPr>
                <w:sz w:val="15"/>
                <w:szCs w:val="15"/>
              </w:rPr>
              <w:t xml:space="preserve">Fact</w:t>
            </w:r>
          </w:p>
        </w:tc>
        <w:tc>
          <w:tcPr>
            <w:tcW w:w="964" w:type="dxa"/>
          </w:tcPr>
          <w:p>
            <w:pPr>
              <w:pStyle w:val="Compact"/>
              <w:jc w:val="left"/>
              <w:spacing w:before="20" w:after="20" w:line="220" w:lineRule="auto"/>
            </w:pPr>
            <w:r>
              <w:rPr>
                <w:sz w:val="15"/>
                <w:szCs w:val="15"/>
              </w:rPr>
              <w:t xml:space="preserve">3,717</w:t>
            </w:r>
          </w:p>
        </w:tc>
        <w:tc>
          <w:tcPr>
            <w:tcW w:w="964" w:type="dxa"/>
          </w:tcPr>
          <w:p>
            <w:pPr>
              <w:pStyle w:val="Compact"/>
              <w:jc w:val="left"/>
              <w:spacing w:before="20" w:after="20" w:line="220" w:lineRule="auto"/>
            </w:pPr>
            <w:r>
              <w:rPr>
                <w:sz w:val="15"/>
                <w:szCs w:val="15"/>
              </w:rPr>
              <w:t xml:space="preserve">3,986</w:t>
            </w:r>
          </w:p>
        </w:tc>
        <w:tc>
          <w:tcPr>
            <w:tcW w:w="964" w:type="dxa"/>
          </w:tcPr>
          <w:p>
            <w:pPr>
              <w:pStyle w:val="Compact"/>
              <w:jc w:val="left"/>
              <w:spacing w:before="20" w:after="20" w:line="220" w:lineRule="auto"/>
            </w:pPr>
            <w:r>
              <w:rPr>
                <w:sz w:val="15"/>
                <w:szCs w:val="15"/>
              </w:rPr>
              <w:t xml:space="preserve">4,102</w:t>
            </w:r>
          </w:p>
        </w:tc>
        <w:tc>
          <w:tcPr>
            <w:tcW w:w="964" w:type="dxa"/>
          </w:tcPr>
          <w:p>
            <w:pPr>
              <w:pStyle w:val="Compact"/>
              <w:jc w:val="left"/>
              <w:spacing w:before="20" w:after="20" w:line="220" w:lineRule="auto"/>
            </w:pPr>
            <w:r>
              <w:rPr>
                <w:sz w:val="15"/>
                <w:szCs w:val="15"/>
              </w:rPr>
              <w:t xml:space="preserve">2,116</w:t>
            </w:r>
          </w:p>
        </w:tc>
      </w:tr>
      <w:tr>
        <w:tc>
          <w:tcPr>
            <w:tcW w:w="6561" w:type="dxa"/>
          </w:tcPr>
          <w:p>
            <w:pPr>
              <w:pStyle w:val="Compact"/>
              <w:jc w:val="left"/>
              <w:spacing w:before="20" w:after="20" w:line="220" w:lineRule="auto"/>
            </w:pPr>
            <w:r>
              <w:rPr>
                <w:sz w:val="15"/>
                <w:szCs w:val="15"/>
              </w:rPr>
              <w:t xml:space="preserve">Non-Life: insurance service expenses</w:t>
            </w:r>
          </w:p>
        </w:tc>
        <w:tc>
          <w:tcPr>
            <w:tcW w:w="4149" w:type="dxa"/>
          </w:tcPr>
          <w:p>
            <w:pPr>
              <w:pStyle w:val="Compact"/>
              <w:jc w:val="left"/>
              <w:spacing w:before="20" w:after="20" w:line="220" w:lineRule="auto"/>
            </w:pPr>
            <w:r>
              <w:rPr>
                <w:sz w:val="15"/>
                <w:szCs w:val="15"/>
              </w:rPr>
              <w:t xml:space="preserve">Fact</w:t>
            </w:r>
          </w:p>
        </w:tc>
        <w:tc>
          <w:tcPr>
            <w:tcW w:w="964" w:type="dxa"/>
          </w:tcPr>
          <w:p>
            <w:pPr>
              <w:pStyle w:val="Compact"/>
              <w:jc w:val="left"/>
              <w:spacing w:before="20" w:after="20" w:line="220" w:lineRule="auto"/>
            </w:pPr>
            <w:r>
              <w:rPr>
                <w:sz w:val="15"/>
                <w:szCs w:val="15"/>
              </w:rPr>
              <w:t xml:space="preserve">3,188</w:t>
            </w:r>
          </w:p>
        </w:tc>
        <w:tc>
          <w:tcPr>
            <w:tcW w:w="964" w:type="dxa"/>
          </w:tcPr>
          <w:p>
            <w:pPr>
              <w:pStyle w:val="Compact"/>
              <w:jc w:val="left"/>
              <w:spacing w:before="20" w:after="20" w:line="220" w:lineRule="auto"/>
            </w:pPr>
            <w:r>
              <w:rPr>
                <w:sz w:val="15"/>
                <w:szCs w:val="15"/>
              </w:rPr>
              <w:t xml:space="preserve">3,274</w:t>
            </w:r>
          </w:p>
        </w:tc>
        <w:tc>
          <w:tcPr>
            <w:tcW w:w="964" w:type="dxa"/>
          </w:tcPr>
          <w:p>
            <w:pPr>
              <w:pStyle w:val="Compact"/>
              <w:jc w:val="left"/>
              <w:spacing w:before="20" w:after="20" w:line="220" w:lineRule="auto"/>
            </w:pPr>
            <w:r>
              <w:rPr>
                <w:sz w:val="15"/>
                <w:szCs w:val="15"/>
              </w:rPr>
              <w:t xml:space="preserve">3,181</w:t>
            </w:r>
          </w:p>
        </w:tc>
        <w:tc>
          <w:tcPr>
            <w:tcW w:w="964" w:type="dxa"/>
          </w:tcPr>
          <w:p>
            <w:pPr>
              <w:pStyle w:val="Compact"/>
              <w:jc w:val="left"/>
              <w:spacing w:before="20" w:after="20" w:line="220" w:lineRule="auto"/>
            </w:pPr>
            <w:r>
              <w:rPr>
                <w:sz w:val="15"/>
                <w:szCs w:val="15"/>
              </w:rPr>
              <w:t xml:space="preserve">1,647</w:t>
            </w:r>
          </w:p>
        </w:tc>
      </w:tr>
      <w:tr>
        <w:tc>
          <w:tcPr>
            <w:tcW w:w="6561" w:type="dxa"/>
          </w:tcPr>
          <w:p>
            <w:pPr>
              <w:pStyle w:val="Compact"/>
              <w:jc w:val="left"/>
              <w:spacing w:before="20" w:after="20" w:line="220" w:lineRule="auto"/>
            </w:pPr>
            <w:r>
              <w:rPr>
                <w:sz w:val="15"/>
                <w:szCs w:val="15"/>
              </w:rPr>
              <w:t xml:space="preserve">Non-Life: other operating expenses (non-attributable)</w:t>
            </w:r>
          </w:p>
        </w:tc>
        <w:tc>
          <w:tcPr>
            <w:tcW w:w="4149" w:type="dxa"/>
          </w:tcPr>
          <w:p>
            <w:pPr>
              <w:pStyle w:val="Compact"/>
              <w:jc w:val="left"/>
              <w:spacing w:before="20" w:after="20" w:line="220" w:lineRule="auto"/>
            </w:pPr>
            <w:r>
              <w:rPr>
                <w:sz w:val="15"/>
                <w:szCs w:val="15"/>
              </w:rPr>
              <w:t xml:space="preserve">Fact</w:t>
            </w:r>
          </w:p>
        </w:tc>
        <w:tc>
          <w:tcPr>
            <w:tcW w:w="964" w:type="dxa"/>
          </w:tcPr>
          <w:p>
            <w:pPr>
              <w:pStyle w:val="Compact"/>
              <w:jc w:val="left"/>
              <w:spacing w:before="20" w:after="20" w:line="220" w:lineRule="auto"/>
            </w:pPr>
            <w:r>
              <w:rPr>
                <w:sz w:val="15"/>
                <w:szCs w:val="15"/>
              </w:rPr>
              <w:t xml:space="preserve">420</w:t>
            </w:r>
          </w:p>
        </w:tc>
        <w:tc>
          <w:tcPr>
            <w:tcW w:w="964" w:type="dxa"/>
          </w:tcPr>
          <w:p>
            <w:pPr>
              <w:pStyle w:val="Compact"/>
              <w:jc w:val="left"/>
              <w:spacing w:before="20" w:after="20" w:line="220" w:lineRule="auto"/>
            </w:pPr>
            <w:r>
              <w:rPr>
                <w:sz w:val="15"/>
                <w:szCs w:val="15"/>
              </w:rPr>
              <w:t xml:space="preserve">466</w:t>
            </w:r>
          </w:p>
        </w:tc>
        <w:tc>
          <w:tcPr>
            <w:tcW w:w="964" w:type="dxa"/>
          </w:tcPr>
          <w:p>
            <w:pPr>
              <w:pStyle w:val="Compact"/>
              <w:jc w:val="left"/>
              <w:spacing w:before="20" w:after="20" w:line="220" w:lineRule="auto"/>
            </w:pPr>
            <w:r>
              <w:rPr>
                <w:sz w:val="15"/>
                <w:szCs w:val="15"/>
              </w:rPr>
              <w:t xml:space="preserve">504</w:t>
            </w:r>
          </w:p>
        </w:tc>
        <w:tc>
          <w:tcPr>
            <w:tcW w:w="964" w:type="dxa"/>
          </w:tcPr>
          <w:p>
            <w:pPr>
              <w:pStyle w:val="Compact"/>
              <w:jc w:val="left"/>
              <w:spacing w:before="20" w:after="20" w:line="220" w:lineRule="auto"/>
            </w:pPr>
            <w:r>
              <w:rPr>
                <w:sz w:val="15"/>
                <w:szCs w:val="15"/>
              </w:rPr>
              <w:t xml:space="preserve">268</w:t>
            </w:r>
          </w:p>
        </w:tc>
      </w:tr>
      <w:tr>
        <w:tc>
          <w:tcPr>
            <w:tcW w:w="6561" w:type="dxa"/>
          </w:tcPr>
          <w:p>
            <w:pPr>
              <w:pStyle w:val="Compact"/>
              <w:jc w:val="left"/>
              <w:spacing w:before="20" w:after="20" w:line="220" w:lineRule="auto"/>
            </w:pPr>
            <w:r>
              <w:rPr>
                <w:sz w:val="15"/>
                <w:szCs w:val="15"/>
              </w:rPr>
              <w:t xml:space="preserve">Non-Life: profit for the period</w:t>
            </w:r>
          </w:p>
        </w:tc>
        <w:tc>
          <w:tcPr>
            <w:tcW w:w="4149" w:type="dxa"/>
          </w:tcPr>
          <w:p>
            <w:pPr>
              <w:pStyle w:val="Compact"/>
              <w:jc w:val="left"/>
              <w:spacing w:before="20" w:after="20" w:line="220" w:lineRule="auto"/>
            </w:pPr>
            <w:r>
              <w:rPr>
                <w:sz w:val="15"/>
                <w:szCs w:val="15"/>
              </w:rPr>
              <w:t xml:space="preserve">Fact</w:t>
            </w:r>
          </w:p>
        </w:tc>
        <w:tc>
          <w:tcPr>
            <w:tcW w:w="964" w:type="dxa"/>
          </w:tcPr>
          <w:p>
            <w:pPr>
              <w:pStyle w:val="Compact"/>
              <w:jc w:val="left"/>
              <w:spacing w:before="20" w:after="20" w:line="220" w:lineRule="auto"/>
            </w:pPr>
            <w:r>
              <w:rPr>
                <w:sz w:val="15"/>
                <w:szCs w:val="15"/>
              </w:rPr>
              <w:t xml:space="preserve">192</w:t>
            </w:r>
          </w:p>
        </w:tc>
        <w:tc>
          <w:tcPr>
            <w:tcW w:w="964" w:type="dxa"/>
          </w:tcPr>
          <w:p>
            <w:pPr>
              <w:pStyle w:val="Compact"/>
              <w:jc w:val="left"/>
              <w:spacing w:before="20" w:after="20" w:line="220" w:lineRule="auto"/>
            </w:pPr>
            <w:r>
              <w:rPr>
                <w:sz w:val="15"/>
                <w:szCs w:val="15"/>
              </w:rPr>
              <w:t xml:space="preserve">307</w:t>
            </w:r>
          </w:p>
        </w:tc>
        <w:tc>
          <w:tcPr>
            <w:tcW w:w="964" w:type="dxa"/>
          </w:tcPr>
          <w:p>
            <w:pPr>
              <w:pStyle w:val="Compact"/>
              <w:jc w:val="left"/>
              <w:spacing w:before="20" w:after="20" w:line="220" w:lineRule="auto"/>
            </w:pPr>
            <w:r>
              <w:rPr>
                <w:sz w:val="15"/>
                <w:szCs w:val="15"/>
              </w:rPr>
              <w:t xml:space="preserve">396</w:t>
            </w:r>
          </w:p>
        </w:tc>
        <w:tc>
          <w:tcPr>
            <w:tcW w:w="964" w:type="dxa"/>
          </w:tcPr>
          <w:p>
            <w:pPr>
              <w:pStyle w:val="Compact"/>
              <w:jc w:val="left"/>
              <w:spacing w:before="20" w:after="20" w:line="220" w:lineRule="auto"/>
            </w:pPr>
            <w:r>
              <w:rPr>
                <w:sz w:val="15"/>
                <w:szCs w:val="15"/>
              </w:rPr>
              <w:t xml:space="preserve">152</w:t>
            </w:r>
          </w:p>
        </w:tc>
      </w:tr>
      <w:tr>
        <w:tc>
          <w:tcPr>
            <w:tcW w:w="6561" w:type="dxa"/>
          </w:tcPr>
          <w:p>
            <w:pPr>
              <w:pStyle w:val="Compact"/>
              <w:jc w:val="left"/>
              <w:spacing w:before="20" w:after="20" w:line="220" w:lineRule="auto"/>
            </w:pPr>
            <w:r>
              <w:rPr>
                <w:sz w:val="15"/>
                <w:szCs w:val="15"/>
              </w:rPr>
              <w:t xml:space="preserve">HO: insurance revenue</w:t>
            </w:r>
          </w:p>
        </w:tc>
        <w:tc>
          <w:tcPr>
            <w:tcW w:w="4149" w:type="dxa"/>
          </w:tcPr>
          <w:p>
            <w:pPr>
              <w:pStyle w:val="Compact"/>
              <w:jc w:val="left"/>
              <w:spacing w:before="20" w:after="20" w:line="220" w:lineRule="auto"/>
            </w:pPr>
            <w:r>
              <w:rPr>
                <w:sz w:val="15"/>
                <w:szCs w:val="15"/>
              </w:rPr>
              <w:t xml:space="preserve">Fact</w:t>
            </w:r>
          </w:p>
        </w:tc>
        <w:tc>
          <w:tcPr>
            <w:tcW w:w="964" w:type="dxa"/>
          </w:tcPr>
          <w:p>
            <w:pPr>
              <w:pStyle w:val="Compact"/>
              <w:spacing w:before="20" w:after="20" w:line="220" w:lineRule="auto"/>
            </w:pPr>
          </w:p>
        </w:tc>
        <w:tc>
          <w:tcPr>
            <w:tcW w:w="964" w:type="dxa"/>
          </w:tcPr>
          <w:p>
            <w:pPr>
              <w:pStyle w:val="Compact"/>
              <w:jc w:val="left"/>
              <w:spacing w:before="20" w:after="20" w:line="220" w:lineRule="auto"/>
            </w:pPr>
            <w:r>
              <w:rPr>
                <w:sz w:val="15"/>
                <w:szCs w:val="15"/>
              </w:rPr>
              <w:t xml:space="preserve">-225</w:t>
            </w:r>
          </w:p>
        </w:tc>
        <w:tc>
          <w:tcPr>
            <w:tcW w:w="964" w:type="dxa"/>
          </w:tcPr>
          <w:p>
            <w:pPr>
              <w:pStyle w:val="Compact"/>
              <w:jc w:val="left"/>
              <w:spacing w:before="20" w:after="20" w:line="220" w:lineRule="auto"/>
            </w:pPr>
            <w:r>
              <w:rPr>
                <w:sz w:val="15"/>
                <w:szCs w:val="15"/>
              </w:rPr>
              <w:t xml:space="preserve">-333</w:t>
            </w:r>
          </w:p>
        </w:tc>
        <w:tc>
          <w:tcPr>
            <w:tcW w:w="964" w:type="dxa"/>
          </w:tcPr>
          <w:p>
            <w:pPr>
              <w:pStyle w:val="Compact"/>
              <w:jc w:val="left"/>
              <w:spacing w:before="20" w:after="20" w:line="220" w:lineRule="auto"/>
            </w:pPr>
            <w:r>
              <w:rPr>
                <w:sz w:val="15"/>
                <w:szCs w:val="15"/>
              </w:rPr>
              <w:t xml:space="preserve">-193</w:t>
            </w:r>
          </w:p>
        </w:tc>
      </w:tr>
      <w:tr>
        <w:tc>
          <w:tcPr>
            <w:tcW w:w="6561" w:type="dxa"/>
          </w:tcPr>
          <w:p>
            <w:pPr>
              <w:pStyle w:val="Compact"/>
              <w:jc w:val="left"/>
              <w:spacing w:before="20" w:after="20" w:line="220" w:lineRule="auto"/>
            </w:pPr>
            <w:r>
              <w:rPr>
                <w:sz w:val="15"/>
                <w:szCs w:val="15"/>
              </w:rPr>
              <w:t xml:space="preserve">HO: insurance service expenses</w:t>
            </w:r>
          </w:p>
        </w:tc>
        <w:tc>
          <w:tcPr>
            <w:tcW w:w="4149" w:type="dxa"/>
          </w:tcPr>
          <w:p>
            <w:pPr>
              <w:pStyle w:val="Compact"/>
              <w:jc w:val="left"/>
              <w:spacing w:before="20" w:after="20" w:line="220" w:lineRule="auto"/>
            </w:pPr>
            <w:r>
              <w:rPr>
                <w:sz w:val="15"/>
                <w:szCs w:val="15"/>
              </w:rPr>
              <w:t xml:space="preserve">Fact</w:t>
            </w:r>
          </w:p>
        </w:tc>
        <w:tc>
          <w:tcPr>
            <w:tcW w:w="964" w:type="dxa"/>
          </w:tcPr>
          <w:p>
            <w:pPr>
              <w:pStyle w:val="Compact"/>
              <w:spacing w:before="20" w:after="20" w:line="220" w:lineRule="auto"/>
            </w:pPr>
          </w:p>
        </w:tc>
        <w:tc>
          <w:tcPr>
            <w:tcW w:w="964" w:type="dxa"/>
          </w:tcPr>
          <w:p>
            <w:pPr>
              <w:pStyle w:val="Compact"/>
              <w:jc w:val="left"/>
              <w:spacing w:before="20" w:after="20" w:line="220" w:lineRule="auto"/>
            </w:pPr>
            <w:r>
              <w:rPr>
                <w:sz w:val="15"/>
                <w:szCs w:val="15"/>
              </w:rPr>
              <w:t xml:space="preserve">110</w:t>
            </w:r>
          </w:p>
        </w:tc>
        <w:tc>
          <w:tcPr>
            <w:tcW w:w="964" w:type="dxa"/>
          </w:tcPr>
          <w:p>
            <w:pPr>
              <w:pStyle w:val="Compact"/>
              <w:jc w:val="left"/>
              <w:spacing w:before="20" w:after="20" w:line="220" w:lineRule="auto"/>
            </w:pPr>
            <w:r>
              <w:rPr>
                <w:sz w:val="15"/>
                <w:szCs w:val="15"/>
              </w:rPr>
              <w:t xml:space="preserve">134</w:t>
            </w:r>
          </w:p>
        </w:tc>
        <w:tc>
          <w:tcPr>
            <w:tcW w:w="964" w:type="dxa"/>
          </w:tcPr>
          <w:p>
            <w:pPr>
              <w:pStyle w:val="Compact"/>
              <w:jc w:val="left"/>
              <w:spacing w:before="20" w:after="20" w:line="220" w:lineRule="auto"/>
            </w:pPr>
            <w:r>
              <w:rPr>
                <w:sz w:val="15"/>
                <w:szCs w:val="15"/>
              </w:rPr>
              <w:t xml:space="preserve">65</w:t>
            </w:r>
          </w:p>
        </w:tc>
      </w:tr>
      <w:tr>
        <w:tc>
          <w:tcPr>
            <w:tcW w:w="6561" w:type="dxa"/>
          </w:tcPr>
          <w:p>
            <w:pPr>
              <w:pStyle w:val="Compact"/>
              <w:jc w:val="left"/>
              <w:spacing w:before="20" w:after="20" w:line="220" w:lineRule="auto"/>
            </w:pPr>
            <w:r>
              <w:rPr>
                <w:sz w:val="15"/>
                <w:szCs w:val="15"/>
              </w:rPr>
              <w:t xml:space="preserve">HO: other operating expenses (non-attributable)</w:t>
            </w:r>
          </w:p>
        </w:tc>
        <w:tc>
          <w:tcPr>
            <w:tcW w:w="4149" w:type="dxa"/>
          </w:tcPr>
          <w:p>
            <w:pPr>
              <w:pStyle w:val="Compact"/>
              <w:jc w:val="left"/>
              <w:spacing w:before="20" w:after="20" w:line="220" w:lineRule="auto"/>
            </w:pPr>
            <w:r>
              <w:rPr>
                <w:sz w:val="15"/>
                <w:szCs w:val="15"/>
              </w:rPr>
              <w:t xml:space="preserve">Fact</w:t>
            </w:r>
          </w:p>
        </w:tc>
        <w:tc>
          <w:tcPr>
            <w:tcW w:w="964" w:type="dxa"/>
          </w:tcPr>
          <w:p>
            <w:pPr>
              <w:pStyle w:val="Compact"/>
              <w:spacing w:before="20" w:after="20" w:line="220" w:lineRule="auto"/>
            </w:pPr>
          </w:p>
        </w:tc>
        <w:tc>
          <w:tcPr>
            <w:tcW w:w="964" w:type="dxa"/>
          </w:tcPr>
          <w:p>
            <w:pPr>
              <w:pStyle w:val="Compact"/>
              <w:jc w:val="left"/>
              <w:spacing w:before="20" w:after="20" w:line="220" w:lineRule="auto"/>
            </w:pPr>
            <w:r>
              <w:rPr>
                <w:sz w:val="15"/>
                <w:szCs w:val="15"/>
              </w:rPr>
              <w:t xml:space="preserve">276</w:t>
            </w:r>
          </w:p>
        </w:tc>
        <w:tc>
          <w:tcPr>
            <w:tcW w:w="964" w:type="dxa"/>
          </w:tcPr>
          <w:p>
            <w:pPr>
              <w:pStyle w:val="Compact"/>
              <w:jc w:val="left"/>
              <w:spacing w:before="20" w:after="20" w:line="220" w:lineRule="auto"/>
            </w:pPr>
            <w:r>
              <w:rPr>
                <w:sz w:val="15"/>
                <w:szCs w:val="15"/>
              </w:rPr>
              <w:t xml:space="preserve">326</w:t>
            </w:r>
          </w:p>
        </w:tc>
        <w:tc>
          <w:tcPr>
            <w:tcW w:w="964" w:type="dxa"/>
          </w:tcPr>
          <w:p>
            <w:pPr>
              <w:pStyle w:val="Compact"/>
              <w:jc w:val="left"/>
              <w:spacing w:before="20" w:after="20" w:line="220" w:lineRule="auto"/>
            </w:pPr>
            <w:r>
              <w:rPr>
                <w:sz w:val="15"/>
                <w:szCs w:val="15"/>
              </w:rPr>
              <w:t xml:space="preserve">151</w:t>
            </w:r>
          </w:p>
        </w:tc>
      </w:tr>
      <w:tr>
        <w:tc>
          <w:tcPr>
            <w:tcW w:w="6561" w:type="dxa"/>
          </w:tcPr>
          <w:p>
            <w:pPr>
              <w:pStyle w:val="Compact"/>
              <w:jc w:val="left"/>
              <w:spacing w:before="20" w:after="20" w:line="220" w:lineRule="auto"/>
            </w:pPr>
            <w:r>
              <w:rPr>
                <w:sz w:val="15"/>
                <w:szCs w:val="15"/>
              </w:rPr>
              <w:t xml:space="preserve">HO: profit for the period</w:t>
            </w:r>
          </w:p>
        </w:tc>
        <w:tc>
          <w:tcPr>
            <w:tcW w:w="4149" w:type="dxa"/>
          </w:tcPr>
          <w:p>
            <w:pPr>
              <w:pStyle w:val="Compact"/>
              <w:jc w:val="left"/>
              <w:spacing w:before="20" w:after="20" w:line="220" w:lineRule="auto"/>
            </w:pPr>
            <w:r>
              <w:rPr>
                <w:sz w:val="15"/>
                <w:szCs w:val="15"/>
              </w:rPr>
              <w:t xml:space="preserve">Fact</w:t>
            </w:r>
          </w:p>
        </w:tc>
        <w:tc>
          <w:tcPr>
            <w:tcW w:w="964" w:type="dxa"/>
          </w:tcPr>
          <w:p>
            <w:pPr>
              <w:pStyle w:val="Compact"/>
              <w:spacing w:before="20" w:after="20" w:line="220" w:lineRule="auto"/>
            </w:pPr>
          </w:p>
        </w:tc>
        <w:tc>
          <w:tcPr>
            <w:tcW w:w="964" w:type="dxa"/>
          </w:tcPr>
          <w:p>
            <w:pPr>
              <w:pStyle w:val="Compact"/>
              <w:jc w:val="left"/>
              <w:spacing w:before="20" w:after="20" w:line="220" w:lineRule="auto"/>
            </w:pPr>
            <w:r>
              <w:rPr>
                <w:sz w:val="15"/>
                <w:szCs w:val="15"/>
              </w:rPr>
              <w:t xml:space="preserve">-182</w:t>
            </w:r>
          </w:p>
        </w:tc>
        <w:tc>
          <w:tcPr>
            <w:tcW w:w="964" w:type="dxa"/>
          </w:tcPr>
          <w:p>
            <w:pPr>
              <w:pStyle w:val="Compact"/>
              <w:jc w:val="left"/>
              <w:spacing w:before="20" w:after="20" w:line="220" w:lineRule="auto"/>
            </w:pPr>
            <w:r>
              <w:rPr>
                <w:sz w:val="15"/>
                <w:szCs w:val="15"/>
              </w:rPr>
              <w:t xml:space="preserve">-288</w:t>
            </w:r>
          </w:p>
        </w:tc>
        <w:tc>
          <w:tcPr>
            <w:tcW w:w="964" w:type="dxa"/>
          </w:tcPr>
          <w:p>
            <w:pPr>
              <w:pStyle w:val="Compact"/>
              <w:jc w:val="left"/>
              <w:spacing w:before="20" w:after="20" w:line="220" w:lineRule="auto"/>
            </w:pPr>
            <w:r>
              <w:rPr>
                <w:sz w:val="15"/>
                <w:szCs w:val="15"/>
              </w:rPr>
              <w:t xml:space="preserve">-91</w:t>
            </w:r>
          </w:p>
        </w:tc>
      </w:tr>
      <w:tr>
        <w:tc>
          <w:tcPr>
            <w:tcW w:w="6561" w:type="dxa"/>
          </w:tcPr>
          <w:p>
            <w:pPr>
              <w:pStyle w:val="Compact"/>
              <w:jc w:val="left"/>
              <w:spacing w:before="20" w:after="20" w:line="220" w:lineRule="auto"/>
            </w:pPr>
            <w:r>
              <w:rPr>
                <w:sz w:val="15"/>
                <w:szCs w:val="15"/>
              </w:rPr>
              <w:t xml:space="preserve">Non-Life: gross written premium</w:t>
            </w:r>
          </w:p>
        </w:tc>
        <w:tc>
          <w:tcPr>
            <w:tcW w:w="4149" w:type="dxa"/>
          </w:tcPr>
          <w:p>
            <w:pPr>
              <w:pStyle w:val="Compact"/>
              <w:jc w:val="left"/>
              <w:spacing w:before="20" w:after="20" w:line="220" w:lineRule="auto"/>
            </w:pPr>
            <w:r>
              <w:rPr>
                <w:sz w:val="15"/>
                <w:szCs w:val="15"/>
              </w:rPr>
              <w:t xml:space="preserve">Fact; Absa KPI</w:t>
            </w:r>
          </w:p>
        </w:tc>
        <w:tc>
          <w:tcPr>
            <w:tcW w:w="964" w:type="dxa"/>
          </w:tcPr>
          <w:p>
            <w:pPr>
              <w:pStyle w:val="Compact"/>
              <w:spacing w:before="20" w:after="20" w:line="220" w:lineRule="auto"/>
            </w:pPr>
          </w:p>
        </w:tc>
        <w:tc>
          <w:tcPr>
            <w:tcW w:w="964" w:type="dxa"/>
          </w:tcPr>
          <w:p>
            <w:pPr>
              <w:pStyle w:val="Compact"/>
              <w:jc w:val="left"/>
              <w:spacing w:before="20" w:after="20" w:line="220" w:lineRule="auto"/>
            </w:pPr>
            <w:r>
              <w:rPr>
                <w:sz w:val="15"/>
                <w:szCs w:val="15"/>
              </w:rPr>
              <w:t xml:space="preserve">3,994</w:t>
            </w:r>
          </w:p>
        </w:tc>
        <w:tc>
          <w:tcPr>
            <w:tcW w:w="964" w:type="dxa"/>
          </w:tcPr>
          <w:p>
            <w:pPr>
              <w:pStyle w:val="Compact"/>
              <w:jc w:val="left"/>
              <w:spacing w:before="20" w:after="20" w:line="220" w:lineRule="auto"/>
            </w:pPr>
            <w:r>
              <w:rPr>
                <w:sz w:val="15"/>
                <w:szCs w:val="15"/>
              </w:rPr>
              <w:t xml:space="preserve">4,128</w:t>
            </w:r>
          </w:p>
        </w:tc>
        <w:tc>
          <w:tcPr>
            <w:tcW w:w="964" w:type="dxa"/>
          </w:tcPr>
          <w:p>
            <w:pPr>
              <w:pStyle w:val="Compact"/>
              <w:jc w:val="left"/>
              <w:spacing w:before="20" w:after="20" w:line="220" w:lineRule="auto"/>
            </w:pPr>
            <w:r>
              <w:rPr>
                <w:sz w:val="15"/>
                <w:szCs w:val="15"/>
              </w:rPr>
              <w:t xml:space="preserve">2,048</w:t>
            </w:r>
          </w:p>
        </w:tc>
      </w:tr>
      <w:tr>
        <w:tc>
          <w:tcPr>
            <w:tcW w:w="6561" w:type="dxa"/>
          </w:tcPr>
          <w:p>
            <w:pPr>
              <w:pStyle w:val="Compact"/>
              <w:jc w:val="left"/>
              <w:spacing w:before="20" w:after="20" w:line="220" w:lineRule="auto"/>
            </w:pPr>
            <w:r>
              <w:rPr>
                <w:sz w:val="15"/>
                <w:szCs w:val="15"/>
              </w:rPr>
              <w:t xml:space="preserve">Life: net premiums (cash measure, GWP proxy)</w:t>
            </w:r>
          </w:p>
        </w:tc>
        <w:tc>
          <w:tcPr>
            <w:tcW w:w="4149" w:type="dxa"/>
          </w:tcPr>
          <w:p>
            <w:pPr>
              <w:pStyle w:val="Compact"/>
              <w:jc w:val="left"/>
              <w:spacing w:before="20" w:after="20" w:line="220" w:lineRule="auto"/>
            </w:pPr>
            <w:r>
              <w:rPr>
                <w:sz w:val="15"/>
                <w:szCs w:val="15"/>
              </w:rPr>
              <w:t xml:space="preserve">Fact; Absa KPI, not IFRS 17 revenue</w:t>
            </w:r>
          </w:p>
        </w:tc>
        <w:tc>
          <w:tcPr>
            <w:tcW w:w="964" w:type="dxa"/>
          </w:tcPr>
          <w:p>
            <w:pPr>
              <w:pStyle w:val="Compact"/>
              <w:spacing w:before="20" w:after="20" w:line="220" w:lineRule="auto"/>
            </w:pPr>
          </w:p>
        </w:tc>
        <w:tc>
          <w:tcPr>
            <w:tcW w:w="964" w:type="dxa"/>
          </w:tcPr>
          <w:p>
            <w:pPr>
              <w:pStyle w:val="Compact"/>
              <w:jc w:val="left"/>
              <w:spacing w:before="20" w:after="20" w:line="220" w:lineRule="auto"/>
            </w:pPr>
            <w:r>
              <w:rPr>
                <w:sz w:val="15"/>
                <w:szCs w:val="15"/>
              </w:rPr>
              <w:t xml:space="preserve">4,736</w:t>
            </w:r>
          </w:p>
        </w:tc>
        <w:tc>
          <w:tcPr>
            <w:tcW w:w="964" w:type="dxa"/>
          </w:tcPr>
          <w:p>
            <w:pPr>
              <w:pStyle w:val="Compact"/>
              <w:jc w:val="left"/>
              <w:spacing w:before="20" w:after="20" w:line="220" w:lineRule="auto"/>
            </w:pPr>
            <w:r>
              <w:rPr>
                <w:sz w:val="15"/>
                <w:szCs w:val="15"/>
              </w:rPr>
              <w:t xml:space="preserve">5,021</w:t>
            </w:r>
          </w:p>
        </w:tc>
        <w:tc>
          <w:tcPr>
            <w:tcW w:w="964" w:type="dxa"/>
          </w:tcPr>
          <w:p>
            <w:pPr>
              <w:pStyle w:val="Compact"/>
              <w:jc w:val="left"/>
              <w:spacing w:before="20" w:after="20" w:line="220" w:lineRule="auto"/>
            </w:pPr>
            <w:r>
              <w:rPr>
                <w:sz w:val="15"/>
                <w:szCs w:val="15"/>
              </w:rPr>
              <w:t xml:space="preserve">2,462</w:t>
            </w:r>
          </w:p>
        </w:tc>
      </w:tr>
      <w:tr>
        <w:tc>
          <w:tcPr>
            <w:tcW w:w="6561" w:type="dxa"/>
          </w:tcPr>
          <w:p>
            <w:pPr>
              <w:pStyle w:val="Compact"/>
              <w:jc w:val="left"/>
              <w:spacing w:before="20" w:after="20" w:line="220" w:lineRule="auto"/>
            </w:pPr>
            <w:r>
              <w:rPr>
                <w:sz w:val="15"/>
                <w:szCs w:val="15"/>
              </w:rPr>
              <w:t xml:space="preserve">Non-Life: underwriting margin as reported (percent)</w:t>
            </w:r>
          </w:p>
        </w:tc>
        <w:tc>
          <w:tcPr>
            <w:tcW w:w="4149" w:type="dxa"/>
          </w:tcPr>
          <w:p>
            <w:pPr>
              <w:pStyle w:val="Compact"/>
              <w:jc w:val="left"/>
              <w:spacing w:before="20" w:after="20" w:line="220" w:lineRule="auto"/>
            </w:pPr>
            <w:r>
              <w:rPr>
                <w:sz w:val="15"/>
                <w:szCs w:val="15"/>
              </w:rPr>
              <w:t xml:space="preserve">Fact; Absa definition</w:t>
            </w:r>
          </w:p>
        </w:tc>
        <w:tc>
          <w:tcPr>
            <w:tcW w:w="964" w:type="dxa"/>
          </w:tcPr>
          <w:p>
            <w:pPr>
              <w:pStyle w:val="Compact"/>
              <w:jc w:val="left"/>
              <w:spacing w:before="20" w:after="20" w:line="220" w:lineRule="auto"/>
            </w:pPr>
            <w:r>
              <w:rPr>
                <w:sz w:val="15"/>
                <w:szCs w:val="15"/>
              </w:rPr>
              <w:t xml:space="preserve">1</w:t>
            </w:r>
          </w:p>
        </w:tc>
        <w:tc>
          <w:tcPr>
            <w:tcW w:w="964" w:type="dxa"/>
          </w:tcPr>
          <w:p>
            <w:pPr>
              <w:pStyle w:val="Compact"/>
              <w:jc w:val="left"/>
              <w:spacing w:before="20" w:after="20" w:line="220" w:lineRule="auto"/>
            </w:pPr>
            <w:r>
              <w:rPr>
                <w:sz w:val="15"/>
                <w:szCs w:val="15"/>
              </w:rPr>
              <w:t xml:space="preserve">5</w:t>
            </w:r>
          </w:p>
        </w:tc>
        <w:tc>
          <w:tcPr>
            <w:tcW w:w="964" w:type="dxa"/>
          </w:tcPr>
          <w:p>
            <w:pPr>
              <w:pStyle w:val="Compact"/>
              <w:jc w:val="left"/>
              <w:spacing w:before="20" w:after="20" w:line="220" w:lineRule="auto"/>
            </w:pPr>
            <w:r>
              <w:rPr>
                <w:sz w:val="15"/>
                <w:szCs w:val="15"/>
              </w:rPr>
              <w:t xml:space="preserve">8</w:t>
            </w:r>
          </w:p>
        </w:tc>
        <w:tc>
          <w:tcPr>
            <w:tcW w:w="964" w:type="dxa"/>
          </w:tcPr>
          <w:p>
            <w:pPr>
              <w:pStyle w:val="Compact"/>
              <w:jc w:val="left"/>
              <w:spacing w:before="20" w:after="20" w:line="220" w:lineRule="auto"/>
            </w:pPr>
            <w:r>
              <w:rPr>
                <w:sz w:val="15"/>
                <w:szCs w:val="15"/>
              </w:rPr>
              <w:t xml:space="preserve">6</w:t>
            </w:r>
          </w:p>
        </w:tc>
      </w:tr>
      <w:tr>
        <w:tc>
          <w:tcPr>
            <w:tcW w:w="6561" w:type="dxa"/>
          </w:tcPr>
          <w:p>
            <w:pPr>
              <w:pStyle w:val="Compact"/>
              <w:jc w:val="left"/>
              <w:spacing w:before="20" w:after="20" w:line="220" w:lineRule="auto"/>
            </w:pPr>
            <w:r>
              <w:rPr>
                <w:sz w:val="15"/>
                <w:szCs w:val="15"/>
              </w:rPr>
              <w:t xml:space="preserve">Check: Life + Non-Life + HO other opex less Insurance SA other opex</w:t>
            </w:r>
          </w:p>
        </w:tc>
        <w:tc>
          <w:tcPr>
            <w:tcW w:w="4149" w:type="dxa"/>
          </w:tcPr>
          <w:p>
            <w:pPr>
              <w:pStyle w:val="Compact"/>
              <w:jc w:val="left"/>
              <w:spacing w:before="20" w:after="20" w:line="220" w:lineRule="auto"/>
            </w:pPr>
            <w:r>
              <w:rPr>
                <w:sz w:val="15"/>
                <w:szCs w:val="15"/>
              </w:rPr>
              <w:t xml:space="preserve">Derived</w:t>
            </w:r>
          </w:p>
        </w:tc>
        <w:tc>
          <w:tcPr>
            <w:tcW w:w="964" w:type="dxa"/>
          </w:tcPr>
          <w:p>
            <w:pPr>
              <w:pStyle w:val="Compact"/>
              <w:spacing w:before="20" w:after="20" w:line="220" w:lineRule="auto"/>
            </w:pPr>
          </w:p>
        </w:tc>
        <w:tc>
          <w:tcPr>
            <w:tcW w:w="964" w:type="dxa"/>
          </w:tcPr>
          <w:p>
            <w:pPr>
              <w:pStyle w:val="Compact"/>
              <w:jc w:val="left"/>
              <w:spacing w:before="20" w:after="20" w:line="220" w:lineRule="auto"/>
            </w:pPr>
            <w:r>
              <w:rPr>
                <w:sz w:val="15"/>
                <w:szCs w:val="15"/>
              </w:rPr>
              <w:t xml:space="preserve">0</w:t>
            </w:r>
          </w:p>
        </w:tc>
        <w:tc>
          <w:tcPr>
            <w:tcW w:w="964" w:type="dxa"/>
          </w:tcPr>
          <w:p>
            <w:pPr>
              <w:pStyle w:val="Compact"/>
              <w:jc w:val="left"/>
              <w:spacing w:before="20" w:after="20" w:line="220" w:lineRule="auto"/>
            </w:pPr>
            <w:r>
              <w:rPr>
                <w:sz w:val="15"/>
                <w:szCs w:val="15"/>
              </w:rPr>
              <w:t xml:space="preserve">0</w:t>
            </w:r>
          </w:p>
        </w:tc>
        <w:tc>
          <w:tcPr>
            <w:tcW w:w="964" w:type="dxa"/>
          </w:tcPr>
          <w:p>
            <w:pPr>
              <w:pStyle w:val="Compact"/>
              <w:jc w:val="left"/>
              <w:spacing w:before="20" w:after="20" w:line="220" w:lineRule="auto"/>
            </w:pPr>
            <w:r>
              <w:rPr>
                <w:sz w:val="15"/>
                <w:szCs w:val="15"/>
              </w:rPr>
              <w:t xml:space="preserve">0</w:t>
            </w:r>
          </w:p>
        </w:tc>
      </w:tr>
    </w:tbl>
    <w:bookmarkEnd w:id="30"/>
    <w:bookmarkStart w:id="31" w:name="Xef7bdeb6771eff2657d659e413ffffada457d82"/>
    <w:p>
      <w:pPr>
        <w:pStyle w:val="Heading4"/>
      </w:pPr>
      <w:r>
        <w:t xml:space="preserve">C. Group IFRS 17 note 8 components (Group = SA + Africa Regions) and the share allocated to Insurance SA</w:t>
      </w:r>
    </w:p>
    <w:tbl>
      <w:tblPr>
        <w:tblStyle w:val="Table"/>
        <w:tblLook w:firstRow="1" w:lastRow="0" w:firstColumn="0" w:lastColumn="0" w:noHBand="0" w:noVBand="0" w:val="0020"/>
        <w:jc w:val="start"/>
        <w:tblW w:w="14566" w:type="dxa"/>
        <w:tblLayout w:type="fixed"/>
      </w:tblPr>
      <w:tblGrid>
        <w:gridCol w:w="5629"/>
        <w:gridCol w:w="5629"/>
        <w:gridCol w:w="827"/>
        <w:gridCol w:w="827"/>
        <w:gridCol w:w="827"/>
        <w:gridCol w:w="827"/>
      </w:tblGrid>
      <w:tr>
        <w:trPr>
          <w:tblHeader w:val="true"/>
        </w:trPr>
        <w:tc>
          <w:tcPr>
            <w:tcW w:w="5629" w:type="dxa"/>
          </w:tcPr>
          <w:p>
            <w:pPr>
              <w:pStyle w:val="Compact"/>
              <w:jc w:val="left"/>
              <w:spacing w:before="20" w:after="20" w:line="220" w:lineRule="auto"/>
            </w:pPr>
            <w:r>
              <w:rPr>
                <w:sz w:val="15"/>
                <w:szCs w:val="15"/>
              </w:rPr>
              <w:t xml:space="preserve">Line</w:t>
            </w:r>
          </w:p>
        </w:tc>
        <w:tc>
          <w:tcPr>
            <w:tcW w:w="5629" w:type="dxa"/>
          </w:tcPr>
          <w:p>
            <w:pPr>
              <w:pStyle w:val="Compact"/>
              <w:jc w:val="left"/>
              <w:spacing w:before="20" w:after="20" w:line="220" w:lineRule="auto"/>
            </w:pPr>
            <w:r>
              <w:rPr>
                <w:sz w:val="15"/>
                <w:szCs w:val="15"/>
              </w:rPr>
              <w:t xml:space="preserve">Basis</w:t>
            </w:r>
          </w:p>
        </w:tc>
        <w:tc>
          <w:tcPr>
            <w:tcW w:w="827" w:type="dxa"/>
          </w:tcPr>
          <w:p>
            <w:pPr>
              <w:pStyle w:val="Compact"/>
              <w:jc w:val="left"/>
              <w:spacing w:before="20" w:after="20" w:line="220" w:lineRule="auto"/>
            </w:pPr>
            <w:r>
              <w:rPr>
                <w:sz w:val="15"/>
                <w:szCs w:val="15"/>
              </w:rPr>
              <w:t xml:space="preserve">FY2023</w:t>
            </w:r>
          </w:p>
        </w:tc>
        <w:tc>
          <w:tcPr>
            <w:tcW w:w="827" w:type="dxa"/>
          </w:tcPr>
          <w:p>
            <w:pPr>
              <w:pStyle w:val="Compact"/>
              <w:jc w:val="left"/>
              <w:spacing w:before="20" w:after="20" w:line="220" w:lineRule="auto"/>
            </w:pPr>
            <w:r>
              <w:rPr>
                <w:sz w:val="15"/>
                <w:szCs w:val="15"/>
              </w:rPr>
              <w:t xml:space="preserve">FY2024</w:t>
            </w:r>
          </w:p>
        </w:tc>
        <w:tc>
          <w:tcPr>
            <w:tcW w:w="827" w:type="dxa"/>
          </w:tcPr>
          <w:p>
            <w:pPr>
              <w:pStyle w:val="Compact"/>
              <w:jc w:val="left"/>
              <w:spacing w:before="20" w:after="20" w:line="220" w:lineRule="auto"/>
            </w:pPr>
            <w:r>
              <w:rPr>
                <w:sz w:val="15"/>
                <w:szCs w:val="15"/>
              </w:rPr>
              <w:t xml:space="preserve">FY2025</w:t>
            </w:r>
          </w:p>
        </w:tc>
        <w:tc>
          <w:tcPr>
            <w:tcW w:w="827" w:type="dxa"/>
          </w:tcPr>
          <w:p>
            <w:pPr>
              <w:pStyle w:val="Compact"/>
              <w:jc w:val="left"/>
              <w:spacing w:before="20" w:after="20" w:line="220" w:lineRule="auto"/>
            </w:pPr>
            <w:r>
              <w:rPr>
                <w:sz w:val="15"/>
                <w:szCs w:val="15"/>
              </w:rPr>
              <w:t xml:space="preserve">1H2026</w:t>
            </w:r>
          </w:p>
        </w:tc>
      </w:tr>
      <w:tr>
        <w:tc>
          <w:tcPr>
            <w:tcW w:w="5629" w:type="dxa"/>
          </w:tcPr>
          <w:p>
            <w:pPr>
              <w:pStyle w:val="Compact"/>
              <w:jc w:val="left"/>
              <w:spacing w:before="20" w:after="20" w:line="220" w:lineRule="auto"/>
            </w:pPr>
            <w:r>
              <w:rPr>
                <w:sz w:val="15"/>
                <w:szCs w:val="15"/>
              </w:rPr>
              <w:t xml:space="preserve">Group life non-PAA: insurance service expenses</w:t>
            </w:r>
          </w:p>
        </w:tc>
        <w:tc>
          <w:tcPr>
            <w:tcW w:w="5629" w:type="dxa"/>
          </w:tcPr>
          <w:p>
            <w:pPr>
              <w:pStyle w:val="Compact"/>
              <w:jc w:val="left"/>
              <w:spacing w:before="20" w:after="20" w:line="220" w:lineRule="auto"/>
            </w:pPr>
            <w:r>
              <w:rPr>
                <w:sz w:val="15"/>
                <w:szCs w:val="15"/>
              </w:rPr>
              <w:t xml:space="preserve">Fact</w:t>
            </w:r>
          </w:p>
        </w:tc>
        <w:tc>
          <w:tcPr>
            <w:tcW w:w="827" w:type="dxa"/>
          </w:tcPr>
          <w:p>
            <w:pPr>
              <w:pStyle w:val="Compact"/>
              <w:jc w:val="left"/>
              <w:spacing w:before="20" w:after="20" w:line="220" w:lineRule="auto"/>
            </w:pPr>
            <w:r>
              <w:rPr>
                <w:sz w:val="15"/>
                <w:szCs w:val="15"/>
              </w:rPr>
              <w:t xml:space="preserve">3,843</w:t>
            </w:r>
          </w:p>
        </w:tc>
        <w:tc>
          <w:tcPr>
            <w:tcW w:w="827" w:type="dxa"/>
          </w:tcPr>
          <w:p>
            <w:pPr>
              <w:pStyle w:val="Compact"/>
              <w:jc w:val="left"/>
              <w:spacing w:before="20" w:after="20" w:line="220" w:lineRule="auto"/>
            </w:pPr>
            <w:r>
              <w:rPr>
                <w:sz w:val="15"/>
                <w:szCs w:val="15"/>
              </w:rPr>
              <w:t xml:space="preserve">3,988</w:t>
            </w:r>
          </w:p>
        </w:tc>
        <w:tc>
          <w:tcPr>
            <w:tcW w:w="827" w:type="dxa"/>
          </w:tcPr>
          <w:p>
            <w:pPr>
              <w:pStyle w:val="Compact"/>
              <w:jc w:val="left"/>
              <w:spacing w:before="20" w:after="20" w:line="220" w:lineRule="auto"/>
            </w:pPr>
            <w:r>
              <w:rPr>
                <w:sz w:val="15"/>
                <w:szCs w:val="15"/>
              </w:rPr>
              <w:t xml:space="preserve">4,026</w:t>
            </w:r>
          </w:p>
        </w:tc>
        <w:tc>
          <w:tcPr>
            <w:tcW w:w="827" w:type="dxa"/>
          </w:tcPr>
          <w:p>
            <w:pPr>
              <w:pStyle w:val="Compact"/>
              <w:spacing w:before="20" w:after="20" w:line="220" w:lineRule="auto"/>
            </w:pPr>
          </w:p>
        </w:tc>
      </w:tr>
      <w:tr>
        <w:tc>
          <w:tcPr>
            <w:tcW w:w="5629" w:type="dxa"/>
          </w:tcPr>
          <w:p>
            <w:pPr>
              <w:pStyle w:val="Compact"/>
              <w:jc w:val="left"/>
              <w:spacing w:before="20" w:after="20" w:line="220" w:lineRule="auto"/>
            </w:pPr>
            <w:r>
              <w:rPr>
                <w:sz w:val="15"/>
                <w:szCs w:val="15"/>
              </w:rPr>
              <w:t xml:space="preserve">Group life non-PAA: incurred claims and other attributable expenses</w:t>
            </w:r>
          </w:p>
        </w:tc>
        <w:tc>
          <w:tcPr>
            <w:tcW w:w="5629" w:type="dxa"/>
          </w:tcPr>
          <w:p>
            <w:pPr>
              <w:pStyle w:val="Compact"/>
              <w:jc w:val="left"/>
              <w:spacing w:before="20" w:after="20" w:line="220" w:lineRule="auto"/>
            </w:pPr>
            <w:r>
              <w:rPr>
                <w:sz w:val="15"/>
                <w:szCs w:val="15"/>
              </w:rPr>
              <w:t xml:space="preserve">Fact</w:t>
            </w:r>
          </w:p>
        </w:tc>
        <w:tc>
          <w:tcPr>
            <w:tcW w:w="827" w:type="dxa"/>
          </w:tcPr>
          <w:p>
            <w:pPr>
              <w:pStyle w:val="Compact"/>
              <w:jc w:val="left"/>
              <w:spacing w:before="20" w:after="20" w:line="220" w:lineRule="auto"/>
            </w:pPr>
            <w:r>
              <w:rPr>
                <w:sz w:val="15"/>
                <w:szCs w:val="15"/>
              </w:rPr>
              <w:t xml:space="preserve">3,238</w:t>
            </w:r>
          </w:p>
        </w:tc>
        <w:tc>
          <w:tcPr>
            <w:tcW w:w="827" w:type="dxa"/>
          </w:tcPr>
          <w:p>
            <w:pPr>
              <w:pStyle w:val="Compact"/>
              <w:jc w:val="left"/>
              <w:spacing w:before="20" w:after="20" w:line="220" w:lineRule="auto"/>
            </w:pPr>
            <w:r>
              <w:rPr>
                <w:sz w:val="15"/>
                <w:szCs w:val="15"/>
              </w:rPr>
              <w:t xml:space="preserve">3,018</w:t>
            </w:r>
          </w:p>
        </w:tc>
        <w:tc>
          <w:tcPr>
            <w:tcW w:w="827" w:type="dxa"/>
          </w:tcPr>
          <w:p>
            <w:pPr>
              <w:pStyle w:val="Compact"/>
              <w:jc w:val="left"/>
              <w:spacing w:before="20" w:after="20" w:line="220" w:lineRule="auto"/>
            </w:pPr>
            <w:r>
              <w:rPr>
                <w:sz w:val="15"/>
                <w:szCs w:val="15"/>
              </w:rPr>
              <w:t xml:space="preserve">3,091</w:t>
            </w:r>
          </w:p>
        </w:tc>
        <w:tc>
          <w:tcPr>
            <w:tcW w:w="827" w:type="dxa"/>
          </w:tcPr>
          <w:p>
            <w:pPr>
              <w:pStyle w:val="Compact"/>
              <w:spacing w:before="20" w:after="20" w:line="220" w:lineRule="auto"/>
            </w:pPr>
          </w:p>
        </w:tc>
      </w:tr>
      <w:tr>
        <w:tc>
          <w:tcPr>
            <w:tcW w:w="5629" w:type="dxa"/>
          </w:tcPr>
          <w:p>
            <w:pPr>
              <w:pStyle w:val="Compact"/>
              <w:jc w:val="left"/>
              <w:spacing w:before="20" w:after="20" w:line="220" w:lineRule="auto"/>
            </w:pPr>
            <w:r>
              <w:rPr>
                <w:sz w:val="15"/>
                <w:szCs w:val="15"/>
              </w:rPr>
              <w:t xml:space="preserve">Group life non-PAA: amortisation of acquisition cash flows</w:t>
            </w:r>
          </w:p>
        </w:tc>
        <w:tc>
          <w:tcPr>
            <w:tcW w:w="5629" w:type="dxa"/>
          </w:tcPr>
          <w:p>
            <w:pPr>
              <w:pStyle w:val="Compact"/>
              <w:jc w:val="left"/>
              <w:spacing w:before="20" w:after="20" w:line="220" w:lineRule="auto"/>
            </w:pPr>
            <w:r>
              <w:rPr>
                <w:sz w:val="15"/>
                <w:szCs w:val="15"/>
              </w:rPr>
              <w:t xml:space="preserve">Fact</w:t>
            </w:r>
          </w:p>
        </w:tc>
        <w:tc>
          <w:tcPr>
            <w:tcW w:w="827" w:type="dxa"/>
          </w:tcPr>
          <w:p>
            <w:pPr>
              <w:pStyle w:val="Compact"/>
              <w:jc w:val="left"/>
              <w:spacing w:before="20" w:after="20" w:line="220" w:lineRule="auto"/>
            </w:pPr>
            <w:r>
              <w:rPr>
                <w:sz w:val="15"/>
                <w:szCs w:val="15"/>
              </w:rPr>
              <w:t xml:space="preserve">310</w:t>
            </w:r>
          </w:p>
        </w:tc>
        <w:tc>
          <w:tcPr>
            <w:tcW w:w="827" w:type="dxa"/>
          </w:tcPr>
          <w:p>
            <w:pPr>
              <w:pStyle w:val="Compact"/>
              <w:jc w:val="left"/>
              <w:spacing w:before="20" w:after="20" w:line="220" w:lineRule="auto"/>
            </w:pPr>
            <w:r>
              <w:rPr>
                <w:sz w:val="15"/>
                <w:szCs w:val="15"/>
              </w:rPr>
              <w:t xml:space="preserve">611</w:t>
            </w:r>
          </w:p>
        </w:tc>
        <w:tc>
          <w:tcPr>
            <w:tcW w:w="827" w:type="dxa"/>
          </w:tcPr>
          <w:p>
            <w:pPr>
              <w:pStyle w:val="Compact"/>
              <w:jc w:val="left"/>
              <w:spacing w:before="20" w:after="20" w:line="220" w:lineRule="auto"/>
            </w:pPr>
            <w:r>
              <w:rPr>
                <w:sz w:val="15"/>
                <w:szCs w:val="15"/>
              </w:rPr>
              <w:t xml:space="preserve">507</w:t>
            </w:r>
          </w:p>
        </w:tc>
        <w:tc>
          <w:tcPr>
            <w:tcW w:w="827" w:type="dxa"/>
          </w:tcPr>
          <w:p>
            <w:pPr>
              <w:pStyle w:val="Compact"/>
              <w:spacing w:before="20" w:after="20" w:line="220" w:lineRule="auto"/>
            </w:pPr>
          </w:p>
        </w:tc>
      </w:tr>
      <w:tr>
        <w:tc>
          <w:tcPr>
            <w:tcW w:w="5629" w:type="dxa"/>
          </w:tcPr>
          <w:p>
            <w:pPr>
              <w:pStyle w:val="Compact"/>
              <w:jc w:val="left"/>
              <w:spacing w:before="20" w:after="20" w:line="220" w:lineRule="auto"/>
            </w:pPr>
            <w:r>
              <w:rPr>
                <w:sz w:val="15"/>
                <w:szCs w:val="15"/>
              </w:rPr>
              <w:t xml:space="preserve">Group life non-PAA: losses on onerous contracts</w:t>
            </w:r>
          </w:p>
        </w:tc>
        <w:tc>
          <w:tcPr>
            <w:tcW w:w="5629" w:type="dxa"/>
          </w:tcPr>
          <w:p>
            <w:pPr>
              <w:pStyle w:val="Compact"/>
              <w:jc w:val="left"/>
              <w:spacing w:before="20" w:after="20" w:line="220" w:lineRule="auto"/>
            </w:pPr>
            <w:r>
              <w:rPr>
                <w:sz w:val="15"/>
                <w:szCs w:val="15"/>
              </w:rPr>
              <w:t xml:space="preserve">Fact</w:t>
            </w:r>
          </w:p>
        </w:tc>
        <w:tc>
          <w:tcPr>
            <w:tcW w:w="827" w:type="dxa"/>
          </w:tcPr>
          <w:p>
            <w:pPr>
              <w:pStyle w:val="Compact"/>
              <w:jc w:val="left"/>
              <w:spacing w:before="20" w:after="20" w:line="220" w:lineRule="auto"/>
            </w:pPr>
            <w:r>
              <w:rPr>
                <w:sz w:val="15"/>
                <w:szCs w:val="15"/>
              </w:rPr>
              <w:t xml:space="preserve">362</w:t>
            </w:r>
          </w:p>
        </w:tc>
        <w:tc>
          <w:tcPr>
            <w:tcW w:w="827" w:type="dxa"/>
          </w:tcPr>
          <w:p>
            <w:pPr>
              <w:pStyle w:val="Compact"/>
              <w:jc w:val="left"/>
              <w:spacing w:before="20" w:after="20" w:line="220" w:lineRule="auto"/>
            </w:pPr>
            <w:r>
              <w:rPr>
                <w:sz w:val="15"/>
                <w:szCs w:val="15"/>
              </w:rPr>
              <w:t xml:space="preserve">103</w:t>
            </w:r>
          </w:p>
        </w:tc>
        <w:tc>
          <w:tcPr>
            <w:tcW w:w="827" w:type="dxa"/>
          </w:tcPr>
          <w:p>
            <w:pPr>
              <w:pStyle w:val="Compact"/>
              <w:jc w:val="left"/>
              <w:spacing w:before="20" w:after="20" w:line="220" w:lineRule="auto"/>
            </w:pPr>
            <w:r>
              <w:rPr>
                <w:sz w:val="15"/>
                <w:szCs w:val="15"/>
              </w:rPr>
              <w:t xml:space="preserve">316</w:t>
            </w:r>
          </w:p>
        </w:tc>
        <w:tc>
          <w:tcPr>
            <w:tcW w:w="827" w:type="dxa"/>
          </w:tcPr>
          <w:p>
            <w:pPr>
              <w:pStyle w:val="Compact"/>
              <w:spacing w:before="20" w:after="20" w:line="220" w:lineRule="auto"/>
            </w:pPr>
          </w:p>
        </w:tc>
      </w:tr>
      <w:tr>
        <w:tc>
          <w:tcPr>
            <w:tcW w:w="5629" w:type="dxa"/>
          </w:tcPr>
          <w:p>
            <w:pPr>
              <w:pStyle w:val="Compact"/>
              <w:jc w:val="left"/>
              <w:spacing w:before="20" w:after="20" w:line="220" w:lineRule="auto"/>
            </w:pPr>
            <w:r>
              <w:rPr>
                <w:sz w:val="15"/>
                <w:szCs w:val="15"/>
              </w:rPr>
              <w:t xml:space="preserve">Group life PAA: insurance service expenses</w:t>
            </w:r>
          </w:p>
        </w:tc>
        <w:tc>
          <w:tcPr>
            <w:tcW w:w="5629" w:type="dxa"/>
          </w:tcPr>
          <w:p>
            <w:pPr>
              <w:pStyle w:val="Compact"/>
              <w:jc w:val="left"/>
              <w:spacing w:before="20" w:after="20" w:line="220" w:lineRule="auto"/>
            </w:pPr>
            <w:r>
              <w:rPr>
                <w:sz w:val="15"/>
                <w:szCs w:val="15"/>
              </w:rPr>
              <w:t xml:space="preserve">Fact</w:t>
            </w:r>
          </w:p>
        </w:tc>
        <w:tc>
          <w:tcPr>
            <w:tcW w:w="827" w:type="dxa"/>
          </w:tcPr>
          <w:p>
            <w:pPr>
              <w:pStyle w:val="Compact"/>
              <w:jc w:val="left"/>
              <w:spacing w:before="20" w:after="20" w:line="220" w:lineRule="auto"/>
            </w:pPr>
            <w:r>
              <w:rPr>
                <w:sz w:val="15"/>
                <w:szCs w:val="15"/>
              </w:rPr>
              <w:t xml:space="preserve">674</w:t>
            </w:r>
          </w:p>
        </w:tc>
        <w:tc>
          <w:tcPr>
            <w:tcW w:w="827" w:type="dxa"/>
          </w:tcPr>
          <w:p>
            <w:pPr>
              <w:pStyle w:val="Compact"/>
              <w:jc w:val="left"/>
              <w:spacing w:before="20" w:after="20" w:line="220" w:lineRule="auto"/>
            </w:pPr>
            <w:r>
              <w:rPr>
                <w:sz w:val="15"/>
                <w:szCs w:val="15"/>
              </w:rPr>
              <w:t xml:space="preserve">804</w:t>
            </w:r>
          </w:p>
        </w:tc>
        <w:tc>
          <w:tcPr>
            <w:tcW w:w="827" w:type="dxa"/>
          </w:tcPr>
          <w:p>
            <w:pPr>
              <w:pStyle w:val="Compact"/>
              <w:jc w:val="left"/>
              <w:spacing w:before="20" w:after="20" w:line="220" w:lineRule="auto"/>
            </w:pPr>
            <w:r>
              <w:rPr>
                <w:sz w:val="15"/>
                <w:szCs w:val="15"/>
              </w:rPr>
              <w:t xml:space="preserve">695</w:t>
            </w:r>
          </w:p>
        </w:tc>
        <w:tc>
          <w:tcPr>
            <w:tcW w:w="827" w:type="dxa"/>
          </w:tcPr>
          <w:p>
            <w:pPr>
              <w:pStyle w:val="Compact"/>
              <w:spacing w:before="20" w:after="20" w:line="220" w:lineRule="auto"/>
            </w:pPr>
          </w:p>
        </w:tc>
      </w:tr>
      <w:tr>
        <w:tc>
          <w:tcPr>
            <w:tcW w:w="5629" w:type="dxa"/>
          </w:tcPr>
          <w:p>
            <w:pPr>
              <w:pStyle w:val="Compact"/>
              <w:jc w:val="left"/>
              <w:spacing w:before="20" w:after="20" w:line="220" w:lineRule="auto"/>
            </w:pPr>
            <w:r>
              <w:rPr>
                <w:sz w:val="15"/>
                <w:szCs w:val="15"/>
              </w:rPr>
              <w:t xml:space="preserve">Group life PAA: incurred claims and other attributable expenses</w:t>
            </w:r>
          </w:p>
        </w:tc>
        <w:tc>
          <w:tcPr>
            <w:tcW w:w="5629" w:type="dxa"/>
          </w:tcPr>
          <w:p>
            <w:pPr>
              <w:pStyle w:val="Compact"/>
              <w:jc w:val="left"/>
              <w:spacing w:before="20" w:after="20" w:line="220" w:lineRule="auto"/>
            </w:pPr>
            <w:r>
              <w:rPr>
                <w:sz w:val="15"/>
                <w:szCs w:val="15"/>
              </w:rPr>
              <w:t xml:space="preserve">Fact</w:t>
            </w:r>
          </w:p>
        </w:tc>
        <w:tc>
          <w:tcPr>
            <w:tcW w:w="827" w:type="dxa"/>
          </w:tcPr>
          <w:p>
            <w:pPr>
              <w:pStyle w:val="Compact"/>
              <w:jc w:val="left"/>
              <w:spacing w:before="20" w:after="20" w:line="220" w:lineRule="auto"/>
            </w:pPr>
            <w:r>
              <w:rPr>
                <w:sz w:val="15"/>
                <w:szCs w:val="15"/>
              </w:rPr>
              <w:t xml:space="preserve">582</w:t>
            </w:r>
          </w:p>
        </w:tc>
        <w:tc>
          <w:tcPr>
            <w:tcW w:w="827" w:type="dxa"/>
          </w:tcPr>
          <w:p>
            <w:pPr>
              <w:pStyle w:val="Compact"/>
              <w:jc w:val="left"/>
              <w:spacing w:before="20" w:after="20" w:line="220" w:lineRule="auto"/>
            </w:pPr>
            <w:r>
              <w:rPr>
                <w:sz w:val="15"/>
                <w:szCs w:val="15"/>
              </w:rPr>
              <w:t xml:space="preserve">772</w:t>
            </w:r>
          </w:p>
        </w:tc>
        <w:tc>
          <w:tcPr>
            <w:tcW w:w="827" w:type="dxa"/>
          </w:tcPr>
          <w:p>
            <w:pPr>
              <w:pStyle w:val="Compact"/>
              <w:jc w:val="left"/>
              <w:spacing w:before="20" w:after="20" w:line="220" w:lineRule="auto"/>
            </w:pPr>
            <w:r>
              <w:rPr>
                <w:sz w:val="15"/>
                <w:szCs w:val="15"/>
              </w:rPr>
              <w:t xml:space="preserve">679</w:t>
            </w:r>
          </w:p>
        </w:tc>
        <w:tc>
          <w:tcPr>
            <w:tcW w:w="827" w:type="dxa"/>
          </w:tcPr>
          <w:p>
            <w:pPr>
              <w:pStyle w:val="Compact"/>
              <w:spacing w:before="20" w:after="20" w:line="220" w:lineRule="auto"/>
            </w:pPr>
          </w:p>
        </w:tc>
      </w:tr>
      <w:tr>
        <w:tc>
          <w:tcPr>
            <w:tcW w:w="5629" w:type="dxa"/>
          </w:tcPr>
          <w:p>
            <w:pPr>
              <w:pStyle w:val="Compact"/>
              <w:jc w:val="left"/>
              <w:spacing w:before="20" w:after="20" w:line="220" w:lineRule="auto"/>
            </w:pPr>
            <w:r>
              <w:rPr>
                <w:sz w:val="15"/>
                <w:szCs w:val="15"/>
              </w:rPr>
              <w:t xml:space="preserve">Group non-life: insurance service expenses</w:t>
            </w:r>
          </w:p>
        </w:tc>
        <w:tc>
          <w:tcPr>
            <w:tcW w:w="5629" w:type="dxa"/>
          </w:tcPr>
          <w:p>
            <w:pPr>
              <w:pStyle w:val="Compact"/>
              <w:jc w:val="left"/>
              <w:spacing w:before="20" w:after="20" w:line="220" w:lineRule="auto"/>
            </w:pPr>
            <w:r>
              <w:rPr>
                <w:sz w:val="15"/>
                <w:szCs w:val="15"/>
              </w:rPr>
              <w:t xml:space="preserve">Fact</w:t>
            </w:r>
          </w:p>
        </w:tc>
        <w:tc>
          <w:tcPr>
            <w:tcW w:w="827" w:type="dxa"/>
          </w:tcPr>
          <w:p>
            <w:pPr>
              <w:pStyle w:val="Compact"/>
              <w:jc w:val="left"/>
              <w:spacing w:before="20" w:after="20" w:line="220" w:lineRule="auto"/>
            </w:pPr>
            <w:r>
              <w:rPr>
                <w:sz w:val="15"/>
                <w:szCs w:val="15"/>
              </w:rPr>
              <w:t xml:space="preserve">4,396</w:t>
            </w:r>
          </w:p>
        </w:tc>
        <w:tc>
          <w:tcPr>
            <w:tcW w:w="827" w:type="dxa"/>
          </w:tcPr>
          <w:p>
            <w:pPr>
              <w:pStyle w:val="Compact"/>
              <w:jc w:val="left"/>
              <w:spacing w:before="20" w:after="20" w:line="220" w:lineRule="auto"/>
            </w:pPr>
            <w:r>
              <w:rPr>
                <w:sz w:val="15"/>
                <w:szCs w:val="15"/>
              </w:rPr>
              <w:t xml:space="preserve">4,452</w:t>
            </w:r>
          </w:p>
        </w:tc>
        <w:tc>
          <w:tcPr>
            <w:tcW w:w="827" w:type="dxa"/>
          </w:tcPr>
          <w:p>
            <w:pPr>
              <w:pStyle w:val="Compact"/>
              <w:jc w:val="left"/>
              <w:spacing w:before="20" w:after="20" w:line="220" w:lineRule="auto"/>
            </w:pPr>
            <w:r>
              <w:rPr>
                <w:sz w:val="15"/>
                <w:szCs w:val="15"/>
              </w:rPr>
              <w:t xml:space="preserve">4,238</w:t>
            </w:r>
          </w:p>
        </w:tc>
        <w:tc>
          <w:tcPr>
            <w:tcW w:w="827" w:type="dxa"/>
          </w:tcPr>
          <w:p>
            <w:pPr>
              <w:pStyle w:val="Compact"/>
              <w:spacing w:before="20" w:after="20" w:line="220" w:lineRule="auto"/>
            </w:pPr>
          </w:p>
        </w:tc>
      </w:tr>
      <w:tr>
        <w:tc>
          <w:tcPr>
            <w:tcW w:w="5629" w:type="dxa"/>
          </w:tcPr>
          <w:p>
            <w:pPr>
              <w:pStyle w:val="Compact"/>
              <w:jc w:val="left"/>
              <w:spacing w:before="20" w:after="20" w:line="220" w:lineRule="auto"/>
            </w:pPr>
            <w:r>
              <w:rPr>
                <w:sz w:val="15"/>
                <w:szCs w:val="15"/>
              </w:rPr>
              <w:t xml:space="preserve">Group non-life: incurred claims and other attributable expenses</w:t>
            </w:r>
          </w:p>
        </w:tc>
        <w:tc>
          <w:tcPr>
            <w:tcW w:w="5629" w:type="dxa"/>
          </w:tcPr>
          <w:p>
            <w:pPr>
              <w:pStyle w:val="Compact"/>
              <w:jc w:val="left"/>
              <w:spacing w:before="20" w:after="20" w:line="220" w:lineRule="auto"/>
            </w:pPr>
            <w:r>
              <w:rPr>
                <w:sz w:val="15"/>
                <w:szCs w:val="15"/>
              </w:rPr>
              <w:t xml:space="preserve">Fact</w:t>
            </w:r>
          </w:p>
        </w:tc>
        <w:tc>
          <w:tcPr>
            <w:tcW w:w="827" w:type="dxa"/>
          </w:tcPr>
          <w:p>
            <w:pPr>
              <w:pStyle w:val="Compact"/>
              <w:jc w:val="left"/>
              <w:spacing w:before="20" w:after="20" w:line="220" w:lineRule="auto"/>
            </w:pPr>
            <w:r>
              <w:rPr>
                <w:sz w:val="15"/>
                <w:szCs w:val="15"/>
              </w:rPr>
              <w:t xml:space="preserve">3,853</w:t>
            </w:r>
          </w:p>
        </w:tc>
        <w:tc>
          <w:tcPr>
            <w:tcW w:w="827" w:type="dxa"/>
          </w:tcPr>
          <w:p>
            <w:pPr>
              <w:pStyle w:val="Compact"/>
              <w:jc w:val="left"/>
              <w:spacing w:before="20" w:after="20" w:line="220" w:lineRule="auto"/>
            </w:pPr>
            <w:r>
              <w:rPr>
                <w:sz w:val="15"/>
                <w:szCs w:val="15"/>
              </w:rPr>
              <w:t xml:space="preserve">3,695</w:t>
            </w:r>
          </w:p>
        </w:tc>
        <w:tc>
          <w:tcPr>
            <w:tcW w:w="827" w:type="dxa"/>
          </w:tcPr>
          <w:p>
            <w:pPr>
              <w:pStyle w:val="Compact"/>
              <w:jc w:val="left"/>
              <w:spacing w:before="20" w:after="20" w:line="220" w:lineRule="auto"/>
            </w:pPr>
            <w:r>
              <w:rPr>
                <w:sz w:val="15"/>
                <w:szCs w:val="15"/>
              </w:rPr>
              <w:t xml:space="preserve">3,415</w:t>
            </w:r>
          </w:p>
        </w:tc>
        <w:tc>
          <w:tcPr>
            <w:tcW w:w="827" w:type="dxa"/>
          </w:tcPr>
          <w:p>
            <w:pPr>
              <w:pStyle w:val="Compact"/>
              <w:spacing w:before="20" w:after="20" w:line="220" w:lineRule="auto"/>
            </w:pPr>
          </w:p>
        </w:tc>
      </w:tr>
      <w:tr>
        <w:tc>
          <w:tcPr>
            <w:tcW w:w="5629" w:type="dxa"/>
          </w:tcPr>
          <w:p>
            <w:pPr>
              <w:pStyle w:val="Compact"/>
              <w:jc w:val="left"/>
              <w:spacing w:before="20" w:after="20" w:line="220" w:lineRule="auto"/>
            </w:pPr>
            <w:r>
              <w:rPr>
                <w:sz w:val="15"/>
                <w:szCs w:val="15"/>
              </w:rPr>
              <w:t xml:space="preserve">Group non-life: amortisation of acquisition cash flows</w:t>
            </w:r>
          </w:p>
        </w:tc>
        <w:tc>
          <w:tcPr>
            <w:tcW w:w="5629" w:type="dxa"/>
          </w:tcPr>
          <w:p>
            <w:pPr>
              <w:pStyle w:val="Compact"/>
              <w:jc w:val="left"/>
              <w:spacing w:before="20" w:after="20" w:line="220" w:lineRule="auto"/>
            </w:pPr>
            <w:r>
              <w:rPr>
                <w:sz w:val="15"/>
                <w:szCs w:val="15"/>
              </w:rPr>
              <w:t xml:space="preserve">Fact</w:t>
            </w:r>
          </w:p>
        </w:tc>
        <w:tc>
          <w:tcPr>
            <w:tcW w:w="827" w:type="dxa"/>
          </w:tcPr>
          <w:p>
            <w:pPr>
              <w:pStyle w:val="Compact"/>
              <w:jc w:val="left"/>
              <w:spacing w:before="20" w:after="20" w:line="220" w:lineRule="auto"/>
            </w:pPr>
            <w:r>
              <w:rPr>
                <w:sz w:val="15"/>
                <w:szCs w:val="15"/>
              </w:rPr>
              <w:t xml:space="preserve">566</w:t>
            </w:r>
          </w:p>
        </w:tc>
        <w:tc>
          <w:tcPr>
            <w:tcW w:w="827" w:type="dxa"/>
          </w:tcPr>
          <w:p>
            <w:pPr>
              <w:pStyle w:val="Compact"/>
              <w:jc w:val="left"/>
              <w:spacing w:before="20" w:after="20" w:line="220" w:lineRule="auto"/>
            </w:pPr>
            <w:r>
              <w:rPr>
                <w:sz w:val="15"/>
                <w:szCs w:val="15"/>
              </w:rPr>
              <w:t xml:space="preserve">771</w:t>
            </w:r>
          </w:p>
        </w:tc>
        <w:tc>
          <w:tcPr>
            <w:tcW w:w="827" w:type="dxa"/>
          </w:tcPr>
          <w:p>
            <w:pPr>
              <w:pStyle w:val="Compact"/>
              <w:jc w:val="left"/>
              <w:spacing w:before="20" w:after="20" w:line="220" w:lineRule="auto"/>
            </w:pPr>
            <w:r>
              <w:rPr>
                <w:sz w:val="15"/>
                <w:szCs w:val="15"/>
              </w:rPr>
              <w:t xml:space="preserve">710</w:t>
            </w:r>
          </w:p>
        </w:tc>
        <w:tc>
          <w:tcPr>
            <w:tcW w:w="827" w:type="dxa"/>
          </w:tcPr>
          <w:p>
            <w:pPr>
              <w:pStyle w:val="Compact"/>
              <w:spacing w:before="20" w:after="20" w:line="220" w:lineRule="auto"/>
            </w:pPr>
          </w:p>
        </w:tc>
      </w:tr>
      <w:tr>
        <w:tc>
          <w:tcPr>
            <w:tcW w:w="5629" w:type="dxa"/>
          </w:tcPr>
          <w:p>
            <w:pPr>
              <w:pStyle w:val="Compact"/>
              <w:jc w:val="left"/>
              <w:spacing w:before="20" w:after="20" w:line="220" w:lineRule="auto"/>
            </w:pPr>
            <w:r>
              <w:rPr>
                <w:sz w:val="15"/>
                <w:szCs w:val="15"/>
              </w:rPr>
              <w:t xml:space="preserve">Group non-life: losses on onerous contracts</w:t>
            </w:r>
          </w:p>
        </w:tc>
        <w:tc>
          <w:tcPr>
            <w:tcW w:w="5629" w:type="dxa"/>
          </w:tcPr>
          <w:p>
            <w:pPr>
              <w:pStyle w:val="Compact"/>
              <w:jc w:val="left"/>
              <w:spacing w:before="20" w:after="20" w:line="220" w:lineRule="auto"/>
            </w:pPr>
            <w:r>
              <w:rPr>
                <w:sz w:val="15"/>
                <w:szCs w:val="15"/>
              </w:rPr>
              <w:t xml:space="preserve">Fact</w:t>
            </w:r>
          </w:p>
        </w:tc>
        <w:tc>
          <w:tcPr>
            <w:tcW w:w="827" w:type="dxa"/>
          </w:tcPr>
          <w:p>
            <w:pPr>
              <w:pStyle w:val="Compact"/>
              <w:jc w:val="left"/>
              <w:spacing w:before="20" w:after="20" w:line="220" w:lineRule="auto"/>
            </w:pPr>
            <w:r>
              <w:rPr>
                <w:sz w:val="15"/>
                <w:szCs w:val="15"/>
              </w:rPr>
              <w:t xml:space="preserve">2</w:t>
            </w:r>
          </w:p>
        </w:tc>
        <w:tc>
          <w:tcPr>
            <w:tcW w:w="827" w:type="dxa"/>
          </w:tcPr>
          <w:p>
            <w:pPr>
              <w:pStyle w:val="Compact"/>
              <w:jc w:val="left"/>
              <w:spacing w:before="20" w:after="20" w:line="220" w:lineRule="auto"/>
            </w:pPr>
            <w:r>
              <w:rPr>
                <w:sz w:val="15"/>
                <w:szCs w:val="15"/>
              </w:rPr>
              <w:t xml:space="preserve">1</w:t>
            </w:r>
          </w:p>
        </w:tc>
        <w:tc>
          <w:tcPr>
            <w:tcW w:w="827" w:type="dxa"/>
          </w:tcPr>
          <w:p>
            <w:pPr>
              <w:pStyle w:val="Compact"/>
              <w:jc w:val="left"/>
              <w:spacing w:before="20" w:after="20" w:line="220" w:lineRule="auto"/>
            </w:pPr>
            <w:r>
              <w:rPr>
                <w:sz w:val="15"/>
                <w:szCs w:val="15"/>
              </w:rPr>
              <w:t xml:space="preserve">102</w:t>
            </w:r>
          </w:p>
        </w:tc>
        <w:tc>
          <w:tcPr>
            <w:tcW w:w="827" w:type="dxa"/>
          </w:tcPr>
          <w:p>
            <w:pPr>
              <w:pStyle w:val="Compact"/>
              <w:spacing w:before="20" w:after="20" w:line="220" w:lineRule="auto"/>
            </w:pPr>
          </w:p>
        </w:tc>
      </w:tr>
      <w:tr>
        <w:tc>
          <w:tcPr>
            <w:tcW w:w="5629" w:type="dxa"/>
          </w:tcPr>
          <w:p>
            <w:pPr>
              <w:pStyle w:val="Compact"/>
              <w:jc w:val="left"/>
              <w:spacing w:before="20" w:after="20" w:line="220" w:lineRule="auto"/>
            </w:pPr>
            <w:r>
              <w:rPr>
                <w:sz w:val="15"/>
                <w:szCs w:val="15"/>
              </w:rPr>
              <w:t xml:space="preserve">Group life: acquisition cash flows paid (cash)</w:t>
            </w:r>
          </w:p>
        </w:tc>
        <w:tc>
          <w:tcPr>
            <w:tcW w:w="5629" w:type="dxa"/>
          </w:tcPr>
          <w:p>
            <w:pPr>
              <w:pStyle w:val="Compact"/>
              <w:jc w:val="left"/>
              <w:spacing w:before="20" w:after="20" w:line="220" w:lineRule="auto"/>
            </w:pPr>
            <w:r>
              <w:rPr>
                <w:sz w:val="15"/>
                <w:szCs w:val="15"/>
              </w:rPr>
              <w:t xml:space="preserve">Fact</w:t>
            </w:r>
          </w:p>
        </w:tc>
        <w:tc>
          <w:tcPr>
            <w:tcW w:w="827" w:type="dxa"/>
          </w:tcPr>
          <w:p>
            <w:pPr>
              <w:pStyle w:val="Compact"/>
              <w:jc w:val="left"/>
              <w:spacing w:before="20" w:after="20" w:line="220" w:lineRule="auto"/>
            </w:pPr>
            <w:r>
              <w:rPr>
                <w:sz w:val="15"/>
                <w:szCs w:val="15"/>
              </w:rPr>
              <w:t xml:space="preserve">656</w:t>
            </w:r>
          </w:p>
        </w:tc>
        <w:tc>
          <w:tcPr>
            <w:tcW w:w="827" w:type="dxa"/>
          </w:tcPr>
          <w:p>
            <w:pPr>
              <w:pStyle w:val="Compact"/>
              <w:jc w:val="left"/>
              <w:spacing w:before="20" w:after="20" w:line="220" w:lineRule="auto"/>
            </w:pPr>
            <w:r>
              <w:rPr>
                <w:sz w:val="15"/>
                <w:szCs w:val="15"/>
              </w:rPr>
              <w:t xml:space="preserve">859</w:t>
            </w:r>
          </w:p>
        </w:tc>
        <w:tc>
          <w:tcPr>
            <w:tcW w:w="827" w:type="dxa"/>
          </w:tcPr>
          <w:p>
            <w:pPr>
              <w:pStyle w:val="Compact"/>
              <w:jc w:val="left"/>
              <w:spacing w:before="20" w:after="20" w:line="220" w:lineRule="auto"/>
            </w:pPr>
            <w:r>
              <w:rPr>
                <w:sz w:val="15"/>
                <w:szCs w:val="15"/>
              </w:rPr>
              <w:t xml:space="preserve">856</w:t>
            </w:r>
          </w:p>
        </w:tc>
        <w:tc>
          <w:tcPr>
            <w:tcW w:w="827" w:type="dxa"/>
          </w:tcPr>
          <w:p>
            <w:pPr>
              <w:pStyle w:val="Compact"/>
              <w:spacing w:before="20" w:after="20" w:line="220" w:lineRule="auto"/>
            </w:pPr>
          </w:p>
        </w:tc>
      </w:tr>
      <w:tr>
        <w:tc>
          <w:tcPr>
            <w:tcW w:w="5629" w:type="dxa"/>
          </w:tcPr>
          <w:p>
            <w:pPr>
              <w:pStyle w:val="Compact"/>
              <w:jc w:val="left"/>
              <w:spacing w:before="20" w:after="20" w:line="220" w:lineRule="auto"/>
            </w:pPr>
            <w:r>
              <w:rPr>
                <w:sz w:val="15"/>
                <w:szCs w:val="15"/>
              </w:rPr>
              <w:t xml:space="preserve">Group non-life: acquisition cash flows paid (cash)</w:t>
            </w:r>
          </w:p>
        </w:tc>
        <w:tc>
          <w:tcPr>
            <w:tcW w:w="5629" w:type="dxa"/>
          </w:tcPr>
          <w:p>
            <w:pPr>
              <w:pStyle w:val="Compact"/>
              <w:jc w:val="left"/>
              <w:spacing w:before="20" w:after="20" w:line="220" w:lineRule="auto"/>
            </w:pPr>
            <w:r>
              <w:rPr>
                <w:sz w:val="15"/>
                <w:szCs w:val="15"/>
              </w:rPr>
              <w:t xml:space="preserve">Fact</w:t>
            </w:r>
          </w:p>
        </w:tc>
        <w:tc>
          <w:tcPr>
            <w:tcW w:w="827" w:type="dxa"/>
          </w:tcPr>
          <w:p>
            <w:pPr>
              <w:pStyle w:val="Compact"/>
              <w:jc w:val="left"/>
              <w:spacing w:before="20" w:after="20" w:line="220" w:lineRule="auto"/>
            </w:pPr>
            <w:r>
              <w:rPr>
                <w:sz w:val="15"/>
                <w:szCs w:val="15"/>
              </w:rPr>
              <w:t xml:space="preserve">565</w:t>
            </w:r>
          </w:p>
        </w:tc>
        <w:tc>
          <w:tcPr>
            <w:tcW w:w="827" w:type="dxa"/>
          </w:tcPr>
          <w:p>
            <w:pPr>
              <w:pStyle w:val="Compact"/>
              <w:jc w:val="left"/>
              <w:spacing w:before="20" w:after="20" w:line="220" w:lineRule="auto"/>
            </w:pPr>
            <w:r>
              <w:rPr>
                <w:sz w:val="15"/>
                <w:szCs w:val="15"/>
              </w:rPr>
              <w:t xml:space="preserve">773</w:t>
            </w:r>
          </w:p>
        </w:tc>
        <w:tc>
          <w:tcPr>
            <w:tcW w:w="827" w:type="dxa"/>
          </w:tcPr>
          <w:p>
            <w:pPr>
              <w:pStyle w:val="Compact"/>
              <w:jc w:val="left"/>
              <w:spacing w:before="20" w:after="20" w:line="220" w:lineRule="auto"/>
            </w:pPr>
            <w:r>
              <w:rPr>
                <w:sz w:val="15"/>
                <w:szCs w:val="15"/>
              </w:rPr>
              <w:t xml:space="preserve">838</w:t>
            </w:r>
          </w:p>
        </w:tc>
        <w:tc>
          <w:tcPr>
            <w:tcW w:w="827" w:type="dxa"/>
          </w:tcPr>
          <w:p>
            <w:pPr>
              <w:pStyle w:val="Compact"/>
              <w:spacing w:before="20" w:after="20" w:line="220" w:lineRule="auto"/>
            </w:pPr>
          </w:p>
        </w:tc>
      </w:tr>
      <w:tr>
        <w:tc>
          <w:tcPr>
            <w:tcW w:w="5629" w:type="dxa"/>
          </w:tcPr>
          <w:p>
            <w:pPr>
              <w:pStyle w:val="Compact"/>
              <w:jc w:val="left"/>
              <w:spacing w:before="20" w:after="20" w:line="220" w:lineRule="auto"/>
            </w:pPr>
            <w:r>
              <w:rPr>
                <w:sz w:val="15"/>
                <w:szCs w:val="15"/>
              </w:rPr>
              <w:t xml:space="preserve">Share of group life ISE sitting in Life Insurance SA</w:t>
            </w:r>
          </w:p>
        </w:tc>
        <w:tc>
          <w:tcPr>
            <w:tcW w:w="5629" w:type="dxa"/>
          </w:tcPr>
          <w:p>
            <w:pPr>
              <w:pStyle w:val="Compact"/>
              <w:jc w:val="left"/>
              <w:spacing w:before="20" w:after="20" w:line="220" w:lineRule="auto"/>
            </w:pPr>
            <w:r>
              <w:rPr>
                <w:sz w:val="15"/>
                <w:szCs w:val="15"/>
              </w:rPr>
              <w:t xml:space="preserve">Derived; Assumption† that component mix is the same in SA an</w:t>
            </w:r>
          </w:p>
        </w:tc>
        <w:tc>
          <w:tcPr>
            <w:tcW w:w="827" w:type="dxa"/>
          </w:tcPr>
          <w:p>
            <w:pPr>
              <w:pStyle w:val="Compact"/>
              <w:jc w:val="left"/>
              <w:spacing w:before="20" w:after="20" w:line="220" w:lineRule="auto"/>
            </w:pPr>
            <w:r>
              <w:rPr>
                <w:sz w:val="15"/>
                <w:szCs w:val="15"/>
              </w:rPr>
              <w:t xml:space="preserve">79.1%</w:t>
            </w:r>
          </w:p>
        </w:tc>
        <w:tc>
          <w:tcPr>
            <w:tcW w:w="827" w:type="dxa"/>
          </w:tcPr>
          <w:p>
            <w:pPr>
              <w:pStyle w:val="Compact"/>
              <w:jc w:val="left"/>
              <w:spacing w:before="20" w:after="20" w:line="220" w:lineRule="auto"/>
            </w:pPr>
            <w:r>
              <w:rPr>
                <w:sz w:val="15"/>
                <w:szCs w:val="15"/>
              </w:rPr>
              <w:t xml:space="preserve">80.7%</w:t>
            </w:r>
          </w:p>
        </w:tc>
        <w:tc>
          <w:tcPr>
            <w:tcW w:w="827" w:type="dxa"/>
          </w:tcPr>
          <w:p>
            <w:pPr>
              <w:pStyle w:val="Compact"/>
              <w:jc w:val="left"/>
              <w:spacing w:before="20" w:after="20" w:line="220" w:lineRule="auto"/>
            </w:pPr>
            <w:r>
              <w:rPr>
                <w:sz w:val="15"/>
                <w:szCs w:val="15"/>
              </w:rPr>
              <w:t xml:space="preserve">88.5%</w:t>
            </w:r>
          </w:p>
        </w:tc>
        <w:tc>
          <w:tcPr>
            <w:tcW w:w="827" w:type="dxa"/>
          </w:tcPr>
          <w:p>
            <w:pPr>
              <w:pStyle w:val="Compact"/>
              <w:spacing w:before="20" w:after="20" w:line="220" w:lineRule="auto"/>
            </w:pPr>
          </w:p>
        </w:tc>
      </w:tr>
      <w:tr>
        <w:tc>
          <w:tcPr>
            <w:tcW w:w="5629" w:type="dxa"/>
          </w:tcPr>
          <w:p>
            <w:pPr>
              <w:pStyle w:val="Compact"/>
              <w:jc w:val="left"/>
              <w:spacing w:before="20" w:after="20" w:line="220" w:lineRule="auto"/>
            </w:pPr>
            <w:r>
              <w:rPr>
                <w:sz w:val="15"/>
                <w:szCs w:val="15"/>
              </w:rPr>
              <w:t xml:space="preserve">Share of group non-life ISE sitting in Non-Life Insurance SA</w:t>
            </w:r>
          </w:p>
        </w:tc>
        <w:tc>
          <w:tcPr>
            <w:tcW w:w="5629" w:type="dxa"/>
          </w:tcPr>
          <w:p>
            <w:pPr>
              <w:pStyle w:val="Compact"/>
              <w:jc w:val="left"/>
              <w:spacing w:before="20" w:after="20" w:line="220" w:lineRule="auto"/>
            </w:pPr>
            <w:r>
              <w:rPr>
                <w:sz w:val="15"/>
                <w:szCs w:val="15"/>
              </w:rPr>
              <w:t xml:space="preserve">Derived; Assumption† as above (Kenya non-life is medical-hea</w:t>
            </w:r>
          </w:p>
        </w:tc>
        <w:tc>
          <w:tcPr>
            <w:tcW w:w="827" w:type="dxa"/>
          </w:tcPr>
          <w:p>
            <w:pPr>
              <w:pStyle w:val="Compact"/>
              <w:jc w:val="left"/>
              <w:spacing w:before="20" w:after="20" w:line="220" w:lineRule="auto"/>
            </w:pPr>
            <w:r>
              <w:rPr>
                <w:sz w:val="15"/>
                <w:szCs w:val="15"/>
              </w:rPr>
              <w:t xml:space="preserve">72.5%</w:t>
            </w:r>
          </w:p>
        </w:tc>
        <w:tc>
          <w:tcPr>
            <w:tcW w:w="827" w:type="dxa"/>
          </w:tcPr>
          <w:p>
            <w:pPr>
              <w:pStyle w:val="Compact"/>
              <w:jc w:val="left"/>
              <w:spacing w:before="20" w:after="20" w:line="220" w:lineRule="auto"/>
            </w:pPr>
            <w:r>
              <w:rPr>
                <w:sz w:val="15"/>
                <w:szCs w:val="15"/>
              </w:rPr>
              <w:t xml:space="preserve">73.5%</w:t>
            </w:r>
          </w:p>
        </w:tc>
        <w:tc>
          <w:tcPr>
            <w:tcW w:w="827" w:type="dxa"/>
          </w:tcPr>
          <w:p>
            <w:pPr>
              <w:pStyle w:val="Compact"/>
              <w:jc w:val="left"/>
              <w:spacing w:before="20" w:after="20" w:line="220" w:lineRule="auto"/>
            </w:pPr>
            <w:r>
              <w:rPr>
                <w:sz w:val="15"/>
                <w:szCs w:val="15"/>
              </w:rPr>
              <w:t xml:space="preserve">75.1%</w:t>
            </w:r>
          </w:p>
        </w:tc>
        <w:tc>
          <w:tcPr>
            <w:tcW w:w="827" w:type="dxa"/>
          </w:tcPr>
          <w:p>
            <w:pPr>
              <w:pStyle w:val="Compact"/>
              <w:spacing w:before="20" w:after="20" w:line="220" w:lineRule="auto"/>
            </w:pPr>
          </w:p>
        </w:tc>
      </w:tr>
      <w:tr>
        <w:tc>
          <w:tcPr>
            <w:tcW w:w="5629" w:type="dxa"/>
          </w:tcPr>
          <w:p>
            <w:pPr>
              <w:pStyle w:val="Compact"/>
              <w:jc w:val="left"/>
              <w:spacing w:before="20" w:after="20" w:line="220" w:lineRule="auto"/>
            </w:pPr>
            <w:r>
              <w:rPr>
                <w:sz w:val="15"/>
                <w:szCs w:val="15"/>
              </w:rPr>
              <w:t xml:space="preserve">SA life: amortisation of acquisition cash flows (allocated)</w:t>
            </w:r>
          </w:p>
        </w:tc>
        <w:tc>
          <w:tcPr>
            <w:tcW w:w="5629" w:type="dxa"/>
          </w:tcPr>
          <w:p>
            <w:pPr>
              <w:pStyle w:val="Compact"/>
              <w:jc w:val="left"/>
              <w:spacing w:before="20" w:after="20" w:line="220" w:lineRule="auto"/>
            </w:pPr>
            <w:r>
              <w:rPr>
                <w:sz w:val="15"/>
                <w:szCs w:val="15"/>
              </w:rPr>
              <w:t xml:space="preserve">Derived</w:t>
            </w:r>
          </w:p>
        </w:tc>
        <w:tc>
          <w:tcPr>
            <w:tcW w:w="827" w:type="dxa"/>
          </w:tcPr>
          <w:p>
            <w:pPr>
              <w:pStyle w:val="Compact"/>
              <w:jc w:val="left"/>
              <w:spacing w:before="20" w:after="20" w:line="220" w:lineRule="auto"/>
            </w:pPr>
            <w:r>
              <w:rPr>
                <w:sz w:val="15"/>
                <w:szCs w:val="15"/>
              </w:rPr>
              <w:t xml:space="preserve">245</w:t>
            </w:r>
          </w:p>
        </w:tc>
        <w:tc>
          <w:tcPr>
            <w:tcW w:w="827" w:type="dxa"/>
          </w:tcPr>
          <w:p>
            <w:pPr>
              <w:pStyle w:val="Compact"/>
              <w:jc w:val="left"/>
              <w:spacing w:before="20" w:after="20" w:line="220" w:lineRule="auto"/>
            </w:pPr>
            <w:r>
              <w:rPr>
                <w:sz w:val="15"/>
                <w:szCs w:val="15"/>
              </w:rPr>
              <w:t xml:space="preserve">493</w:t>
            </w:r>
          </w:p>
        </w:tc>
        <w:tc>
          <w:tcPr>
            <w:tcW w:w="827" w:type="dxa"/>
          </w:tcPr>
          <w:p>
            <w:pPr>
              <w:pStyle w:val="Compact"/>
              <w:jc w:val="left"/>
              <w:spacing w:before="20" w:after="20" w:line="220" w:lineRule="auto"/>
            </w:pPr>
            <w:r>
              <w:rPr>
                <w:sz w:val="15"/>
                <w:szCs w:val="15"/>
              </w:rPr>
              <w:t xml:space="preserve">449</w:t>
            </w:r>
          </w:p>
        </w:tc>
        <w:tc>
          <w:tcPr>
            <w:tcW w:w="827" w:type="dxa"/>
          </w:tcPr>
          <w:p>
            <w:pPr>
              <w:pStyle w:val="Compact"/>
              <w:spacing w:before="20" w:after="20" w:line="220" w:lineRule="auto"/>
            </w:pPr>
          </w:p>
        </w:tc>
      </w:tr>
      <w:tr>
        <w:tc>
          <w:tcPr>
            <w:tcW w:w="5629" w:type="dxa"/>
          </w:tcPr>
          <w:p>
            <w:pPr>
              <w:pStyle w:val="Compact"/>
              <w:jc w:val="left"/>
              <w:spacing w:before="20" w:after="20" w:line="220" w:lineRule="auto"/>
            </w:pPr>
            <w:r>
              <w:rPr>
                <w:sz w:val="15"/>
                <w:szCs w:val="15"/>
              </w:rPr>
              <w:t xml:space="preserve">SA non-life: amortisation of acquisition cash flows (allocated)</w:t>
            </w:r>
          </w:p>
        </w:tc>
        <w:tc>
          <w:tcPr>
            <w:tcW w:w="5629" w:type="dxa"/>
          </w:tcPr>
          <w:p>
            <w:pPr>
              <w:pStyle w:val="Compact"/>
              <w:jc w:val="left"/>
              <w:spacing w:before="20" w:after="20" w:line="220" w:lineRule="auto"/>
            </w:pPr>
            <w:r>
              <w:rPr>
                <w:sz w:val="15"/>
                <w:szCs w:val="15"/>
              </w:rPr>
              <w:t xml:space="preserve">Derived</w:t>
            </w:r>
          </w:p>
        </w:tc>
        <w:tc>
          <w:tcPr>
            <w:tcW w:w="827" w:type="dxa"/>
          </w:tcPr>
          <w:p>
            <w:pPr>
              <w:pStyle w:val="Compact"/>
              <w:jc w:val="left"/>
              <w:spacing w:before="20" w:after="20" w:line="220" w:lineRule="auto"/>
            </w:pPr>
            <w:r>
              <w:rPr>
                <w:sz w:val="15"/>
                <w:szCs w:val="15"/>
              </w:rPr>
              <w:t xml:space="preserve">410</w:t>
            </w:r>
          </w:p>
        </w:tc>
        <w:tc>
          <w:tcPr>
            <w:tcW w:w="827" w:type="dxa"/>
          </w:tcPr>
          <w:p>
            <w:pPr>
              <w:pStyle w:val="Compact"/>
              <w:jc w:val="left"/>
              <w:spacing w:before="20" w:after="20" w:line="220" w:lineRule="auto"/>
            </w:pPr>
            <w:r>
              <w:rPr>
                <w:sz w:val="15"/>
                <w:szCs w:val="15"/>
              </w:rPr>
              <w:t xml:space="preserve">567</w:t>
            </w:r>
          </w:p>
        </w:tc>
        <w:tc>
          <w:tcPr>
            <w:tcW w:w="827" w:type="dxa"/>
          </w:tcPr>
          <w:p>
            <w:pPr>
              <w:pStyle w:val="Compact"/>
              <w:jc w:val="left"/>
              <w:spacing w:before="20" w:after="20" w:line="220" w:lineRule="auto"/>
            </w:pPr>
            <w:r>
              <w:rPr>
                <w:sz w:val="15"/>
                <w:szCs w:val="15"/>
              </w:rPr>
              <w:t xml:space="preserve">533</w:t>
            </w:r>
          </w:p>
        </w:tc>
        <w:tc>
          <w:tcPr>
            <w:tcW w:w="827" w:type="dxa"/>
          </w:tcPr>
          <w:p>
            <w:pPr>
              <w:pStyle w:val="Compact"/>
              <w:spacing w:before="20" w:after="20" w:line="220" w:lineRule="auto"/>
            </w:pPr>
          </w:p>
        </w:tc>
      </w:tr>
      <w:tr>
        <w:tc>
          <w:tcPr>
            <w:tcW w:w="5629" w:type="dxa"/>
          </w:tcPr>
          <w:p>
            <w:pPr>
              <w:pStyle w:val="Compact"/>
              <w:jc w:val="left"/>
              <w:spacing w:before="20" w:after="20" w:line="220" w:lineRule="auto"/>
            </w:pPr>
            <w:r>
              <w:rPr>
                <w:sz w:val="15"/>
                <w:szCs w:val="15"/>
              </w:rPr>
              <w:t xml:space="preserve">SA: amortisation of acquisition cash flows (allocated, total)</w:t>
            </w:r>
          </w:p>
        </w:tc>
        <w:tc>
          <w:tcPr>
            <w:tcW w:w="5629" w:type="dxa"/>
          </w:tcPr>
          <w:p>
            <w:pPr>
              <w:pStyle w:val="Compact"/>
              <w:jc w:val="left"/>
              <w:spacing w:before="20" w:after="20" w:line="220" w:lineRule="auto"/>
            </w:pPr>
            <w:r>
              <w:rPr>
                <w:sz w:val="15"/>
                <w:szCs w:val="15"/>
              </w:rPr>
              <w:t xml:space="preserve">Derived</w:t>
            </w:r>
          </w:p>
        </w:tc>
        <w:tc>
          <w:tcPr>
            <w:tcW w:w="827" w:type="dxa"/>
          </w:tcPr>
          <w:p>
            <w:pPr>
              <w:pStyle w:val="Compact"/>
              <w:jc w:val="left"/>
              <w:spacing w:before="20" w:after="20" w:line="220" w:lineRule="auto"/>
            </w:pPr>
            <w:r>
              <w:rPr>
                <w:sz w:val="15"/>
                <w:szCs w:val="15"/>
              </w:rPr>
              <w:t xml:space="preserve">656</w:t>
            </w:r>
          </w:p>
        </w:tc>
        <w:tc>
          <w:tcPr>
            <w:tcW w:w="827" w:type="dxa"/>
          </w:tcPr>
          <w:p>
            <w:pPr>
              <w:pStyle w:val="Compact"/>
              <w:jc w:val="left"/>
              <w:spacing w:before="20" w:after="20" w:line="220" w:lineRule="auto"/>
            </w:pPr>
            <w:r>
              <w:rPr>
                <w:sz w:val="15"/>
                <w:szCs w:val="15"/>
              </w:rPr>
              <w:t xml:space="preserve">1,060</w:t>
            </w:r>
          </w:p>
        </w:tc>
        <w:tc>
          <w:tcPr>
            <w:tcW w:w="827" w:type="dxa"/>
          </w:tcPr>
          <w:p>
            <w:pPr>
              <w:pStyle w:val="Compact"/>
              <w:jc w:val="left"/>
              <w:spacing w:before="20" w:after="20" w:line="220" w:lineRule="auto"/>
            </w:pPr>
            <w:r>
              <w:rPr>
                <w:sz w:val="15"/>
                <w:szCs w:val="15"/>
              </w:rPr>
              <w:t xml:space="preserve">982</w:t>
            </w:r>
          </w:p>
        </w:tc>
        <w:tc>
          <w:tcPr>
            <w:tcW w:w="827" w:type="dxa"/>
          </w:tcPr>
          <w:p>
            <w:pPr>
              <w:pStyle w:val="Compact"/>
              <w:spacing w:before="20" w:after="20" w:line="220" w:lineRule="auto"/>
            </w:pPr>
          </w:p>
        </w:tc>
      </w:tr>
      <w:tr>
        <w:tc>
          <w:tcPr>
            <w:tcW w:w="5629" w:type="dxa"/>
          </w:tcPr>
          <w:p>
            <w:pPr>
              <w:pStyle w:val="Compact"/>
              <w:jc w:val="left"/>
              <w:spacing w:before="20" w:after="20" w:line="220" w:lineRule="auto"/>
            </w:pPr>
            <w:r>
              <w:rPr>
                <w:sz w:val="15"/>
                <w:szCs w:val="15"/>
              </w:rPr>
              <w:t xml:space="preserve">SA: losses on onerous contracts (allocated)</w:t>
            </w:r>
          </w:p>
        </w:tc>
        <w:tc>
          <w:tcPr>
            <w:tcW w:w="5629" w:type="dxa"/>
          </w:tcPr>
          <w:p>
            <w:pPr>
              <w:pStyle w:val="Compact"/>
              <w:jc w:val="left"/>
              <w:spacing w:before="20" w:after="20" w:line="220" w:lineRule="auto"/>
            </w:pPr>
            <w:r>
              <w:rPr>
                <w:sz w:val="15"/>
                <w:szCs w:val="15"/>
              </w:rPr>
              <w:t xml:space="preserve">Derived</w:t>
            </w:r>
          </w:p>
        </w:tc>
        <w:tc>
          <w:tcPr>
            <w:tcW w:w="827" w:type="dxa"/>
          </w:tcPr>
          <w:p>
            <w:pPr>
              <w:pStyle w:val="Compact"/>
              <w:jc w:val="left"/>
              <w:spacing w:before="20" w:after="20" w:line="220" w:lineRule="auto"/>
            </w:pPr>
            <w:r>
              <w:rPr>
                <w:sz w:val="15"/>
                <w:szCs w:val="15"/>
              </w:rPr>
              <w:t xml:space="preserve">288</w:t>
            </w:r>
          </w:p>
        </w:tc>
        <w:tc>
          <w:tcPr>
            <w:tcW w:w="827" w:type="dxa"/>
          </w:tcPr>
          <w:p>
            <w:pPr>
              <w:pStyle w:val="Compact"/>
              <w:jc w:val="left"/>
              <w:spacing w:before="20" w:after="20" w:line="220" w:lineRule="auto"/>
            </w:pPr>
            <w:r>
              <w:rPr>
                <w:sz w:val="15"/>
                <w:szCs w:val="15"/>
              </w:rPr>
              <w:t xml:space="preserve">84</w:t>
            </w:r>
          </w:p>
        </w:tc>
        <w:tc>
          <w:tcPr>
            <w:tcW w:w="827" w:type="dxa"/>
          </w:tcPr>
          <w:p>
            <w:pPr>
              <w:pStyle w:val="Compact"/>
              <w:jc w:val="left"/>
              <w:spacing w:before="20" w:after="20" w:line="220" w:lineRule="auto"/>
            </w:pPr>
            <w:r>
              <w:rPr>
                <w:sz w:val="15"/>
                <w:szCs w:val="15"/>
              </w:rPr>
              <w:t xml:space="preserve">356</w:t>
            </w:r>
          </w:p>
        </w:tc>
        <w:tc>
          <w:tcPr>
            <w:tcW w:w="827" w:type="dxa"/>
          </w:tcPr>
          <w:p>
            <w:pPr>
              <w:pStyle w:val="Compact"/>
              <w:spacing w:before="20" w:after="20" w:line="220" w:lineRule="auto"/>
            </w:pPr>
          </w:p>
        </w:tc>
      </w:tr>
      <w:tr>
        <w:tc>
          <w:tcPr>
            <w:tcW w:w="5629" w:type="dxa"/>
          </w:tcPr>
          <w:p>
            <w:pPr>
              <w:pStyle w:val="Compact"/>
              <w:jc w:val="left"/>
              <w:spacing w:before="20" w:after="20" w:line="220" w:lineRule="auto"/>
            </w:pPr>
            <w:r>
              <w:rPr>
                <w:sz w:val="15"/>
                <w:szCs w:val="15"/>
              </w:rPr>
              <w:t xml:space="preserve">SA: incurred claims and other attributable expenses (allocated)</w:t>
            </w:r>
          </w:p>
        </w:tc>
        <w:tc>
          <w:tcPr>
            <w:tcW w:w="5629" w:type="dxa"/>
          </w:tcPr>
          <w:p>
            <w:pPr>
              <w:pStyle w:val="Compact"/>
              <w:jc w:val="left"/>
              <w:spacing w:before="20" w:after="20" w:line="220" w:lineRule="auto"/>
            </w:pPr>
            <w:r>
              <w:rPr>
                <w:sz w:val="15"/>
                <w:szCs w:val="15"/>
              </w:rPr>
              <w:t xml:space="preserve">Derived</w:t>
            </w:r>
          </w:p>
        </w:tc>
        <w:tc>
          <w:tcPr>
            <w:tcW w:w="827" w:type="dxa"/>
          </w:tcPr>
          <w:p>
            <w:pPr>
              <w:pStyle w:val="Compact"/>
              <w:jc w:val="left"/>
              <w:spacing w:before="20" w:after="20" w:line="220" w:lineRule="auto"/>
            </w:pPr>
            <w:r>
              <w:rPr>
                <w:sz w:val="15"/>
                <w:szCs w:val="15"/>
              </w:rPr>
              <w:t xml:space="preserve">5,818</w:t>
            </w:r>
          </w:p>
        </w:tc>
        <w:tc>
          <w:tcPr>
            <w:tcW w:w="827" w:type="dxa"/>
          </w:tcPr>
          <w:p>
            <w:pPr>
              <w:pStyle w:val="Compact"/>
              <w:jc w:val="left"/>
              <w:spacing w:before="20" w:after="20" w:line="220" w:lineRule="auto"/>
            </w:pPr>
            <w:r>
              <w:rPr>
                <w:sz w:val="15"/>
                <w:szCs w:val="15"/>
              </w:rPr>
              <w:t xml:space="preserve">5,776</w:t>
            </w:r>
          </w:p>
        </w:tc>
        <w:tc>
          <w:tcPr>
            <w:tcW w:w="827" w:type="dxa"/>
          </w:tcPr>
          <w:p>
            <w:pPr>
              <w:pStyle w:val="Compact"/>
              <w:jc w:val="left"/>
              <w:spacing w:before="20" w:after="20" w:line="220" w:lineRule="auto"/>
            </w:pPr>
            <w:r>
              <w:rPr>
                <w:sz w:val="15"/>
                <w:szCs w:val="15"/>
              </w:rPr>
              <w:t xml:space="preserve">5,900</w:t>
            </w:r>
          </w:p>
        </w:tc>
        <w:tc>
          <w:tcPr>
            <w:tcW w:w="827" w:type="dxa"/>
          </w:tcPr>
          <w:p>
            <w:pPr>
              <w:pStyle w:val="Compact"/>
              <w:spacing w:before="20" w:after="20" w:line="220" w:lineRule="auto"/>
            </w:pPr>
          </w:p>
        </w:tc>
      </w:tr>
      <w:tr>
        <w:tc>
          <w:tcPr>
            <w:tcW w:w="5629" w:type="dxa"/>
          </w:tcPr>
          <w:p>
            <w:pPr>
              <w:pStyle w:val="Compact"/>
              <w:jc w:val="left"/>
              <w:spacing w:before="20" w:after="20" w:line="220" w:lineRule="auto"/>
            </w:pPr>
            <w:r>
              <w:rPr>
                <w:sz w:val="15"/>
                <w:szCs w:val="15"/>
              </w:rPr>
              <w:t xml:space="preserve">SA: acquisition cash flows paid (allocated, cash view)</w:t>
            </w:r>
          </w:p>
        </w:tc>
        <w:tc>
          <w:tcPr>
            <w:tcW w:w="5629" w:type="dxa"/>
          </w:tcPr>
          <w:p>
            <w:pPr>
              <w:pStyle w:val="Compact"/>
              <w:jc w:val="left"/>
              <w:spacing w:before="20" w:after="20" w:line="220" w:lineRule="auto"/>
            </w:pPr>
            <w:r>
              <w:rPr>
                <w:sz w:val="15"/>
                <w:szCs w:val="15"/>
              </w:rPr>
              <w:t xml:space="preserve">Derived</w:t>
            </w:r>
          </w:p>
        </w:tc>
        <w:tc>
          <w:tcPr>
            <w:tcW w:w="827" w:type="dxa"/>
          </w:tcPr>
          <w:p>
            <w:pPr>
              <w:pStyle w:val="Compact"/>
              <w:jc w:val="left"/>
              <w:spacing w:before="20" w:after="20" w:line="220" w:lineRule="auto"/>
            </w:pPr>
            <w:r>
              <w:rPr>
                <w:sz w:val="15"/>
                <w:szCs w:val="15"/>
              </w:rPr>
              <w:t xml:space="preserve">929</w:t>
            </w:r>
          </w:p>
        </w:tc>
        <w:tc>
          <w:tcPr>
            <w:tcW w:w="827" w:type="dxa"/>
          </w:tcPr>
          <w:p>
            <w:pPr>
              <w:pStyle w:val="Compact"/>
              <w:jc w:val="left"/>
              <w:spacing w:before="20" w:after="20" w:line="220" w:lineRule="auto"/>
            </w:pPr>
            <w:r>
              <w:rPr>
                <w:sz w:val="15"/>
                <w:szCs w:val="15"/>
              </w:rPr>
              <w:t xml:space="preserve">1,262</w:t>
            </w:r>
          </w:p>
        </w:tc>
        <w:tc>
          <w:tcPr>
            <w:tcW w:w="827" w:type="dxa"/>
          </w:tcPr>
          <w:p>
            <w:pPr>
              <w:pStyle w:val="Compact"/>
              <w:jc w:val="left"/>
              <w:spacing w:before="20" w:after="20" w:line="220" w:lineRule="auto"/>
            </w:pPr>
            <w:r>
              <w:rPr>
                <w:sz w:val="15"/>
                <w:szCs w:val="15"/>
              </w:rPr>
              <w:t xml:space="preserve">1,387</w:t>
            </w:r>
          </w:p>
        </w:tc>
        <w:tc>
          <w:tcPr>
            <w:tcW w:w="827" w:type="dxa"/>
          </w:tcPr>
          <w:p>
            <w:pPr>
              <w:pStyle w:val="Compact"/>
              <w:spacing w:before="20" w:after="20" w:line="220" w:lineRule="auto"/>
            </w:pPr>
          </w:p>
        </w:tc>
      </w:tr>
    </w:tbl>
    <w:bookmarkEnd w:id="31"/>
    <w:bookmarkStart w:id="32" w:name="Xeced227521f0d19ed5c62c315e3d086e4327791"/>
    <w:p>
      <w:pPr>
        <w:pStyle w:val="Heading4"/>
      </w:pPr>
      <w:r>
        <w:t xml:space="preserve">D. Intra-group flows and the intermediary block</w:t>
      </w:r>
    </w:p>
    <w:tbl>
      <w:tblPr>
        <w:tblStyle w:val="Table"/>
        <w:tblLook w:firstRow="1" w:lastRow="0" w:firstColumn="0" w:lastColumn="0" w:noHBand="0" w:noVBand="0" w:val="0020"/>
        <w:jc w:val="start"/>
        <w:tblW w:w="14566" w:type="dxa"/>
        <w:tblLayout w:type="fixed"/>
      </w:tblPr>
      <w:tblGrid>
        <w:gridCol w:w="5629"/>
        <w:gridCol w:w="5629"/>
        <w:gridCol w:w="827"/>
        <w:gridCol w:w="827"/>
        <w:gridCol w:w="827"/>
        <w:gridCol w:w="827"/>
      </w:tblGrid>
      <w:tr>
        <w:trPr>
          <w:tblHeader w:val="true"/>
        </w:trPr>
        <w:tc>
          <w:tcPr>
            <w:tcW w:w="5629" w:type="dxa"/>
          </w:tcPr>
          <w:p>
            <w:pPr>
              <w:pStyle w:val="Compact"/>
              <w:jc w:val="left"/>
              <w:spacing w:before="20" w:after="20" w:line="220" w:lineRule="auto"/>
            </w:pPr>
            <w:r>
              <w:rPr>
                <w:sz w:val="15"/>
                <w:szCs w:val="15"/>
              </w:rPr>
              <w:t xml:space="preserve">Line</w:t>
            </w:r>
          </w:p>
        </w:tc>
        <w:tc>
          <w:tcPr>
            <w:tcW w:w="5629" w:type="dxa"/>
          </w:tcPr>
          <w:p>
            <w:pPr>
              <w:pStyle w:val="Compact"/>
              <w:jc w:val="left"/>
              <w:spacing w:before="20" w:after="20" w:line="220" w:lineRule="auto"/>
            </w:pPr>
            <w:r>
              <w:rPr>
                <w:sz w:val="15"/>
                <w:szCs w:val="15"/>
              </w:rPr>
              <w:t xml:space="preserve">Basis</w:t>
            </w:r>
          </w:p>
        </w:tc>
        <w:tc>
          <w:tcPr>
            <w:tcW w:w="827" w:type="dxa"/>
          </w:tcPr>
          <w:p>
            <w:pPr>
              <w:pStyle w:val="Compact"/>
              <w:jc w:val="left"/>
              <w:spacing w:before="20" w:after="20" w:line="220" w:lineRule="auto"/>
            </w:pPr>
            <w:r>
              <w:rPr>
                <w:sz w:val="15"/>
                <w:szCs w:val="15"/>
              </w:rPr>
              <w:t xml:space="preserve">FY2023</w:t>
            </w:r>
          </w:p>
        </w:tc>
        <w:tc>
          <w:tcPr>
            <w:tcW w:w="827" w:type="dxa"/>
          </w:tcPr>
          <w:p>
            <w:pPr>
              <w:pStyle w:val="Compact"/>
              <w:jc w:val="left"/>
              <w:spacing w:before="20" w:after="20" w:line="220" w:lineRule="auto"/>
            </w:pPr>
            <w:r>
              <w:rPr>
                <w:sz w:val="15"/>
                <w:szCs w:val="15"/>
              </w:rPr>
              <w:t xml:space="preserve">FY2024</w:t>
            </w:r>
          </w:p>
        </w:tc>
        <w:tc>
          <w:tcPr>
            <w:tcW w:w="827" w:type="dxa"/>
          </w:tcPr>
          <w:p>
            <w:pPr>
              <w:pStyle w:val="Compact"/>
              <w:jc w:val="left"/>
              <w:spacing w:before="20" w:after="20" w:line="220" w:lineRule="auto"/>
            </w:pPr>
            <w:r>
              <w:rPr>
                <w:sz w:val="15"/>
                <w:szCs w:val="15"/>
              </w:rPr>
              <w:t xml:space="preserve">FY2025</w:t>
            </w:r>
          </w:p>
        </w:tc>
        <w:tc>
          <w:tcPr>
            <w:tcW w:w="827" w:type="dxa"/>
          </w:tcPr>
          <w:p>
            <w:pPr>
              <w:pStyle w:val="Compact"/>
              <w:jc w:val="left"/>
              <w:spacing w:before="20" w:after="20" w:line="220" w:lineRule="auto"/>
            </w:pPr>
            <w:r>
              <w:rPr>
                <w:sz w:val="15"/>
                <w:szCs w:val="15"/>
              </w:rPr>
              <w:t xml:space="preserve">1H2026</w:t>
            </w:r>
          </w:p>
        </w:tc>
      </w:tr>
      <w:tr>
        <w:tc>
          <w:tcPr>
            <w:tcW w:w="5629" w:type="dxa"/>
          </w:tcPr>
          <w:p>
            <w:pPr>
              <w:pStyle w:val="Compact"/>
              <w:jc w:val="left"/>
              <w:spacing w:before="20" w:after="20" w:line="220" w:lineRule="auto"/>
            </w:pPr>
            <w:r>
              <w:rPr>
                <w:sz w:val="15"/>
                <w:szCs w:val="15"/>
              </w:rPr>
              <w:t xml:space="preserve">Absa Bank Limited: insurance commission received (fee income)</w:t>
            </w:r>
          </w:p>
        </w:tc>
        <w:tc>
          <w:tcPr>
            <w:tcW w:w="5629" w:type="dxa"/>
          </w:tcPr>
          <w:p>
            <w:pPr>
              <w:pStyle w:val="Compact"/>
              <w:jc w:val="left"/>
              <w:spacing w:before="20" w:after="20" w:line="220" w:lineRule="auto"/>
            </w:pPr>
            <w:r>
              <w:rPr>
                <w:sz w:val="15"/>
                <w:szCs w:val="15"/>
              </w:rPr>
              <w:t xml:space="preserve">Fact; counterparty not named; allocated to PPB; treated as t</w:t>
            </w:r>
          </w:p>
        </w:tc>
        <w:tc>
          <w:tcPr>
            <w:tcW w:w="827" w:type="dxa"/>
          </w:tcPr>
          <w:p>
            <w:pPr>
              <w:pStyle w:val="Compact"/>
              <w:jc w:val="left"/>
              <w:spacing w:before="20" w:after="20" w:line="220" w:lineRule="auto"/>
            </w:pPr>
            <w:r>
              <w:rPr>
                <w:sz w:val="15"/>
                <w:szCs w:val="15"/>
              </w:rPr>
              <w:t xml:space="preserve">739</w:t>
            </w:r>
          </w:p>
        </w:tc>
        <w:tc>
          <w:tcPr>
            <w:tcW w:w="827" w:type="dxa"/>
          </w:tcPr>
          <w:p>
            <w:pPr>
              <w:pStyle w:val="Compact"/>
              <w:jc w:val="left"/>
              <w:spacing w:before="20" w:after="20" w:line="220" w:lineRule="auto"/>
            </w:pPr>
            <w:r>
              <w:rPr>
                <w:sz w:val="15"/>
                <w:szCs w:val="15"/>
              </w:rPr>
              <w:t xml:space="preserve">774</w:t>
            </w:r>
          </w:p>
        </w:tc>
        <w:tc>
          <w:tcPr>
            <w:tcW w:w="827" w:type="dxa"/>
          </w:tcPr>
          <w:p>
            <w:pPr>
              <w:pStyle w:val="Compact"/>
              <w:jc w:val="left"/>
              <w:spacing w:before="20" w:after="20" w:line="220" w:lineRule="auto"/>
            </w:pPr>
            <w:r>
              <w:rPr>
                <w:sz w:val="15"/>
                <w:szCs w:val="15"/>
              </w:rPr>
              <w:t xml:space="preserve">774</w:t>
            </w:r>
          </w:p>
        </w:tc>
        <w:tc>
          <w:tcPr>
            <w:tcW w:w="827" w:type="dxa"/>
          </w:tcPr>
          <w:p>
            <w:pPr>
              <w:pStyle w:val="Compact"/>
              <w:spacing w:before="20" w:after="20" w:line="220" w:lineRule="auto"/>
            </w:pPr>
          </w:p>
        </w:tc>
      </w:tr>
      <w:tr>
        <w:tc>
          <w:tcPr>
            <w:tcW w:w="5629" w:type="dxa"/>
          </w:tcPr>
          <w:p>
            <w:pPr>
              <w:pStyle w:val="Compact"/>
              <w:jc w:val="left"/>
              <w:spacing w:before="20" w:after="20" w:line="220" w:lineRule="auto"/>
            </w:pPr>
            <w:r>
              <w:rPr>
                <w:sz w:val="15"/>
                <w:szCs w:val="15"/>
              </w:rPr>
              <w:t xml:space="preserve">Absa Group: insurance commission received (includes Africa Regions bancassurance)</w:t>
            </w:r>
          </w:p>
        </w:tc>
        <w:tc>
          <w:tcPr>
            <w:tcW w:w="5629" w:type="dxa"/>
          </w:tcPr>
          <w:p>
            <w:pPr>
              <w:pStyle w:val="Compact"/>
              <w:jc w:val="left"/>
              <w:spacing w:before="20" w:after="20" w:line="220" w:lineRule="auto"/>
            </w:pPr>
            <w:r>
              <w:rPr>
                <w:sz w:val="15"/>
                <w:szCs w:val="15"/>
              </w:rPr>
              <w:t xml:space="preserve">Fact</w:t>
            </w:r>
          </w:p>
        </w:tc>
        <w:tc>
          <w:tcPr>
            <w:tcW w:w="827" w:type="dxa"/>
          </w:tcPr>
          <w:p>
            <w:pPr>
              <w:pStyle w:val="Compact"/>
              <w:jc w:val="left"/>
              <w:spacing w:before="20" w:after="20" w:line="220" w:lineRule="auto"/>
            </w:pPr>
            <w:r>
              <w:rPr>
                <w:sz w:val="15"/>
                <w:szCs w:val="15"/>
              </w:rPr>
              <w:t xml:space="preserve">1,222</w:t>
            </w:r>
          </w:p>
        </w:tc>
        <w:tc>
          <w:tcPr>
            <w:tcW w:w="827" w:type="dxa"/>
          </w:tcPr>
          <w:p>
            <w:pPr>
              <w:pStyle w:val="Compact"/>
              <w:jc w:val="left"/>
              <w:spacing w:before="20" w:after="20" w:line="220" w:lineRule="auto"/>
            </w:pPr>
            <w:r>
              <w:rPr>
                <w:sz w:val="15"/>
                <w:szCs w:val="15"/>
              </w:rPr>
              <w:t xml:space="preserve">952</w:t>
            </w:r>
          </w:p>
        </w:tc>
        <w:tc>
          <w:tcPr>
            <w:tcW w:w="827" w:type="dxa"/>
          </w:tcPr>
          <w:p>
            <w:pPr>
              <w:pStyle w:val="Compact"/>
              <w:jc w:val="left"/>
              <w:spacing w:before="20" w:after="20" w:line="220" w:lineRule="auto"/>
            </w:pPr>
            <w:r>
              <w:rPr>
                <w:sz w:val="15"/>
                <w:szCs w:val="15"/>
              </w:rPr>
              <w:t xml:space="preserve">930</w:t>
            </w:r>
          </w:p>
        </w:tc>
        <w:tc>
          <w:tcPr>
            <w:tcW w:w="827" w:type="dxa"/>
          </w:tcPr>
          <w:p>
            <w:pPr>
              <w:pStyle w:val="Compact"/>
              <w:jc w:val="left"/>
              <w:spacing w:before="20" w:after="20" w:line="220" w:lineRule="auto"/>
            </w:pPr>
            <w:r>
              <w:rPr>
                <w:sz w:val="15"/>
                <w:szCs w:val="15"/>
              </w:rPr>
              <w:t xml:space="preserve">499</w:t>
            </w:r>
          </w:p>
        </w:tc>
      </w:tr>
      <w:tr>
        <w:tc>
          <w:tcPr>
            <w:tcW w:w="5629" w:type="dxa"/>
          </w:tcPr>
          <w:p>
            <w:pPr>
              <w:pStyle w:val="Compact"/>
              <w:jc w:val="left"/>
              <w:spacing w:before="20" w:after="20" w:line="220" w:lineRule="auto"/>
            </w:pPr>
            <w:r>
              <w:rPr>
                <w:sz w:val="15"/>
                <w:szCs w:val="15"/>
              </w:rPr>
              <w:t xml:space="preserve">Advice and Investments block: non-interest income (FY2023 Non-Banking Financial Services segment)</w:t>
            </w:r>
          </w:p>
        </w:tc>
        <w:tc>
          <w:tcPr>
            <w:tcW w:w="5629" w:type="dxa"/>
          </w:tcPr>
          <w:p>
            <w:pPr>
              <w:pStyle w:val="Compact"/>
              <w:jc w:val="left"/>
              <w:spacing w:before="20" w:after="20" w:line="220" w:lineRule="auto"/>
            </w:pPr>
            <w:r>
              <w:rPr>
                <w:sz w:val="15"/>
                <w:szCs w:val="15"/>
              </w:rPr>
              <w:t xml:space="preserve">Fact; FY2022 R983m; FY2024 basis includes PSC head office (A</w:t>
            </w:r>
          </w:p>
        </w:tc>
        <w:tc>
          <w:tcPr>
            <w:tcW w:w="827" w:type="dxa"/>
          </w:tcPr>
          <w:p>
            <w:pPr>
              <w:pStyle w:val="Compact"/>
              <w:jc w:val="left"/>
              <w:spacing w:before="20" w:after="20" w:line="220" w:lineRule="auto"/>
            </w:pPr>
            <w:r>
              <w:rPr>
                <w:sz w:val="15"/>
                <w:szCs w:val="15"/>
              </w:rPr>
              <w:t xml:space="preserve">1,104</w:t>
            </w:r>
          </w:p>
        </w:tc>
        <w:tc>
          <w:tcPr>
            <w:tcW w:w="827" w:type="dxa"/>
          </w:tcPr>
          <w:p>
            <w:pPr>
              <w:pStyle w:val="Compact"/>
              <w:spacing w:before="20" w:after="20" w:line="220" w:lineRule="auto"/>
            </w:pPr>
          </w:p>
        </w:tc>
        <w:tc>
          <w:tcPr>
            <w:tcW w:w="827" w:type="dxa"/>
          </w:tcPr>
          <w:p>
            <w:pPr>
              <w:pStyle w:val="Compact"/>
              <w:spacing w:before="20" w:after="20" w:line="220" w:lineRule="auto"/>
            </w:pPr>
          </w:p>
        </w:tc>
        <w:tc>
          <w:tcPr>
            <w:tcW w:w="827" w:type="dxa"/>
          </w:tcPr>
          <w:p>
            <w:pPr>
              <w:pStyle w:val="Compact"/>
              <w:spacing w:before="20" w:after="20" w:line="220" w:lineRule="auto"/>
            </w:pPr>
          </w:p>
        </w:tc>
      </w:tr>
      <w:tr>
        <w:tc>
          <w:tcPr>
            <w:tcW w:w="5629" w:type="dxa"/>
          </w:tcPr>
          <w:p>
            <w:pPr>
              <w:pStyle w:val="Compact"/>
              <w:jc w:val="left"/>
              <w:spacing w:before="20" w:after="20" w:line="220" w:lineRule="auto"/>
            </w:pPr>
            <w:r>
              <w:rPr>
                <w:sz w:val="15"/>
                <w:szCs w:val="15"/>
              </w:rPr>
              <w:t xml:space="preserve">Advice and Investments block: operating expenses (FY2023 Non-Banking Financial Services segment)</w:t>
            </w:r>
          </w:p>
        </w:tc>
        <w:tc>
          <w:tcPr>
            <w:tcW w:w="5629" w:type="dxa"/>
          </w:tcPr>
          <w:p>
            <w:pPr>
              <w:pStyle w:val="Compact"/>
              <w:jc w:val="left"/>
              <w:spacing w:before="20" w:after="20" w:line="220" w:lineRule="auto"/>
            </w:pPr>
            <w:r>
              <w:rPr>
                <w:sz w:val="15"/>
                <w:szCs w:val="15"/>
              </w:rPr>
              <w:t xml:space="preserve">Fact; FY2022 R1 871m; FY2024 R2 073m incl. PSC head office (</w:t>
            </w:r>
          </w:p>
        </w:tc>
        <w:tc>
          <w:tcPr>
            <w:tcW w:w="827" w:type="dxa"/>
          </w:tcPr>
          <w:p>
            <w:pPr>
              <w:pStyle w:val="Compact"/>
              <w:jc w:val="left"/>
              <w:spacing w:before="20" w:after="20" w:line="220" w:lineRule="auto"/>
            </w:pPr>
            <w:r>
              <w:rPr>
                <w:sz w:val="15"/>
                <w:szCs w:val="15"/>
              </w:rPr>
              <w:t xml:space="preserve">1,724</w:t>
            </w:r>
          </w:p>
        </w:tc>
        <w:tc>
          <w:tcPr>
            <w:tcW w:w="827" w:type="dxa"/>
          </w:tcPr>
          <w:p>
            <w:pPr>
              <w:pStyle w:val="Compact"/>
              <w:spacing w:before="20" w:after="20" w:line="220" w:lineRule="auto"/>
            </w:pPr>
          </w:p>
        </w:tc>
        <w:tc>
          <w:tcPr>
            <w:tcW w:w="827" w:type="dxa"/>
          </w:tcPr>
          <w:p>
            <w:pPr>
              <w:pStyle w:val="Compact"/>
              <w:spacing w:before="20" w:after="20" w:line="220" w:lineRule="auto"/>
            </w:pPr>
          </w:p>
        </w:tc>
        <w:tc>
          <w:tcPr>
            <w:tcW w:w="827" w:type="dxa"/>
          </w:tcPr>
          <w:p>
            <w:pPr>
              <w:pStyle w:val="Compact"/>
              <w:spacing w:before="20" w:after="20" w:line="220" w:lineRule="auto"/>
            </w:pPr>
          </w:p>
        </w:tc>
      </w:tr>
      <w:tr>
        <w:tc>
          <w:tcPr>
            <w:tcW w:w="5629" w:type="dxa"/>
          </w:tcPr>
          <w:p>
            <w:pPr>
              <w:pStyle w:val="Compact"/>
              <w:jc w:val="left"/>
              <w:spacing w:before="20" w:after="20" w:line="220" w:lineRule="auto"/>
            </w:pPr>
            <w:r>
              <w:rPr>
                <w:sz w:val="15"/>
                <w:szCs w:val="15"/>
              </w:rPr>
              <w:t xml:space="preserve">Acquisition cost ratio including bank fee (allocated amortisation / insurance revenue)</w:t>
            </w:r>
          </w:p>
        </w:tc>
        <w:tc>
          <w:tcPr>
            <w:tcW w:w="5629" w:type="dxa"/>
          </w:tcPr>
          <w:p>
            <w:pPr>
              <w:pStyle w:val="Compact"/>
              <w:jc w:val="left"/>
              <w:spacing w:before="20" w:after="20" w:line="220" w:lineRule="auto"/>
            </w:pPr>
            <w:r>
              <w:rPr>
                <w:sz w:val="15"/>
                <w:szCs w:val="15"/>
              </w:rPr>
              <w:t xml:space="preserve">Derived; IFRS 17 expense view</w:t>
            </w:r>
          </w:p>
        </w:tc>
        <w:tc>
          <w:tcPr>
            <w:tcW w:w="827" w:type="dxa"/>
          </w:tcPr>
          <w:p>
            <w:pPr>
              <w:pStyle w:val="Compact"/>
              <w:jc w:val="left"/>
              <w:spacing w:before="20" w:after="20" w:line="220" w:lineRule="auto"/>
            </w:pPr>
            <w:r>
              <w:rPr>
                <w:sz w:val="15"/>
                <w:szCs w:val="15"/>
              </w:rPr>
              <w:t xml:space="preserve">7.6%</w:t>
            </w:r>
          </w:p>
        </w:tc>
        <w:tc>
          <w:tcPr>
            <w:tcW w:w="827" w:type="dxa"/>
          </w:tcPr>
          <w:p>
            <w:pPr>
              <w:pStyle w:val="Compact"/>
              <w:jc w:val="left"/>
              <w:spacing w:before="20" w:after="20" w:line="220" w:lineRule="auto"/>
            </w:pPr>
            <w:r>
              <w:rPr>
                <w:sz w:val="15"/>
                <w:szCs w:val="15"/>
              </w:rPr>
              <w:t xml:space="preserve">12.0%</w:t>
            </w:r>
          </w:p>
        </w:tc>
        <w:tc>
          <w:tcPr>
            <w:tcW w:w="827" w:type="dxa"/>
          </w:tcPr>
          <w:p>
            <w:pPr>
              <w:pStyle w:val="Compact"/>
              <w:jc w:val="left"/>
              <w:spacing w:before="20" w:after="20" w:line="220" w:lineRule="auto"/>
            </w:pPr>
            <w:r>
              <w:rPr>
                <w:sz w:val="15"/>
                <w:szCs w:val="15"/>
              </w:rPr>
              <w:t xml:space="preserve">10.8%</w:t>
            </w:r>
          </w:p>
        </w:tc>
        <w:tc>
          <w:tcPr>
            <w:tcW w:w="827" w:type="dxa"/>
          </w:tcPr>
          <w:p>
            <w:pPr>
              <w:pStyle w:val="Compact"/>
              <w:spacing w:before="20" w:after="20" w:line="220" w:lineRule="auto"/>
            </w:pPr>
          </w:p>
        </w:tc>
      </w:tr>
      <w:tr>
        <w:tc>
          <w:tcPr>
            <w:tcW w:w="5629" w:type="dxa"/>
          </w:tcPr>
          <w:p>
            <w:pPr>
              <w:pStyle w:val="Compact"/>
              <w:jc w:val="left"/>
              <w:spacing w:before="20" w:after="20" w:line="220" w:lineRule="auto"/>
            </w:pPr>
            <w:r>
              <w:rPr>
                <w:sz w:val="15"/>
                <w:szCs w:val="15"/>
              </w:rPr>
              <w:t xml:space="preserve">Acquisition cost ratio, cash view (allocated acquisition cash flows paid / insurance revenue)</w:t>
            </w:r>
          </w:p>
        </w:tc>
        <w:tc>
          <w:tcPr>
            <w:tcW w:w="5629" w:type="dxa"/>
          </w:tcPr>
          <w:p>
            <w:pPr>
              <w:pStyle w:val="Compact"/>
              <w:jc w:val="left"/>
              <w:spacing w:before="20" w:after="20" w:line="220" w:lineRule="auto"/>
            </w:pPr>
            <w:r>
              <w:rPr>
                <w:sz w:val="15"/>
                <w:szCs w:val="15"/>
              </w:rPr>
              <w:t xml:space="preserve">Derived; cash view</w:t>
            </w:r>
          </w:p>
        </w:tc>
        <w:tc>
          <w:tcPr>
            <w:tcW w:w="827" w:type="dxa"/>
          </w:tcPr>
          <w:p>
            <w:pPr>
              <w:pStyle w:val="Compact"/>
              <w:jc w:val="left"/>
              <w:spacing w:before="20" w:after="20" w:line="220" w:lineRule="auto"/>
            </w:pPr>
            <w:r>
              <w:rPr>
                <w:sz w:val="15"/>
                <w:szCs w:val="15"/>
              </w:rPr>
              <w:t xml:space="preserve">10.7%</w:t>
            </w:r>
          </w:p>
        </w:tc>
        <w:tc>
          <w:tcPr>
            <w:tcW w:w="827" w:type="dxa"/>
          </w:tcPr>
          <w:p>
            <w:pPr>
              <w:pStyle w:val="Compact"/>
              <w:jc w:val="left"/>
              <w:spacing w:before="20" w:after="20" w:line="220" w:lineRule="auto"/>
            </w:pPr>
            <w:r>
              <w:rPr>
                <w:sz w:val="15"/>
                <w:szCs w:val="15"/>
              </w:rPr>
              <w:t xml:space="preserve">14.3%</w:t>
            </w:r>
          </w:p>
        </w:tc>
        <w:tc>
          <w:tcPr>
            <w:tcW w:w="827" w:type="dxa"/>
          </w:tcPr>
          <w:p>
            <w:pPr>
              <w:pStyle w:val="Compact"/>
              <w:jc w:val="left"/>
              <w:spacing w:before="20" w:after="20" w:line="220" w:lineRule="auto"/>
            </w:pPr>
            <w:r>
              <w:rPr>
                <w:sz w:val="15"/>
                <w:szCs w:val="15"/>
              </w:rPr>
              <w:t xml:space="preserve">15.3%</w:t>
            </w:r>
          </w:p>
        </w:tc>
        <w:tc>
          <w:tcPr>
            <w:tcW w:w="827" w:type="dxa"/>
          </w:tcPr>
          <w:p>
            <w:pPr>
              <w:pStyle w:val="Compact"/>
              <w:spacing w:before="20" w:after="20" w:line="220" w:lineRule="auto"/>
            </w:pPr>
          </w:p>
        </w:tc>
      </w:tr>
      <w:tr>
        <w:tc>
          <w:tcPr>
            <w:tcW w:w="5629" w:type="dxa"/>
          </w:tcPr>
          <w:p>
            <w:pPr>
              <w:pStyle w:val="Compact"/>
              <w:jc w:val="left"/>
              <w:spacing w:before="20" w:after="20" w:line="220" w:lineRule="auto"/>
            </w:pPr>
            <w:r>
              <w:rPr>
                <w:sz w:val="15"/>
                <w:szCs w:val="15"/>
              </w:rPr>
              <w:t xml:space="preserve">Acquisition cost ratio excluding bank fee (cash view)</w:t>
            </w:r>
          </w:p>
        </w:tc>
        <w:tc>
          <w:tcPr>
            <w:tcW w:w="5629" w:type="dxa"/>
          </w:tcPr>
          <w:p>
            <w:pPr>
              <w:pStyle w:val="Compact"/>
              <w:jc w:val="left"/>
              <w:spacing w:before="20" w:after="20" w:line="220" w:lineRule="auto"/>
            </w:pPr>
            <w:r>
              <w:rPr>
                <w:sz w:val="15"/>
                <w:szCs w:val="15"/>
              </w:rPr>
              <w:t xml:space="preserve">Derived; Assumption† that the bank commission is wholly from</w:t>
            </w:r>
          </w:p>
        </w:tc>
        <w:tc>
          <w:tcPr>
            <w:tcW w:w="827" w:type="dxa"/>
          </w:tcPr>
          <w:p>
            <w:pPr>
              <w:pStyle w:val="Compact"/>
              <w:jc w:val="left"/>
              <w:spacing w:before="20" w:after="20" w:line="220" w:lineRule="auto"/>
            </w:pPr>
            <w:r>
              <w:rPr>
                <w:sz w:val="15"/>
                <w:szCs w:val="15"/>
              </w:rPr>
              <w:t xml:space="preserve">2.2%</w:t>
            </w:r>
          </w:p>
        </w:tc>
        <w:tc>
          <w:tcPr>
            <w:tcW w:w="827" w:type="dxa"/>
          </w:tcPr>
          <w:p>
            <w:pPr>
              <w:pStyle w:val="Compact"/>
              <w:jc w:val="left"/>
              <w:spacing w:before="20" w:after="20" w:line="220" w:lineRule="auto"/>
            </w:pPr>
            <w:r>
              <w:rPr>
                <w:sz w:val="15"/>
                <w:szCs w:val="15"/>
              </w:rPr>
              <w:t xml:space="preserve">5.5%</w:t>
            </w:r>
          </w:p>
        </w:tc>
        <w:tc>
          <w:tcPr>
            <w:tcW w:w="827" w:type="dxa"/>
          </w:tcPr>
          <w:p>
            <w:pPr>
              <w:pStyle w:val="Compact"/>
              <w:jc w:val="left"/>
              <w:spacing w:before="20" w:after="20" w:line="220" w:lineRule="auto"/>
            </w:pPr>
            <w:r>
              <w:rPr>
                <w:sz w:val="15"/>
                <w:szCs w:val="15"/>
              </w:rPr>
              <w:t xml:space="preserve">6.7%</w:t>
            </w:r>
          </w:p>
        </w:tc>
        <w:tc>
          <w:tcPr>
            <w:tcW w:w="827" w:type="dxa"/>
          </w:tcPr>
          <w:p>
            <w:pPr>
              <w:pStyle w:val="Compact"/>
              <w:spacing w:before="20" w:after="20" w:line="220" w:lineRule="auto"/>
            </w:pPr>
          </w:p>
        </w:tc>
      </w:tr>
      <w:tr>
        <w:tc>
          <w:tcPr>
            <w:tcW w:w="5629" w:type="dxa"/>
          </w:tcPr>
          <w:p>
            <w:pPr>
              <w:pStyle w:val="Compact"/>
              <w:jc w:val="left"/>
              <w:spacing w:before="20" w:after="20" w:line="220" w:lineRule="auto"/>
            </w:pPr>
            <w:r>
              <w:rPr>
                <w:sz w:val="15"/>
                <w:szCs w:val="15"/>
              </w:rPr>
              <w:t xml:space="preserve">Bank fee as share of cash acquisition flows</w:t>
            </w:r>
          </w:p>
        </w:tc>
        <w:tc>
          <w:tcPr>
            <w:tcW w:w="5629" w:type="dxa"/>
          </w:tcPr>
          <w:p>
            <w:pPr>
              <w:pStyle w:val="Compact"/>
              <w:jc w:val="left"/>
              <w:spacing w:before="20" w:after="20" w:line="220" w:lineRule="auto"/>
            </w:pPr>
            <w:r>
              <w:rPr>
                <w:sz w:val="15"/>
                <w:szCs w:val="15"/>
              </w:rPr>
              <w:t xml:space="preserve">Derived</w:t>
            </w:r>
          </w:p>
        </w:tc>
        <w:tc>
          <w:tcPr>
            <w:tcW w:w="827" w:type="dxa"/>
          </w:tcPr>
          <w:p>
            <w:pPr>
              <w:pStyle w:val="Compact"/>
              <w:jc w:val="left"/>
              <w:spacing w:before="20" w:after="20" w:line="220" w:lineRule="auto"/>
            </w:pPr>
            <w:r>
              <w:rPr>
                <w:sz w:val="15"/>
                <w:szCs w:val="15"/>
              </w:rPr>
              <w:t xml:space="preserve">79.6%</w:t>
            </w:r>
          </w:p>
        </w:tc>
        <w:tc>
          <w:tcPr>
            <w:tcW w:w="827" w:type="dxa"/>
          </w:tcPr>
          <w:p>
            <w:pPr>
              <w:pStyle w:val="Compact"/>
              <w:jc w:val="left"/>
              <w:spacing w:before="20" w:after="20" w:line="220" w:lineRule="auto"/>
            </w:pPr>
            <w:r>
              <w:rPr>
                <w:sz w:val="15"/>
                <w:szCs w:val="15"/>
              </w:rPr>
              <w:t xml:space="preserve">61.3%</w:t>
            </w:r>
          </w:p>
        </w:tc>
        <w:tc>
          <w:tcPr>
            <w:tcW w:w="827" w:type="dxa"/>
          </w:tcPr>
          <w:p>
            <w:pPr>
              <w:pStyle w:val="Compact"/>
              <w:jc w:val="left"/>
              <w:spacing w:before="20" w:after="20" w:line="220" w:lineRule="auto"/>
            </w:pPr>
            <w:r>
              <w:rPr>
                <w:sz w:val="15"/>
                <w:szCs w:val="15"/>
              </w:rPr>
              <w:t xml:space="preserve">55.8%</w:t>
            </w:r>
          </w:p>
        </w:tc>
        <w:tc>
          <w:tcPr>
            <w:tcW w:w="827" w:type="dxa"/>
          </w:tcPr>
          <w:p>
            <w:pPr>
              <w:pStyle w:val="Compact"/>
              <w:spacing w:before="20" w:after="20" w:line="220" w:lineRule="auto"/>
            </w:pPr>
          </w:p>
        </w:tc>
      </w:tr>
      <w:tr>
        <w:tc>
          <w:tcPr>
            <w:tcW w:w="5629" w:type="dxa"/>
          </w:tcPr>
          <w:p>
            <w:pPr>
              <w:pStyle w:val="Compact"/>
              <w:jc w:val="left"/>
              <w:spacing w:before="20" w:after="20" w:line="220" w:lineRule="auto"/>
            </w:pPr>
            <w:r>
              <w:rPr>
                <w:sz w:val="15"/>
                <w:szCs w:val="15"/>
              </w:rPr>
              <w:t xml:space="preserve">Non-attributable opex ratio including group recharges (as reported)</w:t>
            </w:r>
          </w:p>
        </w:tc>
        <w:tc>
          <w:tcPr>
            <w:tcW w:w="5629" w:type="dxa"/>
          </w:tcPr>
          <w:p>
            <w:pPr>
              <w:pStyle w:val="Compact"/>
              <w:jc w:val="left"/>
              <w:spacing w:before="20" w:after="20" w:line="220" w:lineRule="auto"/>
            </w:pPr>
            <w:r>
              <w:rPr>
                <w:sz w:val="15"/>
                <w:szCs w:val="15"/>
              </w:rPr>
              <w:t xml:space="preserve">Derived</w:t>
            </w:r>
          </w:p>
        </w:tc>
        <w:tc>
          <w:tcPr>
            <w:tcW w:w="827" w:type="dxa"/>
          </w:tcPr>
          <w:p>
            <w:pPr>
              <w:pStyle w:val="Compact"/>
              <w:jc w:val="left"/>
              <w:spacing w:before="20" w:after="20" w:line="220" w:lineRule="auto"/>
            </w:pPr>
            <w:r>
              <w:rPr>
                <w:sz w:val="15"/>
                <w:szCs w:val="15"/>
              </w:rPr>
              <w:t xml:space="preserve">6.8%</w:t>
            </w:r>
          </w:p>
        </w:tc>
        <w:tc>
          <w:tcPr>
            <w:tcW w:w="827" w:type="dxa"/>
          </w:tcPr>
          <w:p>
            <w:pPr>
              <w:pStyle w:val="Compact"/>
              <w:jc w:val="left"/>
              <w:spacing w:before="20" w:after="20" w:line="220" w:lineRule="auto"/>
            </w:pPr>
            <w:r>
              <w:rPr>
                <w:sz w:val="15"/>
                <w:szCs w:val="15"/>
              </w:rPr>
              <w:t xml:space="preserve">11.2%</w:t>
            </w:r>
          </w:p>
        </w:tc>
        <w:tc>
          <w:tcPr>
            <w:tcW w:w="827" w:type="dxa"/>
          </w:tcPr>
          <w:p>
            <w:pPr>
              <w:pStyle w:val="Compact"/>
              <w:jc w:val="left"/>
              <w:spacing w:before="20" w:after="20" w:line="220" w:lineRule="auto"/>
            </w:pPr>
            <w:r>
              <w:rPr>
                <w:sz w:val="15"/>
                <w:szCs w:val="15"/>
              </w:rPr>
              <w:t xml:space="preserve">11.5%</w:t>
            </w:r>
          </w:p>
        </w:tc>
        <w:tc>
          <w:tcPr>
            <w:tcW w:w="827" w:type="dxa"/>
          </w:tcPr>
          <w:p>
            <w:pPr>
              <w:pStyle w:val="Compact"/>
              <w:spacing w:before="20" w:after="20" w:line="220" w:lineRule="auto"/>
            </w:pPr>
          </w:p>
        </w:tc>
      </w:tr>
    </w:tbl>
    <w:bookmarkEnd w:id="32"/>
    <w:bookmarkStart w:id="33" w:name="Xa37205aabade627b5adbe0440aca06bfe944534"/>
    <w:p>
      <w:pPr>
        <w:pStyle w:val="Heading4"/>
      </w:pPr>
      <w:r>
        <w:t xml:space="preserve">E. Entity view (KPMG survey tables, legal entities, Rm) and solvency</w:t>
      </w:r>
    </w:p>
    <w:tbl>
      <w:tblPr>
        <w:tblStyle w:val="Table"/>
        <w:tblLook w:firstRow="1" w:lastRow="0" w:firstColumn="0" w:lastColumn="0" w:noHBand="0" w:noVBand="0" w:val="0020"/>
        <w:jc w:val="start"/>
        <w:tblW w:w="14565" w:type="dxa"/>
        <w:tblLayout w:type="fixed"/>
      </w:tblPr>
      <w:tblGrid>
        <w:gridCol w:w="6153"/>
        <w:gridCol w:w="4796"/>
        <w:gridCol w:w="904"/>
        <w:gridCol w:w="904"/>
        <w:gridCol w:w="904"/>
        <w:gridCol w:w="904"/>
      </w:tblGrid>
      <w:tr>
        <w:trPr>
          <w:tblHeader w:val="true"/>
        </w:trPr>
        <w:tc>
          <w:tcPr>
            <w:tcW w:w="6153" w:type="dxa"/>
          </w:tcPr>
          <w:p>
            <w:pPr>
              <w:pStyle w:val="Compact"/>
              <w:jc w:val="left"/>
              <w:spacing w:before="20" w:after="20" w:line="220" w:lineRule="auto"/>
            </w:pPr>
            <w:r>
              <w:rPr>
                <w:sz w:val="15"/>
                <w:szCs w:val="15"/>
              </w:rPr>
              <w:t xml:space="preserve">Line</w:t>
            </w:r>
          </w:p>
        </w:tc>
        <w:tc>
          <w:tcPr>
            <w:tcW w:w="4796" w:type="dxa"/>
          </w:tcPr>
          <w:p>
            <w:pPr>
              <w:pStyle w:val="Compact"/>
              <w:jc w:val="left"/>
              <w:spacing w:before="20" w:after="20" w:line="220" w:lineRule="auto"/>
            </w:pPr>
            <w:r>
              <w:rPr>
                <w:sz w:val="15"/>
                <w:szCs w:val="15"/>
              </w:rPr>
              <w:t xml:space="preserve">Basis</w:t>
            </w:r>
          </w:p>
        </w:tc>
        <w:tc>
          <w:tcPr>
            <w:tcW w:w="904" w:type="dxa"/>
          </w:tcPr>
          <w:p>
            <w:pPr>
              <w:pStyle w:val="Compact"/>
              <w:jc w:val="left"/>
              <w:spacing w:before="20" w:after="20" w:line="220" w:lineRule="auto"/>
            </w:pPr>
            <w:r>
              <w:rPr>
                <w:sz w:val="15"/>
                <w:szCs w:val="15"/>
              </w:rPr>
              <w:t xml:space="preserve">FY2023</w:t>
            </w:r>
          </w:p>
        </w:tc>
        <w:tc>
          <w:tcPr>
            <w:tcW w:w="904" w:type="dxa"/>
          </w:tcPr>
          <w:p>
            <w:pPr>
              <w:pStyle w:val="Compact"/>
              <w:jc w:val="left"/>
              <w:spacing w:before="20" w:after="20" w:line="220" w:lineRule="auto"/>
            </w:pPr>
            <w:r>
              <w:rPr>
                <w:sz w:val="15"/>
                <w:szCs w:val="15"/>
              </w:rPr>
              <w:t xml:space="preserve">FY2024</w:t>
            </w:r>
          </w:p>
        </w:tc>
        <w:tc>
          <w:tcPr>
            <w:tcW w:w="904" w:type="dxa"/>
          </w:tcPr>
          <w:p>
            <w:pPr>
              <w:pStyle w:val="Compact"/>
              <w:jc w:val="left"/>
              <w:spacing w:before="20" w:after="20" w:line="220" w:lineRule="auto"/>
            </w:pPr>
            <w:r>
              <w:rPr>
                <w:sz w:val="15"/>
                <w:szCs w:val="15"/>
              </w:rPr>
              <w:t xml:space="preserve">FY2025</w:t>
            </w:r>
          </w:p>
        </w:tc>
        <w:tc>
          <w:tcPr>
            <w:tcW w:w="904" w:type="dxa"/>
          </w:tcPr>
          <w:p>
            <w:pPr>
              <w:pStyle w:val="Compact"/>
              <w:jc w:val="left"/>
              <w:spacing w:before="20" w:after="20" w:line="220" w:lineRule="auto"/>
            </w:pPr>
            <w:r>
              <w:rPr>
                <w:sz w:val="15"/>
                <w:szCs w:val="15"/>
              </w:rPr>
              <w:t xml:space="preserve">1H2026</w:t>
            </w:r>
          </w:p>
        </w:tc>
      </w:tr>
      <w:tr>
        <w:tc>
          <w:tcPr>
            <w:tcW w:w="6153" w:type="dxa"/>
          </w:tcPr>
          <w:p>
            <w:pPr>
              <w:pStyle w:val="Compact"/>
              <w:jc w:val="left"/>
              <w:spacing w:before="20" w:after="20" w:line="220" w:lineRule="auto"/>
            </w:pPr>
            <w:r>
              <w:rPr>
                <w:sz w:val="15"/>
                <w:szCs w:val="15"/>
              </w:rPr>
              <w:t xml:space="preserve">Absa Life Limited: insurance revenue</w:t>
            </w:r>
          </w:p>
        </w:tc>
        <w:tc>
          <w:tcPr>
            <w:tcW w:w="4796" w:type="dxa"/>
          </w:tcPr>
          <w:p>
            <w:pPr>
              <w:pStyle w:val="Compact"/>
              <w:jc w:val="left"/>
              <w:spacing w:before="20" w:after="20" w:line="220" w:lineRule="auto"/>
            </w:pPr>
            <w:r>
              <w:rPr>
                <w:sz w:val="15"/>
                <w:szCs w:val="15"/>
              </w:rPr>
              <w:t xml:space="preserve">Fact; KPMG survey, IFRS 17</w:t>
            </w:r>
          </w:p>
        </w:tc>
        <w:tc>
          <w:tcPr>
            <w:tcW w:w="904" w:type="dxa"/>
          </w:tcPr>
          <w:p>
            <w:pPr>
              <w:pStyle w:val="Compact"/>
              <w:jc w:val="left"/>
              <w:spacing w:before="20" w:after="20" w:line="220" w:lineRule="auto"/>
            </w:pPr>
            <w:r>
              <w:rPr>
                <w:sz w:val="15"/>
                <w:szCs w:val="15"/>
              </w:rPr>
              <w:t xml:space="preserve">4,775</w:t>
            </w:r>
          </w:p>
        </w:tc>
        <w:tc>
          <w:tcPr>
            <w:tcW w:w="904" w:type="dxa"/>
          </w:tcPr>
          <w:p>
            <w:pPr>
              <w:pStyle w:val="Compact"/>
              <w:jc w:val="left"/>
              <w:spacing w:before="20" w:after="20" w:line="220" w:lineRule="auto"/>
            </w:pPr>
            <w:r>
              <w:rPr>
                <w:sz w:val="15"/>
                <w:szCs w:val="15"/>
              </w:rPr>
              <w:t xml:space="preserve">4,944</w:t>
            </w:r>
          </w:p>
        </w:tc>
        <w:tc>
          <w:tcPr>
            <w:tcW w:w="904" w:type="dxa"/>
          </w:tcPr>
          <w:p>
            <w:pPr>
              <w:pStyle w:val="Compact"/>
              <w:spacing w:before="20" w:after="20" w:line="220" w:lineRule="auto"/>
            </w:pPr>
          </w:p>
        </w:tc>
        <w:tc>
          <w:tcPr>
            <w:tcW w:w="904" w:type="dxa"/>
          </w:tcPr>
          <w:p>
            <w:pPr>
              <w:pStyle w:val="Compact"/>
              <w:spacing w:before="20" w:after="20" w:line="220" w:lineRule="auto"/>
            </w:pPr>
          </w:p>
        </w:tc>
      </w:tr>
      <w:tr>
        <w:tc>
          <w:tcPr>
            <w:tcW w:w="6153" w:type="dxa"/>
          </w:tcPr>
          <w:p>
            <w:pPr>
              <w:pStyle w:val="Compact"/>
              <w:jc w:val="left"/>
              <w:spacing w:before="20" w:after="20" w:line="220" w:lineRule="auto"/>
            </w:pPr>
            <w:r>
              <w:rPr>
                <w:sz w:val="15"/>
                <w:szCs w:val="15"/>
              </w:rPr>
              <w:t xml:space="preserve">Absa Life Limited: insurance service expenses</w:t>
            </w:r>
          </w:p>
        </w:tc>
        <w:tc>
          <w:tcPr>
            <w:tcW w:w="4796" w:type="dxa"/>
          </w:tcPr>
          <w:p>
            <w:pPr>
              <w:pStyle w:val="Compact"/>
              <w:jc w:val="left"/>
              <w:spacing w:before="20" w:after="20" w:line="220" w:lineRule="auto"/>
            </w:pPr>
            <w:r>
              <w:rPr>
                <w:sz w:val="15"/>
                <w:szCs w:val="15"/>
              </w:rPr>
              <w:t xml:space="preserve">Fact</w:t>
            </w:r>
          </w:p>
        </w:tc>
        <w:tc>
          <w:tcPr>
            <w:tcW w:w="904" w:type="dxa"/>
          </w:tcPr>
          <w:p>
            <w:pPr>
              <w:pStyle w:val="Compact"/>
              <w:jc w:val="left"/>
              <w:spacing w:before="20" w:after="20" w:line="220" w:lineRule="auto"/>
            </w:pPr>
            <w:r>
              <w:rPr>
                <w:sz w:val="15"/>
                <w:szCs w:val="15"/>
              </w:rPr>
              <w:t xml:space="preserve">3,423</w:t>
            </w:r>
          </w:p>
        </w:tc>
        <w:tc>
          <w:tcPr>
            <w:tcW w:w="904" w:type="dxa"/>
          </w:tcPr>
          <w:p>
            <w:pPr>
              <w:pStyle w:val="Compact"/>
              <w:jc w:val="left"/>
              <w:spacing w:before="20" w:after="20" w:line="220" w:lineRule="auto"/>
            </w:pPr>
            <w:r>
              <w:rPr>
                <w:sz w:val="15"/>
                <w:szCs w:val="15"/>
              </w:rPr>
              <w:t xml:space="preserve">3,701</w:t>
            </w:r>
          </w:p>
        </w:tc>
        <w:tc>
          <w:tcPr>
            <w:tcW w:w="904" w:type="dxa"/>
          </w:tcPr>
          <w:p>
            <w:pPr>
              <w:pStyle w:val="Compact"/>
              <w:spacing w:before="20" w:after="20" w:line="220" w:lineRule="auto"/>
            </w:pPr>
          </w:p>
        </w:tc>
        <w:tc>
          <w:tcPr>
            <w:tcW w:w="904" w:type="dxa"/>
          </w:tcPr>
          <w:p>
            <w:pPr>
              <w:pStyle w:val="Compact"/>
              <w:spacing w:before="20" w:after="20" w:line="220" w:lineRule="auto"/>
            </w:pPr>
          </w:p>
        </w:tc>
      </w:tr>
      <w:tr>
        <w:tc>
          <w:tcPr>
            <w:tcW w:w="6153" w:type="dxa"/>
          </w:tcPr>
          <w:p>
            <w:pPr>
              <w:pStyle w:val="Compact"/>
              <w:jc w:val="left"/>
              <w:spacing w:before="20" w:after="20" w:line="220" w:lineRule="auto"/>
            </w:pPr>
            <w:r>
              <w:rPr>
                <w:sz w:val="15"/>
                <w:szCs w:val="15"/>
              </w:rPr>
              <w:t xml:space="preserve">Absa Life Limited: administration, management and other expenses (non-attributable)</w:t>
            </w:r>
          </w:p>
        </w:tc>
        <w:tc>
          <w:tcPr>
            <w:tcW w:w="4796" w:type="dxa"/>
          </w:tcPr>
          <w:p>
            <w:pPr>
              <w:pStyle w:val="Compact"/>
              <w:jc w:val="left"/>
              <w:spacing w:before="20" w:after="20" w:line="220" w:lineRule="auto"/>
            </w:pPr>
            <w:r>
              <w:rPr>
                <w:sz w:val="15"/>
                <w:szCs w:val="15"/>
              </w:rPr>
              <w:t xml:space="preserve">Fact</w:t>
            </w:r>
          </w:p>
        </w:tc>
        <w:tc>
          <w:tcPr>
            <w:tcW w:w="904" w:type="dxa"/>
          </w:tcPr>
          <w:p>
            <w:pPr>
              <w:pStyle w:val="Compact"/>
              <w:jc w:val="left"/>
              <w:spacing w:before="20" w:after="20" w:line="220" w:lineRule="auto"/>
            </w:pPr>
            <w:r>
              <w:rPr>
                <w:sz w:val="15"/>
                <w:szCs w:val="15"/>
              </w:rPr>
              <w:t xml:space="preserve">244</w:t>
            </w:r>
          </w:p>
        </w:tc>
        <w:tc>
          <w:tcPr>
            <w:tcW w:w="904" w:type="dxa"/>
          </w:tcPr>
          <w:p>
            <w:pPr>
              <w:pStyle w:val="Compact"/>
              <w:jc w:val="left"/>
              <w:spacing w:before="20" w:after="20" w:line="220" w:lineRule="auto"/>
            </w:pPr>
            <w:r>
              <w:rPr>
                <w:sz w:val="15"/>
                <w:szCs w:val="15"/>
              </w:rPr>
              <w:t xml:space="preserve">293</w:t>
            </w:r>
          </w:p>
        </w:tc>
        <w:tc>
          <w:tcPr>
            <w:tcW w:w="904" w:type="dxa"/>
          </w:tcPr>
          <w:p>
            <w:pPr>
              <w:pStyle w:val="Compact"/>
              <w:spacing w:before="20" w:after="20" w:line="220" w:lineRule="auto"/>
            </w:pPr>
          </w:p>
        </w:tc>
        <w:tc>
          <w:tcPr>
            <w:tcW w:w="904" w:type="dxa"/>
          </w:tcPr>
          <w:p>
            <w:pPr>
              <w:pStyle w:val="Compact"/>
              <w:spacing w:before="20" w:after="20" w:line="220" w:lineRule="auto"/>
            </w:pPr>
          </w:p>
        </w:tc>
      </w:tr>
      <w:tr>
        <w:tc>
          <w:tcPr>
            <w:tcW w:w="6153" w:type="dxa"/>
          </w:tcPr>
          <w:p>
            <w:pPr>
              <w:pStyle w:val="Compact"/>
              <w:jc w:val="left"/>
              <w:spacing w:before="20" w:after="20" w:line="220" w:lineRule="auto"/>
            </w:pPr>
            <w:r>
              <w:rPr>
                <w:sz w:val="15"/>
                <w:szCs w:val="15"/>
              </w:rPr>
              <w:t xml:space="preserve">Absa Life Limited: profit after tax</w:t>
            </w:r>
          </w:p>
        </w:tc>
        <w:tc>
          <w:tcPr>
            <w:tcW w:w="4796" w:type="dxa"/>
          </w:tcPr>
          <w:p>
            <w:pPr>
              <w:pStyle w:val="Compact"/>
              <w:jc w:val="left"/>
              <w:spacing w:before="20" w:after="20" w:line="220" w:lineRule="auto"/>
            </w:pPr>
            <w:r>
              <w:rPr>
                <w:sz w:val="15"/>
                <w:szCs w:val="15"/>
              </w:rPr>
              <w:t xml:space="preserve">Fact</w:t>
            </w:r>
          </w:p>
        </w:tc>
        <w:tc>
          <w:tcPr>
            <w:tcW w:w="904" w:type="dxa"/>
          </w:tcPr>
          <w:p>
            <w:pPr>
              <w:pStyle w:val="Compact"/>
              <w:jc w:val="left"/>
              <w:spacing w:before="20" w:after="20" w:line="220" w:lineRule="auto"/>
            </w:pPr>
            <w:r>
              <w:rPr>
                <w:sz w:val="15"/>
                <w:szCs w:val="15"/>
              </w:rPr>
              <w:t xml:space="preserve">945</w:t>
            </w:r>
          </w:p>
        </w:tc>
        <w:tc>
          <w:tcPr>
            <w:tcW w:w="904" w:type="dxa"/>
          </w:tcPr>
          <w:p>
            <w:pPr>
              <w:pStyle w:val="Compact"/>
              <w:jc w:val="left"/>
              <w:spacing w:before="20" w:after="20" w:line="220" w:lineRule="auto"/>
            </w:pPr>
            <w:r>
              <w:rPr>
                <w:sz w:val="15"/>
                <w:szCs w:val="15"/>
              </w:rPr>
              <w:t xml:space="preserve">949</w:t>
            </w:r>
          </w:p>
        </w:tc>
        <w:tc>
          <w:tcPr>
            <w:tcW w:w="904" w:type="dxa"/>
          </w:tcPr>
          <w:p>
            <w:pPr>
              <w:pStyle w:val="Compact"/>
              <w:spacing w:before="20" w:after="20" w:line="220" w:lineRule="auto"/>
            </w:pPr>
          </w:p>
        </w:tc>
        <w:tc>
          <w:tcPr>
            <w:tcW w:w="904" w:type="dxa"/>
          </w:tcPr>
          <w:p>
            <w:pPr>
              <w:pStyle w:val="Compact"/>
              <w:spacing w:before="20" w:after="20" w:line="220" w:lineRule="auto"/>
            </w:pPr>
          </w:p>
        </w:tc>
      </w:tr>
      <w:tr>
        <w:tc>
          <w:tcPr>
            <w:tcW w:w="6153" w:type="dxa"/>
          </w:tcPr>
          <w:p>
            <w:pPr>
              <w:pStyle w:val="Compact"/>
              <w:jc w:val="left"/>
              <w:spacing w:before="20" w:after="20" w:line="220" w:lineRule="auto"/>
            </w:pPr>
            <w:r>
              <w:rPr>
                <w:sz w:val="15"/>
                <w:szCs w:val="15"/>
              </w:rPr>
              <w:t xml:space="preserve">Absa Life Limited: total shareholders’ funds</w:t>
            </w:r>
          </w:p>
        </w:tc>
        <w:tc>
          <w:tcPr>
            <w:tcW w:w="4796" w:type="dxa"/>
          </w:tcPr>
          <w:p>
            <w:pPr>
              <w:pStyle w:val="Compact"/>
              <w:jc w:val="left"/>
              <w:spacing w:before="20" w:after="20" w:line="220" w:lineRule="auto"/>
            </w:pPr>
            <w:r>
              <w:rPr>
                <w:sz w:val="15"/>
                <w:szCs w:val="15"/>
              </w:rPr>
              <w:t xml:space="preserve">Fact</w:t>
            </w:r>
          </w:p>
        </w:tc>
        <w:tc>
          <w:tcPr>
            <w:tcW w:w="904" w:type="dxa"/>
          </w:tcPr>
          <w:p>
            <w:pPr>
              <w:pStyle w:val="Compact"/>
              <w:jc w:val="left"/>
              <w:spacing w:before="20" w:after="20" w:line="220" w:lineRule="auto"/>
            </w:pPr>
            <w:r>
              <w:rPr>
                <w:sz w:val="15"/>
                <w:szCs w:val="15"/>
              </w:rPr>
              <w:t xml:space="preserve">1,424</w:t>
            </w:r>
          </w:p>
        </w:tc>
        <w:tc>
          <w:tcPr>
            <w:tcW w:w="904" w:type="dxa"/>
          </w:tcPr>
          <w:p>
            <w:pPr>
              <w:pStyle w:val="Compact"/>
              <w:jc w:val="left"/>
              <w:spacing w:before="20" w:after="20" w:line="220" w:lineRule="auto"/>
            </w:pPr>
            <w:r>
              <w:rPr>
                <w:sz w:val="15"/>
                <w:szCs w:val="15"/>
              </w:rPr>
              <w:t xml:space="preserve">1,825</w:t>
            </w:r>
          </w:p>
        </w:tc>
        <w:tc>
          <w:tcPr>
            <w:tcW w:w="904" w:type="dxa"/>
          </w:tcPr>
          <w:p>
            <w:pPr>
              <w:pStyle w:val="Compact"/>
              <w:spacing w:before="20" w:after="20" w:line="220" w:lineRule="auto"/>
            </w:pPr>
          </w:p>
        </w:tc>
        <w:tc>
          <w:tcPr>
            <w:tcW w:w="904" w:type="dxa"/>
          </w:tcPr>
          <w:p>
            <w:pPr>
              <w:pStyle w:val="Compact"/>
              <w:spacing w:before="20" w:after="20" w:line="220" w:lineRule="auto"/>
            </w:pPr>
          </w:p>
        </w:tc>
      </w:tr>
      <w:tr>
        <w:tc>
          <w:tcPr>
            <w:tcW w:w="6153" w:type="dxa"/>
          </w:tcPr>
          <w:p>
            <w:pPr>
              <w:pStyle w:val="Compact"/>
              <w:jc w:val="left"/>
              <w:spacing w:before="20" w:after="20" w:line="220" w:lineRule="auto"/>
            </w:pPr>
            <w:r>
              <w:rPr>
                <w:sz w:val="15"/>
                <w:szCs w:val="15"/>
              </w:rPr>
              <w:t xml:space="preserve">Absa Insurance Company Limited: insurance revenue</w:t>
            </w:r>
          </w:p>
        </w:tc>
        <w:tc>
          <w:tcPr>
            <w:tcW w:w="4796" w:type="dxa"/>
          </w:tcPr>
          <w:p>
            <w:pPr>
              <w:pStyle w:val="Compact"/>
              <w:jc w:val="left"/>
              <w:spacing w:before="20" w:after="20" w:line="220" w:lineRule="auto"/>
            </w:pPr>
            <w:r>
              <w:rPr>
                <w:sz w:val="15"/>
                <w:szCs w:val="15"/>
              </w:rPr>
              <w:t xml:space="preserve">Fact; KPMG survey, IFRS 17</w:t>
            </w:r>
          </w:p>
        </w:tc>
        <w:tc>
          <w:tcPr>
            <w:tcW w:w="904" w:type="dxa"/>
          </w:tcPr>
          <w:p>
            <w:pPr>
              <w:pStyle w:val="Compact"/>
              <w:jc w:val="left"/>
              <w:spacing w:before="20" w:after="20" w:line="220" w:lineRule="auto"/>
            </w:pPr>
            <w:r>
              <w:rPr>
                <w:sz w:val="15"/>
                <w:szCs w:val="15"/>
              </w:rPr>
              <w:t xml:space="preserve">3,727</w:t>
            </w:r>
          </w:p>
        </w:tc>
        <w:tc>
          <w:tcPr>
            <w:tcW w:w="904" w:type="dxa"/>
          </w:tcPr>
          <w:p>
            <w:pPr>
              <w:pStyle w:val="Compact"/>
              <w:jc w:val="left"/>
              <w:spacing w:before="20" w:after="20" w:line="220" w:lineRule="auto"/>
            </w:pPr>
            <w:r>
              <w:rPr>
                <w:sz w:val="15"/>
                <w:szCs w:val="15"/>
              </w:rPr>
              <w:t xml:space="preserve">3,987</w:t>
            </w:r>
          </w:p>
        </w:tc>
        <w:tc>
          <w:tcPr>
            <w:tcW w:w="904" w:type="dxa"/>
          </w:tcPr>
          <w:p>
            <w:pPr>
              <w:pStyle w:val="Compact"/>
              <w:spacing w:before="20" w:after="20" w:line="220" w:lineRule="auto"/>
            </w:pPr>
          </w:p>
        </w:tc>
        <w:tc>
          <w:tcPr>
            <w:tcW w:w="904" w:type="dxa"/>
          </w:tcPr>
          <w:p>
            <w:pPr>
              <w:pStyle w:val="Compact"/>
              <w:spacing w:before="20" w:after="20" w:line="220" w:lineRule="auto"/>
            </w:pPr>
          </w:p>
        </w:tc>
      </w:tr>
      <w:tr>
        <w:tc>
          <w:tcPr>
            <w:tcW w:w="6153" w:type="dxa"/>
          </w:tcPr>
          <w:p>
            <w:pPr>
              <w:pStyle w:val="Compact"/>
              <w:jc w:val="left"/>
              <w:spacing w:before="20" w:after="20" w:line="220" w:lineRule="auto"/>
            </w:pPr>
            <w:r>
              <w:rPr>
                <w:sz w:val="15"/>
                <w:szCs w:val="15"/>
              </w:rPr>
              <w:t xml:space="preserve">Absa Insurance Company Limited: insurance service expenses</w:t>
            </w:r>
          </w:p>
        </w:tc>
        <w:tc>
          <w:tcPr>
            <w:tcW w:w="4796" w:type="dxa"/>
          </w:tcPr>
          <w:p>
            <w:pPr>
              <w:pStyle w:val="Compact"/>
              <w:jc w:val="left"/>
              <w:spacing w:before="20" w:after="20" w:line="220" w:lineRule="auto"/>
            </w:pPr>
            <w:r>
              <w:rPr>
                <w:sz w:val="15"/>
                <w:szCs w:val="15"/>
              </w:rPr>
              <w:t xml:space="preserve">Fact</w:t>
            </w:r>
          </w:p>
        </w:tc>
        <w:tc>
          <w:tcPr>
            <w:tcW w:w="904" w:type="dxa"/>
          </w:tcPr>
          <w:p>
            <w:pPr>
              <w:pStyle w:val="Compact"/>
              <w:jc w:val="left"/>
              <w:spacing w:before="20" w:after="20" w:line="220" w:lineRule="auto"/>
            </w:pPr>
            <w:r>
              <w:rPr>
                <w:sz w:val="15"/>
                <w:szCs w:val="15"/>
              </w:rPr>
              <w:t xml:space="preserve">3,189</w:t>
            </w:r>
          </w:p>
        </w:tc>
        <w:tc>
          <w:tcPr>
            <w:tcW w:w="904" w:type="dxa"/>
          </w:tcPr>
          <w:p>
            <w:pPr>
              <w:pStyle w:val="Compact"/>
              <w:jc w:val="left"/>
              <w:spacing w:before="20" w:after="20" w:line="220" w:lineRule="auto"/>
            </w:pPr>
            <w:r>
              <w:rPr>
                <w:sz w:val="15"/>
                <w:szCs w:val="15"/>
              </w:rPr>
              <w:t xml:space="preserve">3,269</w:t>
            </w:r>
          </w:p>
        </w:tc>
        <w:tc>
          <w:tcPr>
            <w:tcW w:w="904" w:type="dxa"/>
          </w:tcPr>
          <w:p>
            <w:pPr>
              <w:pStyle w:val="Compact"/>
              <w:spacing w:before="20" w:after="20" w:line="220" w:lineRule="auto"/>
            </w:pPr>
          </w:p>
        </w:tc>
        <w:tc>
          <w:tcPr>
            <w:tcW w:w="904" w:type="dxa"/>
          </w:tcPr>
          <w:p>
            <w:pPr>
              <w:pStyle w:val="Compact"/>
              <w:spacing w:before="20" w:after="20" w:line="220" w:lineRule="auto"/>
            </w:pPr>
          </w:p>
        </w:tc>
      </w:tr>
      <w:tr>
        <w:tc>
          <w:tcPr>
            <w:tcW w:w="6153" w:type="dxa"/>
          </w:tcPr>
          <w:p>
            <w:pPr>
              <w:pStyle w:val="Compact"/>
              <w:jc w:val="left"/>
              <w:spacing w:before="20" w:after="20" w:line="220" w:lineRule="auto"/>
            </w:pPr>
            <w:r>
              <w:rPr>
                <w:sz w:val="15"/>
                <w:szCs w:val="15"/>
              </w:rPr>
              <w:t xml:space="preserve">Absa Insurance Company Limited: administration, management and other expenses (non-attributable)</w:t>
            </w:r>
          </w:p>
        </w:tc>
        <w:tc>
          <w:tcPr>
            <w:tcW w:w="4796" w:type="dxa"/>
          </w:tcPr>
          <w:p>
            <w:pPr>
              <w:pStyle w:val="Compact"/>
              <w:jc w:val="left"/>
              <w:spacing w:before="20" w:after="20" w:line="220" w:lineRule="auto"/>
            </w:pPr>
            <w:r>
              <w:rPr>
                <w:sz w:val="15"/>
                <w:szCs w:val="15"/>
              </w:rPr>
              <w:t xml:space="preserve">Fact</w:t>
            </w:r>
          </w:p>
        </w:tc>
        <w:tc>
          <w:tcPr>
            <w:tcW w:w="904" w:type="dxa"/>
          </w:tcPr>
          <w:p>
            <w:pPr>
              <w:pStyle w:val="Compact"/>
              <w:jc w:val="left"/>
              <w:spacing w:before="20" w:after="20" w:line="220" w:lineRule="auto"/>
            </w:pPr>
            <w:r>
              <w:rPr>
                <w:sz w:val="15"/>
                <w:szCs w:val="15"/>
              </w:rPr>
              <w:t xml:space="preserve">432</w:t>
            </w:r>
          </w:p>
        </w:tc>
        <w:tc>
          <w:tcPr>
            <w:tcW w:w="904" w:type="dxa"/>
          </w:tcPr>
          <w:p>
            <w:pPr>
              <w:pStyle w:val="Compact"/>
              <w:jc w:val="left"/>
              <w:spacing w:before="20" w:after="20" w:line="220" w:lineRule="auto"/>
            </w:pPr>
            <w:r>
              <w:rPr>
                <w:sz w:val="15"/>
                <w:szCs w:val="15"/>
              </w:rPr>
              <w:t xml:space="preserve">472</w:t>
            </w:r>
          </w:p>
        </w:tc>
        <w:tc>
          <w:tcPr>
            <w:tcW w:w="904" w:type="dxa"/>
          </w:tcPr>
          <w:p>
            <w:pPr>
              <w:pStyle w:val="Compact"/>
              <w:spacing w:before="20" w:after="20" w:line="220" w:lineRule="auto"/>
            </w:pPr>
          </w:p>
        </w:tc>
        <w:tc>
          <w:tcPr>
            <w:tcW w:w="904" w:type="dxa"/>
          </w:tcPr>
          <w:p>
            <w:pPr>
              <w:pStyle w:val="Compact"/>
              <w:spacing w:before="20" w:after="20" w:line="220" w:lineRule="auto"/>
            </w:pPr>
          </w:p>
        </w:tc>
      </w:tr>
      <w:tr>
        <w:tc>
          <w:tcPr>
            <w:tcW w:w="6153" w:type="dxa"/>
          </w:tcPr>
          <w:p>
            <w:pPr>
              <w:pStyle w:val="Compact"/>
              <w:jc w:val="left"/>
              <w:spacing w:before="20" w:after="20" w:line="220" w:lineRule="auto"/>
            </w:pPr>
            <w:r>
              <w:rPr>
                <w:sz w:val="15"/>
                <w:szCs w:val="15"/>
              </w:rPr>
              <w:t xml:space="preserve">Absa Insurance Company Limited: profit after tax</w:t>
            </w:r>
          </w:p>
        </w:tc>
        <w:tc>
          <w:tcPr>
            <w:tcW w:w="4796" w:type="dxa"/>
          </w:tcPr>
          <w:p>
            <w:pPr>
              <w:pStyle w:val="Compact"/>
              <w:jc w:val="left"/>
              <w:spacing w:before="20" w:after="20" w:line="220" w:lineRule="auto"/>
            </w:pPr>
            <w:r>
              <w:rPr>
                <w:sz w:val="15"/>
                <w:szCs w:val="15"/>
              </w:rPr>
              <w:t xml:space="preserve">Fact</w:t>
            </w:r>
          </w:p>
        </w:tc>
        <w:tc>
          <w:tcPr>
            <w:tcW w:w="904" w:type="dxa"/>
          </w:tcPr>
          <w:p>
            <w:pPr>
              <w:pStyle w:val="Compact"/>
              <w:jc w:val="left"/>
              <w:spacing w:before="20" w:after="20" w:line="220" w:lineRule="auto"/>
            </w:pPr>
            <w:r>
              <w:rPr>
                <w:sz w:val="15"/>
                <w:szCs w:val="15"/>
              </w:rPr>
              <w:t xml:space="preserve">202</w:t>
            </w:r>
          </w:p>
        </w:tc>
        <w:tc>
          <w:tcPr>
            <w:tcW w:w="904" w:type="dxa"/>
          </w:tcPr>
          <w:p>
            <w:pPr>
              <w:pStyle w:val="Compact"/>
              <w:jc w:val="left"/>
              <w:spacing w:before="20" w:after="20" w:line="220" w:lineRule="auto"/>
            </w:pPr>
            <w:r>
              <w:rPr>
                <w:sz w:val="15"/>
                <w:szCs w:val="15"/>
              </w:rPr>
              <w:t xml:space="preserve">312</w:t>
            </w:r>
          </w:p>
        </w:tc>
        <w:tc>
          <w:tcPr>
            <w:tcW w:w="904" w:type="dxa"/>
          </w:tcPr>
          <w:p>
            <w:pPr>
              <w:pStyle w:val="Compact"/>
              <w:spacing w:before="20" w:after="20" w:line="220" w:lineRule="auto"/>
            </w:pPr>
          </w:p>
        </w:tc>
        <w:tc>
          <w:tcPr>
            <w:tcW w:w="904" w:type="dxa"/>
          </w:tcPr>
          <w:p>
            <w:pPr>
              <w:pStyle w:val="Compact"/>
              <w:spacing w:before="20" w:after="20" w:line="220" w:lineRule="auto"/>
            </w:pPr>
          </w:p>
        </w:tc>
      </w:tr>
      <w:tr>
        <w:tc>
          <w:tcPr>
            <w:tcW w:w="6153" w:type="dxa"/>
          </w:tcPr>
          <w:p>
            <w:pPr>
              <w:pStyle w:val="Compact"/>
              <w:jc w:val="left"/>
              <w:spacing w:before="20" w:after="20" w:line="220" w:lineRule="auto"/>
            </w:pPr>
            <w:r>
              <w:rPr>
                <w:sz w:val="15"/>
                <w:szCs w:val="15"/>
              </w:rPr>
              <w:t xml:space="preserve">Absa Insurance Company Limited: total shareholders’ funds</w:t>
            </w:r>
          </w:p>
        </w:tc>
        <w:tc>
          <w:tcPr>
            <w:tcW w:w="4796" w:type="dxa"/>
          </w:tcPr>
          <w:p>
            <w:pPr>
              <w:pStyle w:val="Compact"/>
              <w:jc w:val="left"/>
              <w:spacing w:before="20" w:after="20" w:line="220" w:lineRule="auto"/>
            </w:pPr>
            <w:r>
              <w:rPr>
                <w:sz w:val="15"/>
                <w:szCs w:val="15"/>
              </w:rPr>
              <w:t xml:space="preserve">Fact</w:t>
            </w:r>
          </w:p>
        </w:tc>
        <w:tc>
          <w:tcPr>
            <w:tcW w:w="904" w:type="dxa"/>
          </w:tcPr>
          <w:p>
            <w:pPr>
              <w:pStyle w:val="Compact"/>
              <w:jc w:val="left"/>
              <w:spacing w:before="20" w:after="20" w:line="220" w:lineRule="auto"/>
            </w:pPr>
            <w:r>
              <w:rPr>
                <w:sz w:val="15"/>
                <w:szCs w:val="15"/>
              </w:rPr>
              <w:t xml:space="preserve">1,650</w:t>
            </w:r>
          </w:p>
        </w:tc>
        <w:tc>
          <w:tcPr>
            <w:tcW w:w="904" w:type="dxa"/>
          </w:tcPr>
          <w:p>
            <w:pPr>
              <w:pStyle w:val="Compact"/>
              <w:jc w:val="left"/>
              <w:spacing w:before="20" w:after="20" w:line="220" w:lineRule="auto"/>
            </w:pPr>
            <w:r>
              <w:rPr>
                <w:sz w:val="15"/>
                <w:szCs w:val="15"/>
              </w:rPr>
              <w:t xml:space="preserve">1,828</w:t>
            </w:r>
          </w:p>
        </w:tc>
        <w:tc>
          <w:tcPr>
            <w:tcW w:w="904" w:type="dxa"/>
          </w:tcPr>
          <w:p>
            <w:pPr>
              <w:pStyle w:val="Compact"/>
              <w:spacing w:before="20" w:after="20" w:line="220" w:lineRule="auto"/>
            </w:pPr>
          </w:p>
        </w:tc>
        <w:tc>
          <w:tcPr>
            <w:tcW w:w="904" w:type="dxa"/>
          </w:tcPr>
          <w:p>
            <w:pPr>
              <w:pStyle w:val="Compact"/>
              <w:spacing w:before="20" w:after="20" w:line="220" w:lineRule="auto"/>
            </w:pPr>
          </w:p>
        </w:tc>
      </w:tr>
      <w:tr>
        <w:tc>
          <w:tcPr>
            <w:tcW w:w="6153" w:type="dxa"/>
          </w:tcPr>
          <w:p>
            <w:pPr>
              <w:pStyle w:val="Compact"/>
              <w:jc w:val="left"/>
              <w:spacing w:before="20" w:after="20" w:line="220" w:lineRule="auto"/>
            </w:pPr>
            <w:r>
              <w:rPr>
                <w:sz w:val="15"/>
                <w:szCs w:val="15"/>
              </w:rPr>
              <w:t xml:space="preserve">Absa Life: SAM cover ratio</w:t>
            </w:r>
          </w:p>
        </w:tc>
        <w:tc>
          <w:tcPr>
            <w:tcW w:w="4796" w:type="dxa"/>
          </w:tcPr>
          <w:p>
            <w:pPr>
              <w:pStyle w:val="Compact"/>
              <w:jc w:val="left"/>
              <w:spacing w:before="20" w:after="20" w:line="220" w:lineRule="auto"/>
            </w:pPr>
            <w:r>
              <w:rPr>
                <w:sz w:val="15"/>
                <w:szCs w:val="15"/>
              </w:rPr>
              <w:t xml:space="preserve">Fact; unaudited, before foreseeable dividends</w:t>
            </w:r>
          </w:p>
        </w:tc>
        <w:tc>
          <w:tcPr>
            <w:tcW w:w="904" w:type="dxa"/>
          </w:tcPr>
          <w:p>
            <w:pPr>
              <w:pStyle w:val="Compact"/>
              <w:jc w:val="left"/>
              <w:spacing w:before="20" w:after="20" w:line="220" w:lineRule="auto"/>
            </w:pPr>
            <w:r>
              <w:rPr>
                <w:sz w:val="15"/>
                <w:szCs w:val="15"/>
              </w:rPr>
              <w:t xml:space="preserve">142.0%</w:t>
            </w:r>
          </w:p>
        </w:tc>
        <w:tc>
          <w:tcPr>
            <w:tcW w:w="904" w:type="dxa"/>
          </w:tcPr>
          <w:p>
            <w:pPr>
              <w:pStyle w:val="Compact"/>
              <w:jc w:val="left"/>
              <w:spacing w:before="20" w:after="20" w:line="220" w:lineRule="auto"/>
            </w:pPr>
            <w:r>
              <w:rPr>
                <w:sz w:val="15"/>
                <w:szCs w:val="15"/>
              </w:rPr>
              <w:t xml:space="preserve">142.0%</w:t>
            </w:r>
          </w:p>
        </w:tc>
        <w:tc>
          <w:tcPr>
            <w:tcW w:w="904" w:type="dxa"/>
          </w:tcPr>
          <w:p>
            <w:pPr>
              <w:pStyle w:val="Compact"/>
              <w:jc w:val="left"/>
              <w:spacing w:before="20" w:after="20" w:line="220" w:lineRule="auto"/>
            </w:pPr>
            <w:r>
              <w:rPr>
                <w:sz w:val="15"/>
                <w:szCs w:val="15"/>
              </w:rPr>
              <w:t xml:space="preserve">151.0%</w:t>
            </w:r>
          </w:p>
        </w:tc>
        <w:tc>
          <w:tcPr>
            <w:tcW w:w="904" w:type="dxa"/>
          </w:tcPr>
          <w:p>
            <w:pPr>
              <w:pStyle w:val="Compact"/>
              <w:spacing w:before="20" w:after="20" w:line="220" w:lineRule="auto"/>
            </w:pPr>
          </w:p>
        </w:tc>
      </w:tr>
      <w:tr>
        <w:tc>
          <w:tcPr>
            <w:tcW w:w="6153" w:type="dxa"/>
          </w:tcPr>
          <w:p>
            <w:pPr>
              <w:pStyle w:val="Compact"/>
              <w:jc w:val="left"/>
              <w:spacing w:before="20" w:after="20" w:line="220" w:lineRule="auto"/>
            </w:pPr>
            <w:r>
              <w:rPr>
                <w:sz w:val="15"/>
                <w:szCs w:val="15"/>
              </w:rPr>
              <w:t xml:space="preserve">AIC: SAM cover ratio</w:t>
            </w:r>
          </w:p>
        </w:tc>
        <w:tc>
          <w:tcPr>
            <w:tcW w:w="4796" w:type="dxa"/>
          </w:tcPr>
          <w:p>
            <w:pPr>
              <w:pStyle w:val="Compact"/>
              <w:jc w:val="left"/>
              <w:spacing w:before="20" w:after="20" w:line="220" w:lineRule="auto"/>
            </w:pPr>
            <w:r>
              <w:rPr>
                <w:sz w:val="15"/>
                <w:szCs w:val="15"/>
              </w:rPr>
              <w:t xml:space="preserve">Fact; unaudited, before foreseeable dividends</w:t>
            </w:r>
          </w:p>
        </w:tc>
        <w:tc>
          <w:tcPr>
            <w:tcW w:w="904" w:type="dxa"/>
          </w:tcPr>
          <w:p>
            <w:pPr>
              <w:pStyle w:val="Compact"/>
              <w:jc w:val="left"/>
              <w:spacing w:before="20" w:after="20" w:line="220" w:lineRule="auto"/>
            </w:pPr>
            <w:r>
              <w:rPr>
                <w:sz w:val="15"/>
                <w:szCs w:val="15"/>
              </w:rPr>
              <w:t xml:space="preserve">161.0%</w:t>
            </w:r>
          </w:p>
        </w:tc>
        <w:tc>
          <w:tcPr>
            <w:tcW w:w="904" w:type="dxa"/>
          </w:tcPr>
          <w:p>
            <w:pPr>
              <w:pStyle w:val="Compact"/>
              <w:jc w:val="left"/>
              <w:spacing w:before="20" w:after="20" w:line="220" w:lineRule="auto"/>
            </w:pPr>
            <w:r>
              <w:rPr>
                <w:sz w:val="15"/>
                <w:szCs w:val="15"/>
              </w:rPr>
              <w:t xml:space="preserve">152.0%</w:t>
            </w:r>
          </w:p>
        </w:tc>
        <w:tc>
          <w:tcPr>
            <w:tcW w:w="904" w:type="dxa"/>
          </w:tcPr>
          <w:p>
            <w:pPr>
              <w:pStyle w:val="Compact"/>
              <w:jc w:val="left"/>
              <w:spacing w:before="20" w:after="20" w:line="220" w:lineRule="auto"/>
            </w:pPr>
            <w:r>
              <w:rPr>
                <w:sz w:val="15"/>
                <w:szCs w:val="15"/>
              </w:rPr>
              <w:t xml:space="preserve">181.0%</w:t>
            </w:r>
          </w:p>
        </w:tc>
        <w:tc>
          <w:tcPr>
            <w:tcW w:w="904" w:type="dxa"/>
          </w:tcPr>
          <w:p>
            <w:pPr>
              <w:pStyle w:val="Compact"/>
              <w:spacing w:before="20" w:after="20" w:line="220" w:lineRule="auto"/>
            </w:pPr>
          </w:p>
        </w:tc>
      </w:tr>
      <w:tr>
        <w:tc>
          <w:tcPr>
            <w:tcW w:w="6153" w:type="dxa"/>
          </w:tcPr>
          <w:p>
            <w:pPr>
              <w:pStyle w:val="Compact"/>
              <w:jc w:val="left"/>
              <w:spacing w:before="20" w:after="20" w:line="220" w:lineRule="auto"/>
            </w:pPr>
            <w:r>
              <w:rPr>
                <w:sz w:val="15"/>
                <w:szCs w:val="15"/>
              </w:rPr>
              <w:t xml:space="preserve">ARTIC: SAM cover ratio</w:t>
            </w:r>
          </w:p>
        </w:tc>
        <w:tc>
          <w:tcPr>
            <w:tcW w:w="4796" w:type="dxa"/>
          </w:tcPr>
          <w:p>
            <w:pPr>
              <w:pStyle w:val="Compact"/>
              <w:jc w:val="left"/>
              <w:spacing w:before="20" w:after="20" w:line="220" w:lineRule="auto"/>
            </w:pPr>
            <w:r>
              <w:rPr>
                <w:sz w:val="15"/>
                <w:szCs w:val="15"/>
              </w:rPr>
              <w:t xml:space="preserve">Fact; unaudited, before foreseeable dividends</w:t>
            </w:r>
          </w:p>
        </w:tc>
        <w:tc>
          <w:tcPr>
            <w:tcW w:w="904" w:type="dxa"/>
          </w:tcPr>
          <w:p>
            <w:pPr>
              <w:pStyle w:val="Compact"/>
              <w:spacing w:before="20" w:after="20" w:line="220" w:lineRule="auto"/>
            </w:pPr>
          </w:p>
        </w:tc>
        <w:tc>
          <w:tcPr>
            <w:tcW w:w="904" w:type="dxa"/>
          </w:tcPr>
          <w:p>
            <w:pPr>
              <w:pStyle w:val="Compact"/>
              <w:jc w:val="left"/>
              <w:spacing w:before="20" w:after="20" w:line="220" w:lineRule="auto"/>
            </w:pPr>
            <w:r>
              <w:rPr>
                <w:sz w:val="15"/>
                <w:szCs w:val="15"/>
              </w:rPr>
              <w:t xml:space="preserve">157.0%</w:t>
            </w:r>
          </w:p>
        </w:tc>
        <w:tc>
          <w:tcPr>
            <w:tcW w:w="904" w:type="dxa"/>
          </w:tcPr>
          <w:p>
            <w:pPr>
              <w:pStyle w:val="Compact"/>
              <w:jc w:val="left"/>
              <w:spacing w:before="20" w:after="20" w:line="220" w:lineRule="auto"/>
            </w:pPr>
            <w:r>
              <w:rPr>
                <w:sz w:val="15"/>
                <w:szCs w:val="15"/>
              </w:rPr>
              <w:t xml:space="preserve">2.11</w:t>
            </w:r>
          </w:p>
        </w:tc>
        <w:tc>
          <w:tcPr>
            <w:tcW w:w="904" w:type="dxa"/>
          </w:tcPr>
          <w:p>
            <w:pPr>
              <w:pStyle w:val="Compact"/>
              <w:spacing w:before="20" w:after="20" w:line="220" w:lineRule="auto"/>
            </w:pPr>
          </w:p>
        </w:tc>
      </w:tr>
      <w:tr>
        <w:tc>
          <w:tcPr>
            <w:tcW w:w="6153" w:type="dxa"/>
          </w:tcPr>
          <w:p>
            <w:pPr>
              <w:pStyle w:val="Compact"/>
              <w:jc w:val="left"/>
              <w:spacing w:before="20" w:after="20" w:line="220" w:lineRule="auto"/>
            </w:pPr>
            <w:r>
              <w:rPr>
                <w:sz w:val="15"/>
                <w:szCs w:val="15"/>
              </w:rPr>
              <w:t xml:space="preserve">AFS insurance group: SAM cover ratio</w:t>
            </w:r>
          </w:p>
        </w:tc>
        <w:tc>
          <w:tcPr>
            <w:tcW w:w="4796" w:type="dxa"/>
          </w:tcPr>
          <w:p>
            <w:pPr>
              <w:pStyle w:val="Compact"/>
              <w:jc w:val="left"/>
              <w:spacing w:before="20" w:after="20" w:line="220" w:lineRule="auto"/>
            </w:pPr>
            <w:r>
              <w:rPr>
                <w:sz w:val="15"/>
                <w:szCs w:val="15"/>
              </w:rPr>
              <w:t xml:space="preserve">Fact; unaudited, before foreseeable dividends</w:t>
            </w:r>
          </w:p>
        </w:tc>
        <w:tc>
          <w:tcPr>
            <w:tcW w:w="904" w:type="dxa"/>
          </w:tcPr>
          <w:p>
            <w:pPr>
              <w:pStyle w:val="Compact"/>
              <w:jc w:val="left"/>
              <w:spacing w:before="20" w:after="20" w:line="220" w:lineRule="auto"/>
            </w:pPr>
            <w:r>
              <w:rPr>
                <w:sz w:val="15"/>
                <w:szCs w:val="15"/>
              </w:rPr>
              <w:t xml:space="preserve">136.0%</w:t>
            </w:r>
          </w:p>
        </w:tc>
        <w:tc>
          <w:tcPr>
            <w:tcW w:w="904" w:type="dxa"/>
          </w:tcPr>
          <w:p>
            <w:pPr>
              <w:pStyle w:val="Compact"/>
              <w:jc w:val="left"/>
              <w:spacing w:before="20" w:after="20" w:line="220" w:lineRule="auto"/>
            </w:pPr>
            <w:r>
              <w:rPr>
                <w:sz w:val="15"/>
                <w:szCs w:val="15"/>
              </w:rPr>
              <w:t xml:space="preserve">133.0%</w:t>
            </w:r>
          </w:p>
        </w:tc>
        <w:tc>
          <w:tcPr>
            <w:tcW w:w="904" w:type="dxa"/>
          </w:tcPr>
          <w:p>
            <w:pPr>
              <w:pStyle w:val="Compact"/>
              <w:jc w:val="left"/>
              <w:spacing w:before="20" w:after="20" w:line="220" w:lineRule="auto"/>
            </w:pPr>
            <w:r>
              <w:rPr>
                <w:sz w:val="15"/>
                <w:szCs w:val="15"/>
              </w:rPr>
              <w:t xml:space="preserve">149.0%</w:t>
            </w:r>
          </w:p>
        </w:tc>
        <w:tc>
          <w:tcPr>
            <w:tcW w:w="904" w:type="dxa"/>
          </w:tcPr>
          <w:p>
            <w:pPr>
              <w:pStyle w:val="Compact"/>
              <w:spacing w:before="20" w:after="20" w:line="220" w:lineRule="auto"/>
            </w:pPr>
          </w:p>
        </w:tc>
      </w:tr>
      <w:tr>
        <w:tc>
          <w:tcPr>
            <w:tcW w:w="6153" w:type="dxa"/>
          </w:tcPr>
          <w:p>
            <w:pPr>
              <w:pStyle w:val="Compact"/>
              <w:jc w:val="left"/>
              <w:spacing w:before="20" w:after="20" w:line="220" w:lineRule="auto"/>
            </w:pPr>
            <w:r>
              <w:rPr>
                <w:sz w:val="15"/>
                <w:szCs w:val="15"/>
              </w:rPr>
              <w:t xml:space="preserve">Insurance SA: total equity (segment)</w:t>
            </w:r>
          </w:p>
        </w:tc>
        <w:tc>
          <w:tcPr>
            <w:tcW w:w="4796" w:type="dxa"/>
          </w:tcPr>
          <w:p>
            <w:pPr>
              <w:pStyle w:val="Compact"/>
              <w:jc w:val="left"/>
              <w:spacing w:before="20" w:after="20" w:line="220" w:lineRule="auto"/>
            </w:pPr>
            <w:r>
              <w:rPr>
                <w:sz w:val="15"/>
                <w:szCs w:val="15"/>
              </w:rPr>
              <w:t xml:space="preserve">Fact</w:t>
            </w:r>
          </w:p>
        </w:tc>
        <w:tc>
          <w:tcPr>
            <w:tcW w:w="904" w:type="dxa"/>
          </w:tcPr>
          <w:p>
            <w:pPr>
              <w:pStyle w:val="Compact"/>
              <w:spacing w:before="20" w:after="20" w:line="220" w:lineRule="auto"/>
            </w:pPr>
          </w:p>
        </w:tc>
        <w:tc>
          <w:tcPr>
            <w:tcW w:w="904" w:type="dxa"/>
          </w:tcPr>
          <w:p>
            <w:pPr>
              <w:pStyle w:val="Compact"/>
              <w:jc w:val="left"/>
              <w:spacing w:before="20" w:after="20" w:line="220" w:lineRule="auto"/>
            </w:pPr>
            <w:r>
              <w:rPr>
                <w:sz w:val="15"/>
                <w:szCs w:val="15"/>
              </w:rPr>
              <w:t xml:space="preserve">5,188</w:t>
            </w:r>
          </w:p>
        </w:tc>
        <w:tc>
          <w:tcPr>
            <w:tcW w:w="904" w:type="dxa"/>
          </w:tcPr>
          <w:p>
            <w:pPr>
              <w:pStyle w:val="Compact"/>
              <w:jc w:val="left"/>
              <w:spacing w:before="20" w:after="20" w:line="220" w:lineRule="auto"/>
            </w:pPr>
            <w:r>
              <w:rPr>
                <w:sz w:val="15"/>
                <w:szCs w:val="15"/>
              </w:rPr>
              <w:t xml:space="preserve">5,540</w:t>
            </w:r>
          </w:p>
        </w:tc>
        <w:tc>
          <w:tcPr>
            <w:tcW w:w="904" w:type="dxa"/>
          </w:tcPr>
          <w:p>
            <w:pPr>
              <w:pStyle w:val="Compact"/>
              <w:jc w:val="left"/>
              <w:spacing w:before="20" w:after="20" w:line="220" w:lineRule="auto"/>
            </w:pPr>
            <w:r>
              <w:rPr>
                <w:sz w:val="15"/>
                <w:szCs w:val="15"/>
              </w:rPr>
              <w:t xml:space="preserve">5,405</w:t>
            </w:r>
          </w:p>
        </w:tc>
      </w:tr>
      <w:tr>
        <w:tc>
          <w:tcPr>
            <w:tcW w:w="6153" w:type="dxa"/>
          </w:tcPr>
          <w:p>
            <w:pPr>
              <w:pStyle w:val="Compact"/>
              <w:jc w:val="left"/>
              <w:spacing w:before="20" w:after="20" w:line="220" w:lineRule="auto"/>
            </w:pPr>
            <w:r>
              <w:rPr>
                <w:sz w:val="15"/>
                <w:szCs w:val="15"/>
              </w:rPr>
              <w:t xml:space="preserve">Insurance SA: shareholder funds (assets)</w:t>
            </w:r>
          </w:p>
        </w:tc>
        <w:tc>
          <w:tcPr>
            <w:tcW w:w="4796" w:type="dxa"/>
          </w:tcPr>
          <w:p>
            <w:pPr>
              <w:pStyle w:val="Compact"/>
              <w:jc w:val="left"/>
              <w:spacing w:before="20" w:after="20" w:line="220" w:lineRule="auto"/>
            </w:pPr>
            <w:r>
              <w:rPr>
                <w:sz w:val="15"/>
                <w:szCs w:val="15"/>
              </w:rPr>
              <w:t xml:space="preserve">Fact</w:t>
            </w:r>
          </w:p>
        </w:tc>
        <w:tc>
          <w:tcPr>
            <w:tcW w:w="904" w:type="dxa"/>
          </w:tcPr>
          <w:p>
            <w:pPr>
              <w:pStyle w:val="Compact"/>
              <w:spacing w:before="20" w:after="20" w:line="220" w:lineRule="auto"/>
            </w:pPr>
          </w:p>
        </w:tc>
        <w:tc>
          <w:tcPr>
            <w:tcW w:w="904" w:type="dxa"/>
          </w:tcPr>
          <w:p>
            <w:pPr>
              <w:pStyle w:val="Compact"/>
              <w:jc w:val="left"/>
              <w:spacing w:before="20" w:after="20" w:line="220" w:lineRule="auto"/>
            </w:pPr>
            <w:r>
              <w:rPr>
                <w:sz w:val="15"/>
                <w:szCs w:val="15"/>
              </w:rPr>
              <w:t xml:space="preserve">3,077</w:t>
            </w:r>
          </w:p>
        </w:tc>
        <w:tc>
          <w:tcPr>
            <w:tcW w:w="904" w:type="dxa"/>
          </w:tcPr>
          <w:p>
            <w:pPr>
              <w:pStyle w:val="Compact"/>
              <w:jc w:val="left"/>
              <w:spacing w:before="20" w:after="20" w:line="220" w:lineRule="auto"/>
            </w:pPr>
            <w:r>
              <w:rPr>
                <w:sz w:val="15"/>
                <w:szCs w:val="15"/>
              </w:rPr>
              <w:t xml:space="preserve">3,294</w:t>
            </w:r>
          </w:p>
        </w:tc>
        <w:tc>
          <w:tcPr>
            <w:tcW w:w="904" w:type="dxa"/>
          </w:tcPr>
          <w:p>
            <w:pPr>
              <w:pStyle w:val="Compact"/>
              <w:spacing w:before="20" w:after="20" w:line="220" w:lineRule="auto"/>
            </w:pPr>
          </w:p>
        </w:tc>
      </w:tr>
      <w:tr>
        <w:tc>
          <w:tcPr>
            <w:tcW w:w="6153" w:type="dxa"/>
          </w:tcPr>
          <w:p>
            <w:pPr>
              <w:pStyle w:val="Compact"/>
              <w:jc w:val="left"/>
              <w:spacing w:before="20" w:after="20" w:line="220" w:lineRule="auto"/>
            </w:pPr>
            <w:r>
              <w:rPr>
                <w:sz w:val="15"/>
                <w:szCs w:val="15"/>
              </w:rPr>
              <w:t xml:space="preserve">Reconciliation FY2024: KPMG entity revenue (Absa Life + AIC) less Insurance SA revenue</w:t>
            </w:r>
          </w:p>
        </w:tc>
        <w:tc>
          <w:tcPr>
            <w:tcW w:w="4796" w:type="dxa"/>
          </w:tcPr>
          <w:p>
            <w:pPr>
              <w:pStyle w:val="Compact"/>
              <w:jc w:val="left"/>
              <w:spacing w:before="20" w:after="20" w:line="220" w:lineRule="auto"/>
            </w:pPr>
            <w:r>
              <w:rPr>
                <w:sz w:val="15"/>
                <w:szCs w:val="15"/>
              </w:rPr>
              <w:t xml:space="preserve">Derived</w:t>
            </w:r>
          </w:p>
        </w:tc>
        <w:tc>
          <w:tcPr>
            <w:tcW w:w="904" w:type="dxa"/>
          </w:tcPr>
          <w:p>
            <w:pPr>
              <w:pStyle w:val="Compact"/>
              <w:spacing w:before="20" w:after="20" w:line="220" w:lineRule="auto"/>
            </w:pPr>
          </w:p>
        </w:tc>
        <w:tc>
          <w:tcPr>
            <w:tcW w:w="904" w:type="dxa"/>
          </w:tcPr>
          <w:p>
            <w:pPr>
              <w:pStyle w:val="Compact"/>
              <w:jc w:val="left"/>
              <w:spacing w:before="20" w:after="20" w:line="220" w:lineRule="auto"/>
            </w:pPr>
            <w:r>
              <w:rPr>
                <w:sz w:val="15"/>
                <w:szCs w:val="15"/>
              </w:rPr>
              <w:t xml:space="preserve">82</w:t>
            </w:r>
          </w:p>
        </w:tc>
        <w:tc>
          <w:tcPr>
            <w:tcW w:w="904" w:type="dxa"/>
          </w:tcPr>
          <w:p>
            <w:pPr>
              <w:pStyle w:val="Compact"/>
              <w:spacing w:before="20" w:after="20" w:line="220" w:lineRule="auto"/>
            </w:pPr>
          </w:p>
        </w:tc>
        <w:tc>
          <w:tcPr>
            <w:tcW w:w="904" w:type="dxa"/>
          </w:tcPr>
          <w:p>
            <w:pPr>
              <w:pStyle w:val="Compact"/>
              <w:spacing w:before="20" w:after="20" w:line="220" w:lineRule="auto"/>
            </w:pPr>
          </w:p>
        </w:tc>
      </w:tr>
      <w:tr>
        <w:tc>
          <w:tcPr>
            <w:tcW w:w="6153" w:type="dxa"/>
          </w:tcPr>
          <w:p>
            <w:pPr>
              <w:pStyle w:val="Compact"/>
              <w:jc w:val="left"/>
              <w:spacing w:before="20" w:after="20" w:line="220" w:lineRule="auto"/>
            </w:pPr>
            <w:r>
              <w:rPr>
                <w:sz w:val="15"/>
                <w:szCs w:val="15"/>
              </w:rPr>
              <w:t xml:space="preserve">Reconciliation FY2024: KPMG entity non-attributable opex less Insurance SA other opex</w:t>
            </w:r>
          </w:p>
        </w:tc>
        <w:tc>
          <w:tcPr>
            <w:tcW w:w="4796" w:type="dxa"/>
          </w:tcPr>
          <w:p>
            <w:pPr>
              <w:pStyle w:val="Compact"/>
              <w:jc w:val="left"/>
              <w:spacing w:before="20" w:after="20" w:line="220" w:lineRule="auto"/>
            </w:pPr>
            <w:r>
              <w:rPr>
                <w:sz w:val="15"/>
                <w:szCs w:val="15"/>
              </w:rPr>
              <w:t xml:space="preserve">Derived</w:t>
            </w:r>
          </w:p>
        </w:tc>
        <w:tc>
          <w:tcPr>
            <w:tcW w:w="904" w:type="dxa"/>
          </w:tcPr>
          <w:p>
            <w:pPr>
              <w:pStyle w:val="Compact"/>
              <w:spacing w:before="20" w:after="20" w:line="220" w:lineRule="auto"/>
            </w:pPr>
          </w:p>
        </w:tc>
        <w:tc>
          <w:tcPr>
            <w:tcW w:w="904" w:type="dxa"/>
          </w:tcPr>
          <w:p>
            <w:pPr>
              <w:pStyle w:val="Compact"/>
              <w:jc w:val="left"/>
              <w:spacing w:before="20" w:after="20" w:line="220" w:lineRule="auto"/>
            </w:pPr>
            <w:r>
              <w:rPr>
                <w:sz w:val="15"/>
                <w:szCs w:val="15"/>
              </w:rPr>
              <w:t xml:space="preserve">-225</w:t>
            </w:r>
          </w:p>
        </w:tc>
        <w:tc>
          <w:tcPr>
            <w:tcW w:w="904" w:type="dxa"/>
          </w:tcPr>
          <w:p>
            <w:pPr>
              <w:pStyle w:val="Compact"/>
              <w:spacing w:before="20" w:after="20" w:line="220" w:lineRule="auto"/>
            </w:pPr>
          </w:p>
        </w:tc>
        <w:tc>
          <w:tcPr>
            <w:tcW w:w="904" w:type="dxa"/>
          </w:tcPr>
          <w:p>
            <w:pPr>
              <w:pStyle w:val="Compact"/>
              <w:spacing w:before="20" w:after="20" w:line="220" w:lineRule="auto"/>
            </w:pPr>
          </w:p>
        </w:tc>
      </w:tr>
    </w:tbl>
    <w:bookmarkEnd w:id="33"/>
    <w:bookmarkStart w:id="34" w:name="Xf0b1153ef47a4f2bce042f97d693a772baa99e7"/>
    <w:p>
      <w:pPr>
        <w:pStyle w:val="Heading4"/>
      </w:pPr>
      <w:r>
        <w:t xml:space="preserve">F. Top-down reconciliation: Group IFRS 17 to Insurance SA (insurance revenue)</w:t>
      </w:r>
    </w:p>
    <w:tbl>
      <w:tblPr>
        <w:tblStyle w:val="Table"/>
        <w:tblLook w:firstRow="1" w:lastRow="0" w:firstColumn="0" w:lastColumn="0" w:noHBand="0" w:noVBand="0" w:val="0020"/>
        <w:jc w:val="start"/>
        <w:tblW w:w="14567" w:type="dxa"/>
        <w:tblLayout w:type="fixed"/>
      </w:tblPr>
      <w:tblGrid>
        <w:gridCol w:w="8279"/>
        <w:gridCol w:w="1420"/>
        <w:gridCol w:w="1217"/>
        <w:gridCol w:w="1217"/>
        <w:gridCol w:w="1217"/>
        <w:gridCol w:w="1217"/>
      </w:tblGrid>
      <w:tr>
        <w:trPr>
          <w:tblHeader w:val="true"/>
        </w:trPr>
        <w:tc>
          <w:tcPr>
            <w:tcW w:w="8279" w:type="dxa"/>
          </w:tcPr>
          <w:p>
            <w:pPr>
              <w:pStyle w:val="Compact"/>
              <w:jc w:val="left"/>
              <w:spacing w:before="20" w:after="20" w:line="220" w:lineRule="auto"/>
            </w:pPr>
            <w:r>
              <w:rPr>
                <w:sz w:val="15"/>
                <w:szCs w:val="15"/>
              </w:rPr>
              <w:t xml:space="preserve">Line</w:t>
            </w:r>
          </w:p>
        </w:tc>
        <w:tc>
          <w:tcPr>
            <w:tcW w:w="1420" w:type="dxa"/>
          </w:tcPr>
          <w:p>
            <w:pPr>
              <w:pStyle w:val="Compact"/>
              <w:jc w:val="left"/>
              <w:spacing w:before="20" w:after="20" w:line="220" w:lineRule="auto"/>
            </w:pPr>
            <w:r>
              <w:rPr>
                <w:sz w:val="15"/>
                <w:szCs w:val="15"/>
              </w:rPr>
              <w:t xml:space="preserve">Basis</w:t>
            </w:r>
          </w:p>
        </w:tc>
        <w:tc>
          <w:tcPr>
            <w:tcW w:w="1217" w:type="dxa"/>
          </w:tcPr>
          <w:p>
            <w:pPr>
              <w:pStyle w:val="Compact"/>
              <w:jc w:val="left"/>
              <w:spacing w:before="20" w:after="20" w:line="220" w:lineRule="auto"/>
            </w:pPr>
            <w:r>
              <w:rPr>
                <w:sz w:val="15"/>
                <w:szCs w:val="15"/>
              </w:rPr>
              <w:t xml:space="preserve">FY2023</w:t>
            </w:r>
          </w:p>
        </w:tc>
        <w:tc>
          <w:tcPr>
            <w:tcW w:w="1217" w:type="dxa"/>
          </w:tcPr>
          <w:p>
            <w:pPr>
              <w:pStyle w:val="Compact"/>
              <w:jc w:val="left"/>
              <w:spacing w:before="20" w:after="20" w:line="220" w:lineRule="auto"/>
            </w:pPr>
            <w:r>
              <w:rPr>
                <w:sz w:val="15"/>
                <w:szCs w:val="15"/>
              </w:rPr>
              <w:t xml:space="preserve">FY2024</w:t>
            </w:r>
          </w:p>
        </w:tc>
        <w:tc>
          <w:tcPr>
            <w:tcW w:w="1217" w:type="dxa"/>
          </w:tcPr>
          <w:p>
            <w:pPr>
              <w:pStyle w:val="Compact"/>
              <w:jc w:val="left"/>
              <w:spacing w:before="20" w:after="20" w:line="220" w:lineRule="auto"/>
            </w:pPr>
            <w:r>
              <w:rPr>
                <w:sz w:val="15"/>
                <w:szCs w:val="15"/>
              </w:rPr>
              <w:t xml:space="preserve">FY2025</w:t>
            </w:r>
          </w:p>
        </w:tc>
        <w:tc>
          <w:tcPr>
            <w:tcW w:w="1217" w:type="dxa"/>
          </w:tcPr>
          <w:p>
            <w:pPr>
              <w:pStyle w:val="Compact"/>
              <w:jc w:val="left"/>
              <w:spacing w:before="20" w:after="20" w:line="220" w:lineRule="auto"/>
            </w:pPr>
            <w:r>
              <w:rPr>
                <w:sz w:val="15"/>
                <w:szCs w:val="15"/>
              </w:rPr>
              <w:t xml:space="preserve">1H2026</w:t>
            </w:r>
          </w:p>
        </w:tc>
      </w:tr>
      <w:tr>
        <w:tc>
          <w:tcPr>
            <w:tcW w:w="8279" w:type="dxa"/>
          </w:tcPr>
          <w:p>
            <w:pPr>
              <w:pStyle w:val="Compact"/>
              <w:jc w:val="left"/>
              <w:spacing w:before="20" w:after="20" w:line="220" w:lineRule="auto"/>
            </w:pPr>
            <w:r>
              <w:rPr>
                <w:sz w:val="15"/>
                <w:szCs w:val="15"/>
              </w:rPr>
              <w:t xml:space="preserve">Group insurance revenue (SA + Africa Regions)</w:t>
            </w:r>
          </w:p>
        </w:tc>
        <w:tc>
          <w:tcPr>
            <w:tcW w:w="1420" w:type="dxa"/>
          </w:tcPr>
          <w:p>
            <w:pPr>
              <w:pStyle w:val="Compact"/>
              <w:jc w:val="left"/>
              <w:spacing w:before="20" w:after="20" w:line="220" w:lineRule="auto"/>
            </w:pPr>
            <w:r>
              <w:rPr>
                <w:sz w:val="15"/>
                <w:szCs w:val="15"/>
              </w:rPr>
              <w:t xml:space="preserve">Fact</w:t>
            </w:r>
          </w:p>
        </w:tc>
        <w:tc>
          <w:tcPr>
            <w:tcW w:w="1217" w:type="dxa"/>
          </w:tcPr>
          <w:p>
            <w:pPr>
              <w:pStyle w:val="Compact"/>
              <w:jc w:val="left"/>
              <w:spacing w:before="20" w:after="20" w:line="220" w:lineRule="auto"/>
            </w:pPr>
            <w:r>
              <w:rPr>
                <w:sz w:val="15"/>
                <w:szCs w:val="15"/>
              </w:rPr>
              <w:t xml:space="preserve">11,585</w:t>
            </w:r>
          </w:p>
        </w:tc>
        <w:tc>
          <w:tcPr>
            <w:tcW w:w="1217" w:type="dxa"/>
          </w:tcPr>
          <w:p>
            <w:pPr>
              <w:pStyle w:val="Compact"/>
              <w:jc w:val="left"/>
              <w:spacing w:before="20" w:after="20" w:line="220" w:lineRule="auto"/>
            </w:pPr>
            <w:r>
              <w:rPr>
                <w:sz w:val="15"/>
                <w:szCs w:val="15"/>
              </w:rPr>
              <w:t xml:space="preserve">11,852</w:t>
            </w:r>
          </w:p>
        </w:tc>
        <w:tc>
          <w:tcPr>
            <w:tcW w:w="1217" w:type="dxa"/>
          </w:tcPr>
          <w:p>
            <w:pPr>
              <w:pStyle w:val="Compact"/>
              <w:jc w:val="left"/>
              <w:spacing w:before="20" w:after="20" w:line="220" w:lineRule="auto"/>
            </w:pPr>
            <w:r>
              <w:rPr>
                <w:sz w:val="15"/>
                <w:szCs w:val="15"/>
              </w:rPr>
              <w:t xml:space="preserve">11,678</w:t>
            </w:r>
          </w:p>
        </w:tc>
        <w:tc>
          <w:tcPr>
            <w:tcW w:w="1217" w:type="dxa"/>
          </w:tcPr>
          <w:p>
            <w:pPr>
              <w:pStyle w:val="Compact"/>
              <w:jc w:val="left"/>
              <w:spacing w:before="20" w:after="20" w:line="220" w:lineRule="auto"/>
            </w:pPr>
            <w:r>
              <w:rPr>
                <w:sz w:val="15"/>
                <w:szCs w:val="15"/>
              </w:rPr>
              <w:t xml:space="preserve">5,667</w:t>
            </w:r>
          </w:p>
        </w:tc>
      </w:tr>
      <w:tr>
        <w:tc>
          <w:tcPr>
            <w:tcW w:w="8279" w:type="dxa"/>
          </w:tcPr>
          <w:p>
            <w:pPr>
              <w:pStyle w:val="Compact"/>
              <w:jc w:val="left"/>
              <w:spacing w:before="20" w:after="20" w:line="220" w:lineRule="auto"/>
            </w:pPr>
            <w:r>
              <w:rPr>
                <w:sz w:val="15"/>
                <w:szCs w:val="15"/>
              </w:rPr>
              <w:t xml:space="preserve">Less: Africa Regions segment insurance revenue</w:t>
            </w:r>
          </w:p>
        </w:tc>
        <w:tc>
          <w:tcPr>
            <w:tcW w:w="1420" w:type="dxa"/>
          </w:tcPr>
          <w:p>
            <w:pPr>
              <w:pStyle w:val="Compact"/>
              <w:jc w:val="left"/>
              <w:spacing w:before="20" w:after="20" w:line="220" w:lineRule="auto"/>
            </w:pPr>
            <w:r>
              <w:rPr>
                <w:sz w:val="15"/>
                <w:szCs w:val="15"/>
              </w:rPr>
              <w:t xml:space="preserve">Fact</w:t>
            </w:r>
          </w:p>
        </w:tc>
        <w:tc>
          <w:tcPr>
            <w:tcW w:w="1217" w:type="dxa"/>
          </w:tcPr>
          <w:p>
            <w:pPr>
              <w:pStyle w:val="Compact"/>
              <w:jc w:val="left"/>
              <w:spacing w:before="20" w:after="20" w:line="220" w:lineRule="auto"/>
            </w:pPr>
            <w:r>
              <w:rPr>
                <w:sz w:val="15"/>
                <w:szCs w:val="15"/>
              </w:rPr>
              <w:t xml:space="preserve">2,720</w:t>
            </w:r>
          </w:p>
        </w:tc>
        <w:tc>
          <w:tcPr>
            <w:tcW w:w="1217" w:type="dxa"/>
          </w:tcPr>
          <w:p>
            <w:pPr>
              <w:pStyle w:val="Compact"/>
              <w:jc w:val="left"/>
              <w:spacing w:before="20" w:after="20" w:line="220" w:lineRule="auto"/>
            </w:pPr>
            <w:r>
              <w:rPr>
                <w:sz w:val="15"/>
                <w:szCs w:val="15"/>
              </w:rPr>
              <w:t xml:space="preserve">2,690</w:t>
            </w:r>
          </w:p>
        </w:tc>
        <w:tc>
          <w:tcPr>
            <w:tcW w:w="1217" w:type="dxa"/>
          </w:tcPr>
          <w:p>
            <w:pPr>
              <w:pStyle w:val="Compact"/>
              <w:jc w:val="left"/>
              <w:spacing w:before="20" w:after="20" w:line="220" w:lineRule="auto"/>
            </w:pPr>
            <w:r>
              <w:rPr>
                <w:sz w:val="15"/>
                <w:szCs w:val="15"/>
              </w:rPr>
              <w:t xml:space="preserve">2,130</w:t>
            </w:r>
          </w:p>
        </w:tc>
        <w:tc>
          <w:tcPr>
            <w:tcW w:w="1217" w:type="dxa"/>
          </w:tcPr>
          <w:p>
            <w:pPr>
              <w:pStyle w:val="Compact"/>
              <w:spacing w:before="20" w:after="20" w:line="220" w:lineRule="auto"/>
            </w:pPr>
          </w:p>
        </w:tc>
      </w:tr>
      <w:tr>
        <w:tc>
          <w:tcPr>
            <w:tcW w:w="8279" w:type="dxa"/>
          </w:tcPr>
          <w:p>
            <w:pPr>
              <w:pStyle w:val="Compact"/>
              <w:jc w:val="left"/>
              <w:spacing w:before="20" w:after="20" w:line="220" w:lineRule="auto"/>
            </w:pPr>
            <w:r>
              <w:rPr>
                <w:sz w:val="15"/>
                <w:szCs w:val="15"/>
              </w:rPr>
              <w:t xml:space="preserve">PPB segment insurance revenue (FY2023: Product Solutions Cluster)</w:t>
            </w:r>
          </w:p>
        </w:tc>
        <w:tc>
          <w:tcPr>
            <w:tcW w:w="1420" w:type="dxa"/>
          </w:tcPr>
          <w:p>
            <w:pPr>
              <w:pStyle w:val="Compact"/>
              <w:jc w:val="left"/>
              <w:spacing w:before="20" w:after="20" w:line="220" w:lineRule="auto"/>
            </w:pPr>
            <w:r>
              <w:rPr>
                <w:sz w:val="15"/>
                <w:szCs w:val="15"/>
              </w:rPr>
              <w:t xml:space="preserve">Fact</w:t>
            </w:r>
          </w:p>
        </w:tc>
        <w:tc>
          <w:tcPr>
            <w:tcW w:w="1217" w:type="dxa"/>
          </w:tcPr>
          <w:p>
            <w:pPr>
              <w:pStyle w:val="Compact"/>
              <w:jc w:val="left"/>
              <w:spacing w:before="20" w:after="20" w:line="220" w:lineRule="auto"/>
            </w:pPr>
            <w:r>
              <w:rPr>
                <w:sz w:val="15"/>
                <w:szCs w:val="15"/>
              </w:rPr>
              <w:t xml:space="preserve">8,393</w:t>
            </w:r>
          </w:p>
        </w:tc>
        <w:tc>
          <w:tcPr>
            <w:tcW w:w="1217" w:type="dxa"/>
          </w:tcPr>
          <w:p>
            <w:pPr>
              <w:pStyle w:val="Compact"/>
              <w:jc w:val="left"/>
              <w:spacing w:before="20" w:after="20" w:line="220" w:lineRule="auto"/>
            </w:pPr>
            <w:r>
              <w:rPr>
                <w:sz w:val="15"/>
                <w:szCs w:val="15"/>
              </w:rPr>
              <w:t xml:space="preserve">9,074</w:t>
            </w:r>
          </w:p>
        </w:tc>
        <w:tc>
          <w:tcPr>
            <w:tcW w:w="1217" w:type="dxa"/>
          </w:tcPr>
          <w:p>
            <w:pPr>
              <w:pStyle w:val="Compact"/>
              <w:jc w:val="left"/>
              <w:spacing w:before="20" w:after="20" w:line="220" w:lineRule="auto"/>
            </w:pPr>
            <w:r>
              <w:rPr>
                <w:sz w:val="15"/>
                <w:szCs w:val="15"/>
              </w:rPr>
              <w:t xml:space="preserve">9,460</w:t>
            </w:r>
          </w:p>
        </w:tc>
        <w:tc>
          <w:tcPr>
            <w:tcW w:w="1217" w:type="dxa"/>
          </w:tcPr>
          <w:p>
            <w:pPr>
              <w:pStyle w:val="Compact"/>
              <w:spacing w:before="20" w:after="20" w:line="220" w:lineRule="auto"/>
            </w:pPr>
          </w:p>
        </w:tc>
      </w:tr>
      <w:tr>
        <w:tc>
          <w:tcPr>
            <w:tcW w:w="8279" w:type="dxa"/>
          </w:tcPr>
          <w:p>
            <w:pPr>
              <w:pStyle w:val="Compact"/>
              <w:jc w:val="left"/>
              <w:spacing w:before="20" w:after="20" w:line="220" w:lineRule="auto"/>
            </w:pPr>
            <w:r>
              <w:rPr>
                <w:sz w:val="15"/>
                <w:szCs w:val="15"/>
              </w:rPr>
              <w:t xml:space="preserve">Business Banking segment insurance revenue</w:t>
            </w:r>
          </w:p>
        </w:tc>
        <w:tc>
          <w:tcPr>
            <w:tcW w:w="1420" w:type="dxa"/>
          </w:tcPr>
          <w:p>
            <w:pPr>
              <w:pStyle w:val="Compact"/>
              <w:jc w:val="left"/>
              <w:spacing w:before="20" w:after="20" w:line="220" w:lineRule="auto"/>
            </w:pPr>
            <w:r>
              <w:rPr>
                <w:sz w:val="15"/>
                <w:szCs w:val="15"/>
              </w:rPr>
              <w:t xml:space="preserve">Fact</w:t>
            </w:r>
          </w:p>
        </w:tc>
        <w:tc>
          <w:tcPr>
            <w:tcW w:w="1217" w:type="dxa"/>
          </w:tcPr>
          <w:p>
            <w:pPr>
              <w:pStyle w:val="Compact"/>
              <w:spacing w:before="20" w:after="20" w:line="220" w:lineRule="auto"/>
            </w:pPr>
          </w:p>
        </w:tc>
        <w:tc>
          <w:tcPr>
            <w:tcW w:w="1217" w:type="dxa"/>
          </w:tcPr>
          <w:p>
            <w:pPr>
              <w:pStyle w:val="Compact"/>
              <w:jc w:val="left"/>
              <w:spacing w:before="20" w:after="20" w:line="220" w:lineRule="auto"/>
            </w:pPr>
            <w:r>
              <w:rPr>
                <w:sz w:val="15"/>
                <w:szCs w:val="15"/>
              </w:rPr>
              <w:t xml:space="preserve">43</w:t>
            </w:r>
          </w:p>
        </w:tc>
        <w:tc>
          <w:tcPr>
            <w:tcW w:w="1217" w:type="dxa"/>
          </w:tcPr>
          <w:p>
            <w:pPr>
              <w:pStyle w:val="Compact"/>
              <w:jc w:val="left"/>
              <w:spacing w:before="20" w:after="20" w:line="220" w:lineRule="auto"/>
            </w:pPr>
            <w:r>
              <w:rPr>
                <w:sz w:val="15"/>
                <w:szCs w:val="15"/>
              </w:rPr>
              <w:t xml:space="preserve">34</w:t>
            </w:r>
          </w:p>
        </w:tc>
        <w:tc>
          <w:tcPr>
            <w:tcW w:w="1217" w:type="dxa"/>
          </w:tcPr>
          <w:p>
            <w:pPr>
              <w:pStyle w:val="Compact"/>
              <w:spacing w:before="20" w:after="20" w:line="220" w:lineRule="auto"/>
            </w:pPr>
          </w:p>
        </w:tc>
      </w:tr>
      <w:tr>
        <w:tc>
          <w:tcPr>
            <w:tcW w:w="8279" w:type="dxa"/>
          </w:tcPr>
          <w:p>
            <w:pPr>
              <w:pStyle w:val="Compact"/>
              <w:jc w:val="left"/>
              <w:spacing w:before="20" w:after="20" w:line="220" w:lineRule="auto"/>
            </w:pPr>
            <w:r>
              <w:rPr>
                <w:sz w:val="15"/>
                <w:szCs w:val="15"/>
              </w:rPr>
              <w:t xml:space="preserve">CIB segment insurance revenue</w:t>
            </w:r>
          </w:p>
        </w:tc>
        <w:tc>
          <w:tcPr>
            <w:tcW w:w="1420" w:type="dxa"/>
          </w:tcPr>
          <w:p>
            <w:pPr>
              <w:pStyle w:val="Compact"/>
              <w:jc w:val="left"/>
              <w:spacing w:before="20" w:after="20" w:line="220" w:lineRule="auto"/>
            </w:pPr>
            <w:r>
              <w:rPr>
                <w:sz w:val="15"/>
                <w:szCs w:val="15"/>
              </w:rPr>
              <w:t xml:space="preserve">Fact</w:t>
            </w:r>
          </w:p>
        </w:tc>
        <w:tc>
          <w:tcPr>
            <w:tcW w:w="1217" w:type="dxa"/>
          </w:tcPr>
          <w:p>
            <w:pPr>
              <w:pStyle w:val="Compact"/>
              <w:spacing w:before="20" w:after="20" w:line="220" w:lineRule="auto"/>
            </w:pPr>
          </w:p>
        </w:tc>
        <w:tc>
          <w:tcPr>
            <w:tcW w:w="1217" w:type="dxa"/>
          </w:tcPr>
          <w:p>
            <w:pPr>
              <w:pStyle w:val="Compact"/>
              <w:jc w:val="left"/>
              <w:spacing w:before="20" w:after="20" w:line="220" w:lineRule="auto"/>
            </w:pPr>
            <w:r>
              <w:rPr>
                <w:sz w:val="15"/>
                <w:szCs w:val="15"/>
              </w:rPr>
              <w:t xml:space="preserve">45</w:t>
            </w:r>
          </w:p>
        </w:tc>
        <w:tc>
          <w:tcPr>
            <w:tcW w:w="1217" w:type="dxa"/>
          </w:tcPr>
          <w:p>
            <w:pPr>
              <w:pStyle w:val="Compact"/>
              <w:jc w:val="left"/>
              <w:spacing w:before="20" w:after="20" w:line="220" w:lineRule="auto"/>
            </w:pPr>
            <w:r>
              <w:rPr>
                <w:sz w:val="15"/>
                <w:szCs w:val="15"/>
              </w:rPr>
              <w:t xml:space="preserve">54</w:t>
            </w:r>
          </w:p>
        </w:tc>
        <w:tc>
          <w:tcPr>
            <w:tcW w:w="1217" w:type="dxa"/>
          </w:tcPr>
          <w:p>
            <w:pPr>
              <w:pStyle w:val="Compact"/>
              <w:spacing w:before="20" w:after="20" w:line="220" w:lineRule="auto"/>
            </w:pPr>
          </w:p>
        </w:tc>
      </w:tr>
      <w:tr>
        <w:tc>
          <w:tcPr>
            <w:tcW w:w="8279" w:type="dxa"/>
          </w:tcPr>
          <w:p>
            <w:pPr>
              <w:pStyle w:val="Compact"/>
              <w:jc w:val="left"/>
              <w:spacing w:before="20" w:after="20" w:line="220" w:lineRule="auto"/>
            </w:pPr>
            <w:r>
              <w:rPr>
                <w:sz w:val="15"/>
                <w:szCs w:val="15"/>
              </w:rPr>
              <w:t xml:space="preserve">South Africa insurance revenue (Group less Africa Regions)</w:t>
            </w:r>
          </w:p>
        </w:tc>
        <w:tc>
          <w:tcPr>
            <w:tcW w:w="1420" w:type="dxa"/>
          </w:tcPr>
          <w:p>
            <w:pPr>
              <w:pStyle w:val="Compact"/>
              <w:jc w:val="left"/>
              <w:spacing w:before="20" w:after="20" w:line="220" w:lineRule="auto"/>
            </w:pPr>
            <w:r>
              <w:rPr>
                <w:sz w:val="15"/>
                <w:szCs w:val="15"/>
              </w:rPr>
              <w:t xml:space="preserve">Derived</w:t>
            </w:r>
          </w:p>
        </w:tc>
        <w:tc>
          <w:tcPr>
            <w:tcW w:w="1217" w:type="dxa"/>
          </w:tcPr>
          <w:p>
            <w:pPr>
              <w:pStyle w:val="Compact"/>
              <w:jc w:val="left"/>
              <w:spacing w:before="20" w:after="20" w:line="220" w:lineRule="auto"/>
            </w:pPr>
            <w:r>
              <w:rPr>
                <w:sz w:val="15"/>
                <w:szCs w:val="15"/>
              </w:rPr>
              <w:t xml:space="preserve">8,865</w:t>
            </w:r>
          </w:p>
        </w:tc>
        <w:tc>
          <w:tcPr>
            <w:tcW w:w="1217" w:type="dxa"/>
          </w:tcPr>
          <w:p>
            <w:pPr>
              <w:pStyle w:val="Compact"/>
              <w:jc w:val="left"/>
              <w:spacing w:before="20" w:after="20" w:line="220" w:lineRule="auto"/>
            </w:pPr>
            <w:r>
              <w:rPr>
                <w:sz w:val="15"/>
                <w:szCs w:val="15"/>
              </w:rPr>
              <w:t xml:space="preserve">9,162</w:t>
            </w:r>
          </w:p>
        </w:tc>
        <w:tc>
          <w:tcPr>
            <w:tcW w:w="1217" w:type="dxa"/>
          </w:tcPr>
          <w:p>
            <w:pPr>
              <w:pStyle w:val="Compact"/>
              <w:jc w:val="left"/>
              <w:spacing w:before="20" w:after="20" w:line="220" w:lineRule="auto"/>
            </w:pPr>
            <w:r>
              <w:rPr>
                <w:sz w:val="15"/>
                <w:szCs w:val="15"/>
              </w:rPr>
              <w:t xml:space="preserve">9,548</w:t>
            </w:r>
          </w:p>
        </w:tc>
        <w:tc>
          <w:tcPr>
            <w:tcW w:w="1217" w:type="dxa"/>
          </w:tcPr>
          <w:p>
            <w:pPr>
              <w:pStyle w:val="Compact"/>
              <w:spacing w:before="20" w:after="20" w:line="220" w:lineRule="auto"/>
            </w:pPr>
          </w:p>
        </w:tc>
      </w:tr>
      <w:tr>
        <w:tc>
          <w:tcPr>
            <w:tcW w:w="8279" w:type="dxa"/>
          </w:tcPr>
          <w:p>
            <w:pPr>
              <w:pStyle w:val="Compact"/>
              <w:jc w:val="left"/>
              <w:spacing w:before="20" w:after="20" w:line="220" w:lineRule="auto"/>
            </w:pPr>
            <w:r>
              <w:rPr>
                <w:sz w:val="15"/>
                <w:szCs w:val="15"/>
              </w:rPr>
              <w:t xml:space="preserve">Gap: South Africa insurance revenue less Insurance SA revenue</w:t>
            </w:r>
          </w:p>
        </w:tc>
        <w:tc>
          <w:tcPr>
            <w:tcW w:w="1420" w:type="dxa"/>
          </w:tcPr>
          <w:p>
            <w:pPr>
              <w:pStyle w:val="Compact"/>
              <w:jc w:val="left"/>
              <w:spacing w:before="20" w:after="20" w:line="220" w:lineRule="auto"/>
            </w:pPr>
            <w:r>
              <w:rPr>
                <w:sz w:val="15"/>
                <w:szCs w:val="15"/>
              </w:rPr>
              <w:t xml:space="preserve">Derived</w:t>
            </w:r>
          </w:p>
        </w:tc>
        <w:tc>
          <w:tcPr>
            <w:tcW w:w="1217" w:type="dxa"/>
          </w:tcPr>
          <w:p>
            <w:pPr>
              <w:pStyle w:val="Compact"/>
              <w:jc w:val="left"/>
              <w:spacing w:before="20" w:after="20" w:line="220" w:lineRule="auto"/>
            </w:pPr>
            <w:r>
              <w:rPr>
                <w:sz w:val="15"/>
                <w:szCs w:val="15"/>
              </w:rPr>
              <w:t xml:space="preserve">187</w:t>
            </w:r>
          </w:p>
        </w:tc>
        <w:tc>
          <w:tcPr>
            <w:tcW w:w="1217" w:type="dxa"/>
          </w:tcPr>
          <w:p>
            <w:pPr>
              <w:pStyle w:val="Compact"/>
              <w:jc w:val="left"/>
              <w:spacing w:before="20" w:after="20" w:line="220" w:lineRule="auto"/>
            </w:pPr>
            <w:r>
              <w:rPr>
                <w:sz w:val="15"/>
                <w:szCs w:val="15"/>
              </w:rPr>
              <w:t xml:space="preserve">313</w:t>
            </w:r>
          </w:p>
        </w:tc>
        <w:tc>
          <w:tcPr>
            <w:tcW w:w="1217" w:type="dxa"/>
          </w:tcPr>
          <w:p>
            <w:pPr>
              <w:pStyle w:val="Compact"/>
              <w:jc w:val="left"/>
              <w:spacing w:before="20" w:after="20" w:line="220" w:lineRule="auto"/>
            </w:pPr>
            <w:r>
              <w:rPr>
                <w:sz w:val="15"/>
                <w:szCs w:val="15"/>
              </w:rPr>
              <w:t xml:space="preserve">469</w:t>
            </w:r>
          </w:p>
        </w:tc>
        <w:tc>
          <w:tcPr>
            <w:tcW w:w="1217" w:type="dxa"/>
          </w:tcPr>
          <w:p>
            <w:pPr>
              <w:pStyle w:val="Compact"/>
              <w:spacing w:before="20" w:after="20" w:line="220" w:lineRule="auto"/>
            </w:pPr>
          </w:p>
        </w:tc>
      </w:tr>
    </w:tbl>
    <w:bookmarkEnd w:id="34"/>
    <w:bookmarkStart w:id="35" w:name="X01a39adda4209fda7ea828e1f3af7c82b454100"/>
    <w:p>
      <w:pPr>
        <w:pStyle w:val="Heading4"/>
      </w:pPr>
      <w:r>
        <w:t xml:space="preserve">G. Mapping to the Phase 1 cost pools, FY2025 (Rm). Low, base and high use the Normalisation assumptions.</w:t>
      </w:r>
    </w:p>
    <w:tbl>
      <w:tblPr>
        <w:tblStyle w:val="Table"/>
        <w:tblLook w:firstRow="1" w:lastRow="0" w:firstColumn="0" w:lastColumn="0" w:noHBand="0" w:noVBand="0" w:val="0020"/>
        <w:jc w:val="start"/>
        <w:tblW w:w="14568" w:type="dxa"/>
        <w:tblLayout w:type="fixed"/>
      </w:tblPr>
      <w:tblGrid>
        <w:gridCol w:w="4651"/>
        <w:gridCol w:w="4377"/>
        <w:gridCol w:w="684"/>
        <w:gridCol w:w="684"/>
        <w:gridCol w:w="684"/>
        <w:gridCol w:w="3488"/>
      </w:tblGrid>
      <w:tr>
        <w:trPr>
          <w:tblHeader w:val="true"/>
        </w:trPr>
        <w:tc>
          <w:tcPr>
            <w:tcW w:w="4651" w:type="dxa"/>
          </w:tcPr>
          <w:p>
            <w:pPr>
              <w:pStyle w:val="Compact"/>
              <w:jc w:val="left"/>
              <w:spacing w:before="20" w:after="20" w:line="220" w:lineRule="auto"/>
            </w:pPr>
            <w:r>
              <w:rPr>
                <w:sz w:val="15"/>
                <w:szCs w:val="15"/>
              </w:rPr>
              <w:t xml:space="preserve">Line</w:t>
            </w:r>
          </w:p>
        </w:tc>
        <w:tc>
          <w:tcPr>
            <w:tcW w:w="4377" w:type="dxa"/>
          </w:tcPr>
          <w:p>
            <w:pPr>
              <w:pStyle w:val="Compact"/>
              <w:jc w:val="left"/>
              <w:spacing w:before="20" w:after="20" w:line="220" w:lineRule="auto"/>
            </w:pPr>
            <w:r>
              <w:rPr>
                <w:sz w:val="15"/>
                <w:szCs w:val="15"/>
              </w:rPr>
              <w:t xml:space="preserve">Basis</w:t>
            </w:r>
          </w:p>
        </w:tc>
        <w:tc>
          <w:tcPr>
            <w:tcW w:w="684" w:type="dxa"/>
          </w:tcPr>
          <w:p>
            <w:pPr>
              <w:pStyle w:val="Compact"/>
              <w:jc w:val="left"/>
              <w:spacing w:before="20" w:after="20" w:line="220" w:lineRule="auto"/>
            </w:pPr>
            <w:r>
              <w:rPr>
                <w:sz w:val="15"/>
                <w:szCs w:val="15"/>
              </w:rPr>
              <w:t xml:space="preserve">Low</w:t>
            </w:r>
          </w:p>
        </w:tc>
        <w:tc>
          <w:tcPr>
            <w:tcW w:w="684" w:type="dxa"/>
          </w:tcPr>
          <w:p>
            <w:pPr>
              <w:pStyle w:val="Compact"/>
              <w:jc w:val="left"/>
              <w:spacing w:before="20" w:after="20" w:line="220" w:lineRule="auto"/>
            </w:pPr>
            <w:r>
              <w:rPr>
                <w:sz w:val="15"/>
                <w:szCs w:val="15"/>
              </w:rPr>
              <w:t xml:space="preserve">Base</w:t>
            </w:r>
          </w:p>
        </w:tc>
        <w:tc>
          <w:tcPr>
            <w:tcW w:w="684" w:type="dxa"/>
          </w:tcPr>
          <w:p>
            <w:pPr>
              <w:pStyle w:val="Compact"/>
              <w:jc w:val="left"/>
              <w:spacing w:before="20" w:after="20" w:line="220" w:lineRule="auto"/>
            </w:pPr>
            <w:r>
              <w:rPr>
                <w:sz w:val="15"/>
                <w:szCs w:val="15"/>
              </w:rPr>
              <w:t xml:space="preserve">High</w:t>
            </w:r>
          </w:p>
        </w:tc>
        <w:tc>
          <w:tcPr>
            <w:tcW w:w="3488" w:type="dxa"/>
          </w:tcPr>
          <w:p>
            <w:pPr>
              <w:pStyle w:val="Compact"/>
              <w:jc w:val="left"/>
              <w:spacing w:before="20" w:after="20" w:line="220" w:lineRule="auto"/>
            </w:pPr>
            <w:r>
              <w:rPr>
                <w:sz w:val="15"/>
                <w:szCs w:val="15"/>
              </w:rPr>
              <w:t xml:space="preserve">Tree cell</w:t>
            </w:r>
          </w:p>
        </w:tc>
      </w:tr>
      <w:tr>
        <w:tc>
          <w:tcPr>
            <w:tcW w:w="4651" w:type="dxa"/>
          </w:tcPr>
          <w:p>
            <w:pPr>
              <w:pStyle w:val="Compact"/>
              <w:jc w:val="left"/>
              <w:spacing w:before="20" w:after="20" w:line="220" w:lineRule="auto"/>
            </w:pPr>
            <w:r>
              <w:rPr>
                <w:sz w:val="15"/>
                <w:szCs w:val="15"/>
              </w:rPr>
              <w:t xml:space="preserve">Insurance revenue (reference)</w:t>
            </w:r>
          </w:p>
        </w:tc>
        <w:tc>
          <w:tcPr>
            <w:tcW w:w="4377" w:type="dxa"/>
          </w:tcPr>
          <w:p>
            <w:pPr>
              <w:pStyle w:val="Compact"/>
              <w:jc w:val="left"/>
              <w:spacing w:before="20" w:after="20" w:line="220" w:lineRule="auto"/>
            </w:pPr>
            <w:r>
              <w:rPr>
                <w:sz w:val="15"/>
                <w:szCs w:val="15"/>
              </w:rPr>
              <w:t xml:space="preserve">Fact</w:t>
            </w:r>
          </w:p>
        </w:tc>
        <w:tc>
          <w:tcPr>
            <w:tcW w:w="684" w:type="dxa"/>
          </w:tcPr>
          <w:p>
            <w:pPr>
              <w:pStyle w:val="Compact"/>
              <w:jc w:val="left"/>
              <w:spacing w:before="20" w:after="20" w:line="220" w:lineRule="auto"/>
            </w:pPr>
            <w:r>
              <w:rPr>
                <w:sz w:val="15"/>
                <w:szCs w:val="15"/>
              </w:rPr>
              <w:t xml:space="preserve">9,079</w:t>
            </w:r>
          </w:p>
        </w:tc>
        <w:tc>
          <w:tcPr>
            <w:tcW w:w="684" w:type="dxa"/>
          </w:tcPr>
          <w:p>
            <w:pPr>
              <w:pStyle w:val="Compact"/>
              <w:jc w:val="left"/>
              <w:spacing w:before="20" w:after="20" w:line="220" w:lineRule="auto"/>
            </w:pPr>
            <w:r>
              <w:rPr>
                <w:sz w:val="15"/>
                <w:szCs w:val="15"/>
              </w:rPr>
              <w:t xml:space="preserve">9,079</w:t>
            </w:r>
          </w:p>
        </w:tc>
        <w:tc>
          <w:tcPr>
            <w:tcW w:w="684" w:type="dxa"/>
          </w:tcPr>
          <w:p>
            <w:pPr>
              <w:pStyle w:val="Compact"/>
              <w:jc w:val="left"/>
              <w:spacing w:before="20" w:after="20" w:line="220" w:lineRule="auto"/>
            </w:pPr>
            <w:r>
              <w:rPr>
                <w:sz w:val="15"/>
                <w:szCs w:val="15"/>
              </w:rPr>
              <w:t xml:space="preserve">9,079</w:t>
            </w:r>
          </w:p>
        </w:tc>
        <w:tc>
          <w:tcPr>
            <w:tcW w:w="3488" w:type="dxa"/>
          </w:tcPr>
          <w:p>
            <w:pPr>
              <w:pStyle w:val="Compact"/>
              <w:jc w:val="left"/>
              <w:spacing w:before="20" w:after="20" w:line="220" w:lineRule="auto"/>
            </w:pPr>
            <w:r>
              <w:rPr>
                <w:sz w:val="15"/>
                <w:szCs w:val="15"/>
              </w:rPr>
              <w:t xml:space="preserve">n/a</w:t>
            </w:r>
          </w:p>
        </w:tc>
      </w:tr>
      <w:tr>
        <w:tc>
          <w:tcPr>
            <w:tcW w:w="4651" w:type="dxa"/>
          </w:tcPr>
          <w:p>
            <w:pPr>
              <w:pStyle w:val="Compact"/>
              <w:jc w:val="left"/>
              <w:spacing w:before="20" w:after="20" w:line="220" w:lineRule="auto"/>
            </w:pPr>
            <w:r>
              <w:rPr>
                <w:sz w:val="15"/>
                <w:szCs w:val="15"/>
              </w:rPr>
              <w:t xml:space="preserve">Pool 1: claims and benefits, net (incurred claims less attributable expense estimate, plus onerous losses, plus net reinsurance cost)</w:t>
            </w:r>
          </w:p>
        </w:tc>
        <w:tc>
          <w:tcPr>
            <w:tcW w:w="4377" w:type="dxa"/>
          </w:tcPr>
          <w:p>
            <w:pPr>
              <w:pStyle w:val="Compact"/>
              <w:jc w:val="left"/>
              <w:spacing w:before="20" w:after="20" w:line="220" w:lineRule="auto"/>
            </w:pPr>
            <w:r>
              <w:rPr>
                <w:sz w:val="15"/>
                <w:szCs w:val="15"/>
              </w:rPr>
              <w:t xml:space="preserve">Derived; Assumption† for attributable expense carve-out</w:t>
            </w:r>
          </w:p>
        </w:tc>
        <w:tc>
          <w:tcPr>
            <w:tcW w:w="684" w:type="dxa"/>
          </w:tcPr>
          <w:p>
            <w:pPr>
              <w:pStyle w:val="Compact"/>
              <w:jc w:val="left"/>
              <w:spacing w:before="20" w:after="20" w:line="220" w:lineRule="auto"/>
            </w:pPr>
            <w:r>
              <w:rPr>
                <w:sz w:val="15"/>
                <w:szCs w:val="15"/>
              </w:rPr>
              <w:t xml:space="preserve">5,456</w:t>
            </w:r>
          </w:p>
        </w:tc>
        <w:tc>
          <w:tcPr>
            <w:tcW w:w="684" w:type="dxa"/>
          </w:tcPr>
          <w:p>
            <w:pPr>
              <w:pStyle w:val="Compact"/>
              <w:jc w:val="left"/>
              <w:spacing w:before="20" w:after="20" w:line="220" w:lineRule="auto"/>
            </w:pPr>
            <w:r>
              <w:rPr>
                <w:sz w:val="15"/>
                <w:szCs w:val="15"/>
              </w:rPr>
              <w:t xml:space="preserve">5,729</w:t>
            </w:r>
          </w:p>
        </w:tc>
        <w:tc>
          <w:tcPr>
            <w:tcW w:w="684" w:type="dxa"/>
          </w:tcPr>
          <w:p>
            <w:pPr>
              <w:pStyle w:val="Compact"/>
              <w:jc w:val="left"/>
              <w:spacing w:before="20" w:after="20" w:line="220" w:lineRule="auto"/>
            </w:pPr>
            <w:r>
              <w:rPr>
                <w:sz w:val="15"/>
                <w:szCs w:val="15"/>
              </w:rPr>
              <w:t xml:space="preserve">6,092</w:t>
            </w:r>
          </w:p>
        </w:tc>
        <w:tc>
          <w:tcPr>
            <w:tcW w:w="3488" w:type="dxa"/>
          </w:tcPr>
          <w:p>
            <w:pPr>
              <w:pStyle w:val="Compact"/>
              <w:jc w:val="left"/>
              <w:spacing w:before="20" w:after="20" w:line="220" w:lineRule="auto"/>
            </w:pPr>
            <w:r>
              <w:rPr>
                <w:sz w:val="15"/>
                <w:szCs w:val="15"/>
              </w:rPr>
              <w:t xml:space="preserve">Pool 1 x Claims</w:t>
            </w:r>
          </w:p>
        </w:tc>
      </w:tr>
      <w:tr>
        <w:tc>
          <w:tcPr>
            <w:tcW w:w="4651" w:type="dxa"/>
          </w:tcPr>
          <w:p>
            <w:pPr>
              <w:pStyle w:val="Compact"/>
              <w:jc w:val="left"/>
              <w:spacing w:before="20" w:after="20" w:line="220" w:lineRule="auto"/>
            </w:pPr>
            <w:r>
              <w:rPr>
                <w:sz w:val="15"/>
                <w:szCs w:val="15"/>
              </w:rPr>
              <w:t xml:space="preserve">Pool 2: acquisition cost, expense view (allocated amortisation of acquisition cash flows)</w:t>
            </w:r>
          </w:p>
        </w:tc>
        <w:tc>
          <w:tcPr>
            <w:tcW w:w="4377" w:type="dxa"/>
          </w:tcPr>
          <w:p>
            <w:pPr>
              <w:pStyle w:val="Compact"/>
              <w:jc w:val="left"/>
              <w:spacing w:before="20" w:after="20" w:line="220" w:lineRule="auto"/>
            </w:pPr>
            <w:r>
              <w:rPr>
                <w:sz w:val="15"/>
                <w:szCs w:val="15"/>
              </w:rPr>
              <w:t xml:space="preserve">Derived</w:t>
            </w:r>
          </w:p>
        </w:tc>
        <w:tc>
          <w:tcPr>
            <w:tcW w:w="684" w:type="dxa"/>
          </w:tcPr>
          <w:p>
            <w:pPr>
              <w:pStyle w:val="Compact"/>
              <w:jc w:val="left"/>
              <w:spacing w:before="20" w:after="20" w:line="220" w:lineRule="auto"/>
            </w:pPr>
            <w:r>
              <w:rPr>
                <w:sz w:val="15"/>
                <w:szCs w:val="15"/>
              </w:rPr>
              <w:t xml:space="preserve">982</w:t>
            </w:r>
          </w:p>
        </w:tc>
        <w:tc>
          <w:tcPr>
            <w:tcW w:w="684" w:type="dxa"/>
          </w:tcPr>
          <w:p>
            <w:pPr>
              <w:pStyle w:val="Compact"/>
              <w:jc w:val="left"/>
              <w:spacing w:before="20" w:after="20" w:line="220" w:lineRule="auto"/>
            </w:pPr>
            <w:r>
              <w:rPr>
                <w:sz w:val="15"/>
                <w:szCs w:val="15"/>
              </w:rPr>
              <w:t xml:space="preserve">982</w:t>
            </w:r>
          </w:p>
        </w:tc>
        <w:tc>
          <w:tcPr>
            <w:tcW w:w="684" w:type="dxa"/>
          </w:tcPr>
          <w:p>
            <w:pPr>
              <w:pStyle w:val="Compact"/>
              <w:jc w:val="left"/>
              <w:spacing w:before="20" w:after="20" w:line="220" w:lineRule="auto"/>
            </w:pPr>
            <w:r>
              <w:rPr>
                <w:sz w:val="15"/>
                <w:szCs w:val="15"/>
              </w:rPr>
              <w:t xml:space="preserve">982</w:t>
            </w:r>
          </w:p>
        </w:tc>
        <w:tc>
          <w:tcPr>
            <w:tcW w:w="3488" w:type="dxa"/>
          </w:tcPr>
          <w:p>
            <w:pPr>
              <w:pStyle w:val="Compact"/>
              <w:jc w:val="left"/>
              <w:spacing w:before="20" w:after="20" w:line="220" w:lineRule="auto"/>
            </w:pPr>
            <w:r>
              <w:rPr>
                <w:sz w:val="15"/>
                <w:szCs w:val="15"/>
              </w:rPr>
              <w:t xml:space="preserve">Pool 2 x Distribution</w:t>
            </w:r>
          </w:p>
        </w:tc>
      </w:tr>
      <w:tr>
        <w:tc>
          <w:tcPr>
            <w:tcW w:w="4651" w:type="dxa"/>
          </w:tcPr>
          <w:p>
            <w:pPr>
              <w:pStyle w:val="Compact"/>
              <w:jc w:val="left"/>
              <w:spacing w:before="20" w:after="20" w:line="220" w:lineRule="auto"/>
            </w:pPr>
            <w:r>
              <w:rPr>
                <w:sz w:val="15"/>
                <w:szCs w:val="15"/>
              </w:rPr>
              <w:t xml:space="preserve">Pool 2: acquisition cost, cash view (allocated acquisition cash flows paid)</w:t>
            </w:r>
          </w:p>
        </w:tc>
        <w:tc>
          <w:tcPr>
            <w:tcW w:w="4377" w:type="dxa"/>
          </w:tcPr>
          <w:p>
            <w:pPr>
              <w:pStyle w:val="Compact"/>
              <w:jc w:val="left"/>
              <w:spacing w:before="20" w:after="20" w:line="220" w:lineRule="auto"/>
            </w:pPr>
            <w:r>
              <w:rPr>
                <w:sz w:val="15"/>
                <w:szCs w:val="15"/>
              </w:rPr>
              <w:t xml:space="preserve">Derived</w:t>
            </w:r>
          </w:p>
        </w:tc>
        <w:tc>
          <w:tcPr>
            <w:tcW w:w="684" w:type="dxa"/>
          </w:tcPr>
          <w:p>
            <w:pPr>
              <w:pStyle w:val="Compact"/>
              <w:jc w:val="left"/>
              <w:spacing w:before="20" w:after="20" w:line="220" w:lineRule="auto"/>
            </w:pPr>
            <w:r>
              <w:rPr>
                <w:sz w:val="15"/>
                <w:szCs w:val="15"/>
              </w:rPr>
              <w:t xml:space="preserve">1,387</w:t>
            </w:r>
          </w:p>
        </w:tc>
        <w:tc>
          <w:tcPr>
            <w:tcW w:w="684" w:type="dxa"/>
          </w:tcPr>
          <w:p>
            <w:pPr>
              <w:pStyle w:val="Compact"/>
              <w:jc w:val="left"/>
              <w:spacing w:before="20" w:after="20" w:line="220" w:lineRule="auto"/>
            </w:pPr>
            <w:r>
              <w:rPr>
                <w:sz w:val="15"/>
                <w:szCs w:val="15"/>
              </w:rPr>
              <w:t xml:space="preserve">1,387</w:t>
            </w:r>
          </w:p>
        </w:tc>
        <w:tc>
          <w:tcPr>
            <w:tcW w:w="684" w:type="dxa"/>
          </w:tcPr>
          <w:p>
            <w:pPr>
              <w:pStyle w:val="Compact"/>
              <w:jc w:val="left"/>
              <w:spacing w:before="20" w:after="20" w:line="220" w:lineRule="auto"/>
            </w:pPr>
            <w:r>
              <w:rPr>
                <w:sz w:val="15"/>
                <w:szCs w:val="15"/>
              </w:rPr>
              <w:t xml:space="preserve">1,387</w:t>
            </w:r>
          </w:p>
        </w:tc>
        <w:tc>
          <w:tcPr>
            <w:tcW w:w="3488" w:type="dxa"/>
          </w:tcPr>
          <w:p>
            <w:pPr>
              <w:pStyle w:val="Compact"/>
              <w:jc w:val="left"/>
              <w:spacing w:before="20" w:after="20" w:line="220" w:lineRule="auto"/>
            </w:pPr>
            <w:r>
              <w:rPr>
                <w:sz w:val="15"/>
                <w:szCs w:val="15"/>
              </w:rPr>
              <w:t xml:space="preserve">Pool 2 x Distribution</w:t>
            </w:r>
          </w:p>
        </w:tc>
      </w:tr>
      <w:tr>
        <w:tc>
          <w:tcPr>
            <w:tcW w:w="4651" w:type="dxa"/>
          </w:tcPr>
          <w:p>
            <w:pPr>
              <w:pStyle w:val="Compact"/>
              <w:jc w:val="left"/>
              <w:spacing w:before="20" w:after="20" w:line="220" w:lineRule="auto"/>
            </w:pPr>
            <w:r>
              <w:rPr>
                <w:sz w:val="15"/>
                <w:szCs w:val="15"/>
              </w:rPr>
              <w:t xml:space="preserve">of which fee to Absa Bank (intra-group)</w:t>
            </w:r>
          </w:p>
        </w:tc>
        <w:tc>
          <w:tcPr>
            <w:tcW w:w="4377" w:type="dxa"/>
          </w:tcPr>
          <w:p>
            <w:pPr>
              <w:pStyle w:val="Compact"/>
              <w:jc w:val="left"/>
              <w:spacing w:before="20" w:after="20" w:line="220" w:lineRule="auto"/>
            </w:pPr>
            <w:r>
              <w:rPr>
                <w:sz w:val="15"/>
                <w:szCs w:val="15"/>
              </w:rPr>
              <w:t xml:space="preserve">Fact; Assumption† on counterparty</w:t>
            </w:r>
          </w:p>
        </w:tc>
        <w:tc>
          <w:tcPr>
            <w:tcW w:w="684" w:type="dxa"/>
          </w:tcPr>
          <w:p>
            <w:pPr>
              <w:pStyle w:val="Compact"/>
              <w:jc w:val="left"/>
              <w:spacing w:before="20" w:after="20" w:line="220" w:lineRule="auto"/>
            </w:pPr>
            <w:r>
              <w:rPr>
                <w:sz w:val="15"/>
                <w:szCs w:val="15"/>
              </w:rPr>
              <w:t xml:space="preserve">774</w:t>
            </w:r>
          </w:p>
        </w:tc>
        <w:tc>
          <w:tcPr>
            <w:tcW w:w="684" w:type="dxa"/>
          </w:tcPr>
          <w:p>
            <w:pPr>
              <w:pStyle w:val="Compact"/>
              <w:jc w:val="left"/>
              <w:spacing w:before="20" w:after="20" w:line="220" w:lineRule="auto"/>
            </w:pPr>
            <w:r>
              <w:rPr>
                <w:sz w:val="15"/>
                <w:szCs w:val="15"/>
              </w:rPr>
              <w:t xml:space="preserve">774</w:t>
            </w:r>
          </w:p>
        </w:tc>
        <w:tc>
          <w:tcPr>
            <w:tcW w:w="684" w:type="dxa"/>
          </w:tcPr>
          <w:p>
            <w:pPr>
              <w:pStyle w:val="Compact"/>
              <w:jc w:val="left"/>
              <w:spacing w:before="20" w:after="20" w:line="220" w:lineRule="auto"/>
            </w:pPr>
            <w:r>
              <w:rPr>
                <w:sz w:val="15"/>
                <w:szCs w:val="15"/>
              </w:rPr>
              <w:t xml:space="preserve">774</w:t>
            </w:r>
          </w:p>
        </w:tc>
        <w:tc>
          <w:tcPr>
            <w:tcW w:w="3488" w:type="dxa"/>
          </w:tcPr>
          <w:p>
            <w:pPr>
              <w:pStyle w:val="Compact"/>
              <w:jc w:val="left"/>
              <w:spacing w:before="20" w:after="20" w:line="220" w:lineRule="auto"/>
            </w:pPr>
            <w:r>
              <w:rPr>
                <w:sz w:val="15"/>
                <w:szCs w:val="15"/>
              </w:rPr>
              <w:t xml:space="preserve">Pool 2 x Distribution</w:t>
            </w:r>
          </w:p>
        </w:tc>
      </w:tr>
      <w:tr>
        <w:tc>
          <w:tcPr>
            <w:tcW w:w="4651" w:type="dxa"/>
          </w:tcPr>
          <w:p>
            <w:pPr>
              <w:pStyle w:val="Compact"/>
              <w:jc w:val="left"/>
              <w:spacing w:before="20" w:after="20" w:line="220" w:lineRule="auto"/>
            </w:pPr>
            <w:r>
              <w:rPr>
                <w:sz w:val="15"/>
                <w:szCs w:val="15"/>
              </w:rPr>
              <w:t xml:space="preserve">of which other commission and adviser remuneration (cash view)</w:t>
            </w:r>
          </w:p>
        </w:tc>
        <w:tc>
          <w:tcPr>
            <w:tcW w:w="4377" w:type="dxa"/>
          </w:tcPr>
          <w:p>
            <w:pPr>
              <w:pStyle w:val="Compact"/>
              <w:jc w:val="left"/>
              <w:spacing w:before="20" w:after="20" w:line="220" w:lineRule="auto"/>
            </w:pPr>
            <w:r>
              <w:rPr>
                <w:sz w:val="15"/>
                <w:szCs w:val="15"/>
              </w:rPr>
              <w:t xml:space="preserve">Derived</w:t>
            </w:r>
          </w:p>
        </w:tc>
        <w:tc>
          <w:tcPr>
            <w:tcW w:w="684" w:type="dxa"/>
          </w:tcPr>
          <w:p>
            <w:pPr>
              <w:pStyle w:val="Compact"/>
              <w:jc w:val="left"/>
              <w:spacing w:before="20" w:after="20" w:line="220" w:lineRule="auto"/>
            </w:pPr>
            <w:r>
              <w:rPr>
                <w:sz w:val="15"/>
                <w:szCs w:val="15"/>
              </w:rPr>
              <w:t xml:space="preserve">613</w:t>
            </w:r>
          </w:p>
        </w:tc>
        <w:tc>
          <w:tcPr>
            <w:tcW w:w="684" w:type="dxa"/>
          </w:tcPr>
          <w:p>
            <w:pPr>
              <w:pStyle w:val="Compact"/>
              <w:jc w:val="left"/>
              <w:spacing w:before="20" w:after="20" w:line="220" w:lineRule="auto"/>
            </w:pPr>
            <w:r>
              <w:rPr>
                <w:sz w:val="15"/>
                <w:szCs w:val="15"/>
              </w:rPr>
              <w:t xml:space="preserve">613</w:t>
            </w:r>
          </w:p>
        </w:tc>
        <w:tc>
          <w:tcPr>
            <w:tcW w:w="684" w:type="dxa"/>
          </w:tcPr>
          <w:p>
            <w:pPr>
              <w:pStyle w:val="Compact"/>
              <w:jc w:val="left"/>
              <w:spacing w:before="20" w:after="20" w:line="220" w:lineRule="auto"/>
            </w:pPr>
            <w:r>
              <w:rPr>
                <w:sz w:val="15"/>
                <w:szCs w:val="15"/>
              </w:rPr>
              <w:t xml:space="preserve">613</w:t>
            </w:r>
          </w:p>
        </w:tc>
        <w:tc>
          <w:tcPr>
            <w:tcW w:w="3488" w:type="dxa"/>
          </w:tcPr>
          <w:p>
            <w:pPr>
              <w:pStyle w:val="Compact"/>
              <w:jc w:val="left"/>
              <w:spacing w:before="20" w:after="20" w:line="220" w:lineRule="auto"/>
            </w:pPr>
            <w:r>
              <w:rPr>
                <w:sz w:val="15"/>
                <w:szCs w:val="15"/>
              </w:rPr>
              <w:t xml:space="preserve">Pool 2 x Distribution</w:t>
            </w:r>
          </w:p>
        </w:tc>
      </w:tr>
      <w:tr>
        <w:tc>
          <w:tcPr>
            <w:tcW w:w="4651" w:type="dxa"/>
          </w:tcPr>
          <w:p>
            <w:pPr>
              <w:pStyle w:val="Compact"/>
              <w:jc w:val="left"/>
              <w:spacing w:before="20" w:after="20" w:line="220" w:lineRule="auto"/>
            </w:pPr>
            <w:r>
              <w:rPr>
                <w:sz w:val="15"/>
                <w:szCs w:val="15"/>
              </w:rPr>
              <w:t xml:space="preserve">Pool 3a: operating expense, non-attributable (as reported)</w:t>
            </w:r>
          </w:p>
        </w:tc>
        <w:tc>
          <w:tcPr>
            <w:tcW w:w="4377" w:type="dxa"/>
          </w:tcPr>
          <w:p>
            <w:pPr>
              <w:pStyle w:val="Compact"/>
              <w:jc w:val="left"/>
              <w:spacing w:before="20" w:after="20" w:line="220" w:lineRule="auto"/>
            </w:pPr>
            <w:r>
              <w:rPr>
                <w:sz w:val="15"/>
                <w:szCs w:val="15"/>
              </w:rPr>
              <w:t xml:space="preserve">Fact</w:t>
            </w:r>
          </w:p>
        </w:tc>
        <w:tc>
          <w:tcPr>
            <w:tcW w:w="684" w:type="dxa"/>
          </w:tcPr>
          <w:p>
            <w:pPr>
              <w:pStyle w:val="Compact"/>
              <w:jc w:val="left"/>
              <w:spacing w:before="20" w:after="20" w:line="220" w:lineRule="auto"/>
            </w:pPr>
            <w:r>
              <w:rPr>
                <w:sz w:val="15"/>
                <w:szCs w:val="15"/>
              </w:rPr>
              <w:t xml:space="preserve">1,042</w:t>
            </w:r>
          </w:p>
        </w:tc>
        <w:tc>
          <w:tcPr>
            <w:tcW w:w="684" w:type="dxa"/>
          </w:tcPr>
          <w:p>
            <w:pPr>
              <w:pStyle w:val="Compact"/>
              <w:jc w:val="left"/>
              <w:spacing w:before="20" w:after="20" w:line="220" w:lineRule="auto"/>
            </w:pPr>
            <w:r>
              <w:rPr>
                <w:sz w:val="15"/>
                <w:szCs w:val="15"/>
              </w:rPr>
              <w:t xml:space="preserve">1,042</w:t>
            </w:r>
          </w:p>
        </w:tc>
        <w:tc>
          <w:tcPr>
            <w:tcW w:w="684" w:type="dxa"/>
          </w:tcPr>
          <w:p>
            <w:pPr>
              <w:pStyle w:val="Compact"/>
              <w:jc w:val="left"/>
              <w:spacing w:before="20" w:after="20" w:line="220" w:lineRule="auto"/>
            </w:pPr>
            <w:r>
              <w:rPr>
                <w:sz w:val="15"/>
                <w:szCs w:val="15"/>
              </w:rPr>
              <w:t xml:space="preserve">1,042</w:t>
            </w:r>
          </w:p>
        </w:tc>
        <w:tc>
          <w:tcPr>
            <w:tcW w:w="3488" w:type="dxa"/>
          </w:tcPr>
          <w:p>
            <w:pPr>
              <w:pStyle w:val="Compact"/>
              <w:jc w:val="left"/>
              <w:spacing w:before="20" w:after="20" w:line="220" w:lineRule="auto"/>
            </w:pPr>
            <w:r>
              <w:rPr>
                <w:sz w:val="15"/>
                <w:szCs w:val="15"/>
              </w:rPr>
              <w:t xml:space="preserve">Pool 3 x all functions</w:t>
            </w:r>
          </w:p>
        </w:tc>
      </w:tr>
      <w:tr>
        <w:tc>
          <w:tcPr>
            <w:tcW w:w="4651" w:type="dxa"/>
          </w:tcPr>
          <w:p>
            <w:pPr>
              <w:pStyle w:val="Compact"/>
              <w:jc w:val="left"/>
              <w:spacing w:before="20" w:after="20" w:line="220" w:lineRule="auto"/>
            </w:pPr>
            <w:r>
              <w:rPr>
                <w:sz w:val="15"/>
                <w:szCs w:val="15"/>
              </w:rPr>
              <w:t xml:space="preserve">Pool 3b: operating expense, attributable (estimate inside insurance service expenses)</w:t>
            </w:r>
          </w:p>
        </w:tc>
        <w:tc>
          <w:tcPr>
            <w:tcW w:w="4377" w:type="dxa"/>
          </w:tcPr>
          <w:p>
            <w:pPr>
              <w:pStyle w:val="Compact"/>
              <w:jc w:val="left"/>
              <w:spacing w:before="20" w:after="20" w:line="220" w:lineRule="auto"/>
            </w:pPr>
            <w:r>
              <w:rPr>
                <w:sz w:val="15"/>
                <w:szCs w:val="15"/>
              </w:rPr>
              <w:t xml:space="preserve">Assumption†</w:t>
            </w:r>
          </w:p>
        </w:tc>
        <w:tc>
          <w:tcPr>
            <w:tcW w:w="684" w:type="dxa"/>
          </w:tcPr>
          <w:p>
            <w:pPr>
              <w:pStyle w:val="Compact"/>
              <w:jc w:val="left"/>
              <w:spacing w:before="20" w:after="20" w:line="220" w:lineRule="auto"/>
            </w:pPr>
            <w:r>
              <w:rPr>
                <w:sz w:val="15"/>
                <w:szCs w:val="15"/>
              </w:rPr>
              <w:t xml:space="preserve">363</w:t>
            </w:r>
          </w:p>
        </w:tc>
        <w:tc>
          <w:tcPr>
            <w:tcW w:w="684" w:type="dxa"/>
          </w:tcPr>
          <w:p>
            <w:pPr>
              <w:pStyle w:val="Compact"/>
              <w:jc w:val="left"/>
              <w:spacing w:before="20" w:after="20" w:line="220" w:lineRule="auto"/>
            </w:pPr>
            <w:r>
              <w:rPr>
                <w:sz w:val="15"/>
                <w:szCs w:val="15"/>
              </w:rPr>
              <w:t xml:space="preserve">726</w:t>
            </w:r>
          </w:p>
        </w:tc>
        <w:tc>
          <w:tcPr>
            <w:tcW w:w="684" w:type="dxa"/>
          </w:tcPr>
          <w:p>
            <w:pPr>
              <w:pStyle w:val="Compact"/>
              <w:jc w:val="left"/>
              <w:spacing w:before="20" w:after="20" w:line="220" w:lineRule="auto"/>
            </w:pPr>
            <w:r>
              <w:rPr>
                <w:sz w:val="15"/>
                <w:szCs w:val="15"/>
              </w:rPr>
              <w:t xml:space="preserve">999</w:t>
            </w:r>
          </w:p>
        </w:tc>
        <w:tc>
          <w:tcPr>
            <w:tcW w:w="3488" w:type="dxa"/>
          </w:tcPr>
          <w:p>
            <w:pPr>
              <w:pStyle w:val="Compact"/>
              <w:jc w:val="left"/>
              <w:spacing w:before="20" w:after="20" w:line="220" w:lineRule="auto"/>
            </w:pPr>
            <w:r>
              <w:rPr>
                <w:sz w:val="15"/>
                <w:szCs w:val="15"/>
              </w:rPr>
              <w:t xml:space="preserve">Pool 3 x Policy admin, Claims, Underwriting</w:t>
            </w:r>
          </w:p>
        </w:tc>
      </w:tr>
      <w:tr>
        <w:tc>
          <w:tcPr>
            <w:tcW w:w="4651" w:type="dxa"/>
          </w:tcPr>
          <w:p>
            <w:pPr>
              <w:pStyle w:val="Compact"/>
              <w:jc w:val="left"/>
              <w:spacing w:before="20" w:after="20" w:line="220" w:lineRule="auto"/>
            </w:pPr>
            <w:r>
              <w:rPr>
                <w:sz w:val="15"/>
                <w:szCs w:val="15"/>
              </w:rPr>
              <w:t xml:space="preserve">Pool 3c: intermediary and investments block operating expenses (AIFA, AIMS, Trust, Stockbrokers)</w:t>
            </w:r>
          </w:p>
        </w:tc>
        <w:tc>
          <w:tcPr>
            <w:tcW w:w="4377" w:type="dxa"/>
          </w:tcPr>
          <w:p>
            <w:pPr>
              <w:pStyle w:val="Compact"/>
              <w:jc w:val="left"/>
              <w:spacing w:before="20" w:after="20" w:line="220" w:lineRule="auto"/>
            </w:pPr>
            <w:r>
              <w:rPr>
                <w:sz w:val="15"/>
                <w:szCs w:val="15"/>
              </w:rPr>
              <w:t xml:space="preserve">Assumption† anchored on FY2023 fact</w:t>
            </w:r>
          </w:p>
        </w:tc>
        <w:tc>
          <w:tcPr>
            <w:tcW w:w="684" w:type="dxa"/>
          </w:tcPr>
          <w:p>
            <w:pPr>
              <w:pStyle w:val="Compact"/>
              <w:jc w:val="left"/>
              <w:spacing w:before="20" w:after="20" w:line="220" w:lineRule="auto"/>
            </w:pPr>
            <w:r>
              <w:rPr>
                <w:sz w:val="15"/>
                <w:szCs w:val="15"/>
              </w:rPr>
              <w:t xml:space="preserve">1,500</w:t>
            </w:r>
          </w:p>
        </w:tc>
        <w:tc>
          <w:tcPr>
            <w:tcW w:w="684" w:type="dxa"/>
          </w:tcPr>
          <w:p>
            <w:pPr>
              <w:pStyle w:val="Compact"/>
              <w:jc w:val="left"/>
              <w:spacing w:before="20" w:after="20" w:line="220" w:lineRule="auto"/>
            </w:pPr>
            <w:r>
              <w:rPr>
                <w:sz w:val="15"/>
                <w:szCs w:val="15"/>
              </w:rPr>
              <w:t xml:space="preserve">1,724</w:t>
            </w:r>
          </w:p>
        </w:tc>
        <w:tc>
          <w:tcPr>
            <w:tcW w:w="684" w:type="dxa"/>
          </w:tcPr>
          <w:p>
            <w:pPr>
              <w:pStyle w:val="Compact"/>
              <w:jc w:val="left"/>
              <w:spacing w:before="20" w:after="20" w:line="220" w:lineRule="auto"/>
            </w:pPr>
            <w:r>
              <w:rPr>
                <w:sz w:val="15"/>
                <w:szCs w:val="15"/>
              </w:rPr>
              <w:t xml:space="preserve">1,900</w:t>
            </w:r>
          </w:p>
        </w:tc>
        <w:tc>
          <w:tcPr>
            <w:tcW w:w="3488" w:type="dxa"/>
          </w:tcPr>
          <w:p>
            <w:pPr>
              <w:pStyle w:val="Compact"/>
              <w:jc w:val="left"/>
              <w:spacing w:before="20" w:after="20" w:line="220" w:lineRule="auto"/>
            </w:pPr>
            <w:r>
              <w:rPr>
                <w:sz w:val="15"/>
                <w:szCs w:val="15"/>
              </w:rPr>
              <w:t xml:space="preserve">Pool 3 x Distribution, Investments</w:t>
            </w:r>
          </w:p>
        </w:tc>
      </w:tr>
      <w:tr>
        <w:tc>
          <w:tcPr>
            <w:tcW w:w="4651" w:type="dxa"/>
          </w:tcPr>
          <w:p>
            <w:pPr>
              <w:pStyle w:val="Compact"/>
              <w:jc w:val="left"/>
              <w:spacing w:before="20" w:after="20" w:line="220" w:lineRule="auto"/>
            </w:pPr>
            <w:r>
              <w:rPr>
                <w:sz w:val="15"/>
                <w:szCs w:val="15"/>
              </w:rPr>
              <w:t xml:space="preserve">Pool 3: operating expense, total</w:t>
            </w:r>
          </w:p>
        </w:tc>
        <w:tc>
          <w:tcPr>
            <w:tcW w:w="4377" w:type="dxa"/>
          </w:tcPr>
          <w:p>
            <w:pPr>
              <w:pStyle w:val="Compact"/>
              <w:jc w:val="left"/>
              <w:spacing w:before="20" w:after="20" w:line="220" w:lineRule="auto"/>
            </w:pPr>
            <w:r>
              <w:rPr>
                <w:sz w:val="15"/>
                <w:szCs w:val="15"/>
              </w:rPr>
              <w:t xml:space="preserve">Derived</w:t>
            </w:r>
          </w:p>
        </w:tc>
        <w:tc>
          <w:tcPr>
            <w:tcW w:w="684" w:type="dxa"/>
          </w:tcPr>
          <w:p>
            <w:pPr>
              <w:pStyle w:val="Compact"/>
              <w:jc w:val="left"/>
              <w:spacing w:before="20" w:after="20" w:line="220" w:lineRule="auto"/>
            </w:pPr>
            <w:r>
              <w:rPr>
                <w:sz w:val="15"/>
                <w:szCs w:val="15"/>
              </w:rPr>
              <w:t xml:space="preserve">2,905</w:t>
            </w:r>
          </w:p>
        </w:tc>
        <w:tc>
          <w:tcPr>
            <w:tcW w:w="684" w:type="dxa"/>
          </w:tcPr>
          <w:p>
            <w:pPr>
              <w:pStyle w:val="Compact"/>
              <w:jc w:val="left"/>
              <w:spacing w:before="20" w:after="20" w:line="220" w:lineRule="auto"/>
            </w:pPr>
            <w:r>
              <w:rPr>
                <w:sz w:val="15"/>
                <w:szCs w:val="15"/>
              </w:rPr>
              <w:t xml:space="preserve">3,492</w:t>
            </w:r>
          </w:p>
        </w:tc>
        <w:tc>
          <w:tcPr>
            <w:tcW w:w="684" w:type="dxa"/>
          </w:tcPr>
          <w:p>
            <w:pPr>
              <w:pStyle w:val="Compact"/>
              <w:jc w:val="left"/>
              <w:spacing w:before="20" w:after="20" w:line="220" w:lineRule="auto"/>
            </w:pPr>
            <w:r>
              <w:rPr>
                <w:sz w:val="15"/>
                <w:szCs w:val="15"/>
              </w:rPr>
              <w:t xml:space="preserve">3,941</w:t>
            </w:r>
          </w:p>
        </w:tc>
        <w:tc>
          <w:tcPr>
            <w:tcW w:w="3488" w:type="dxa"/>
          </w:tcPr>
          <w:p>
            <w:pPr>
              <w:pStyle w:val="Compact"/>
              <w:jc w:val="left"/>
              <w:spacing w:before="20" w:after="20" w:line="220" w:lineRule="auto"/>
            </w:pPr>
            <w:r>
              <w:rPr>
                <w:sz w:val="15"/>
                <w:szCs w:val="15"/>
              </w:rPr>
              <w:t xml:space="preserve">Pool 3</w:t>
            </w:r>
          </w:p>
        </w:tc>
      </w:tr>
      <w:tr>
        <w:tc>
          <w:tcPr>
            <w:tcW w:w="4651" w:type="dxa"/>
          </w:tcPr>
          <w:p>
            <w:pPr>
              <w:pStyle w:val="Compact"/>
              <w:jc w:val="left"/>
              <w:spacing w:before="20" w:after="20" w:line="220" w:lineRule="auto"/>
            </w:pPr>
            <w:r>
              <w:rPr>
                <w:sz w:val="15"/>
                <w:szCs w:val="15"/>
              </w:rPr>
              <w:t xml:space="preserve">Pool 4: investment management cost on shareholder funds</w:t>
            </w:r>
          </w:p>
        </w:tc>
        <w:tc>
          <w:tcPr>
            <w:tcW w:w="4377" w:type="dxa"/>
          </w:tcPr>
          <w:p>
            <w:pPr>
              <w:pStyle w:val="Compact"/>
              <w:jc w:val="left"/>
              <w:spacing w:before="20" w:after="20" w:line="220" w:lineRule="auto"/>
            </w:pPr>
            <w:r>
              <w:rPr>
                <w:sz w:val="15"/>
                <w:szCs w:val="15"/>
              </w:rPr>
              <w:t xml:space="preserve">Assumption†</w:t>
            </w:r>
          </w:p>
        </w:tc>
        <w:tc>
          <w:tcPr>
            <w:tcW w:w="684" w:type="dxa"/>
          </w:tcPr>
          <w:p>
            <w:pPr>
              <w:pStyle w:val="Compact"/>
              <w:jc w:val="left"/>
              <w:spacing w:before="20" w:after="20" w:line="220" w:lineRule="auto"/>
            </w:pPr>
            <w:r>
              <w:rPr>
                <w:sz w:val="15"/>
                <w:szCs w:val="15"/>
              </w:rPr>
              <w:t xml:space="preserve">7</w:t>
            </w:r>
          </w:p>
        </w:tc>
        <w:tc>
          <w:tcPr>
            <w:tcW w:w="684" w:type="dxa"/>
          </w:tcPr>
          <w:p>
            <w:pPr>
              <w:pStyle w:val="Compact"/>
              <w:jc w:val="left"/>
              <w:spacing w:before="20" w:after="20" w:line="220" w:lineRule="auto"/>
            </w:pPr>
            <w:r>
              <w:rPr>
                <w:sz w:val="15"/>
                <w:szCs w:val="15"/>
              </w:rPr>
              <w:t xml:space="preserve">10</w:t>
            </w:r>
          </w:p>
        </w:tc>
        <w:tc>
          <w:tcPr>
            <w:tcW w:w="684" w:type="dxa"/>
          </w:tcPr>
          <w:p>
            <w:pPr>
              <w:pStyle w:val="Compact"/>
              <w:jc w:val="left"/>
              <w:spacing w:before="20" w:after="20" w:line="220" w:lineRule="auto"/>
            </w:pPr>
            <w:r>
              <w:rPr>
                <w:sz w:val="15"/>
                <w:szCs w:val="15"/>
              </w:rPr>
              <w:t xml:space="preserve">13</w:t>
            </w:r>
          </w:p>
        </w:tc>
        <w:tc>
          <w:tcPr>
            <w:tcW w:w="3488" w:type="dxa"/>
          </w:tcPr>
          <w:p>
            <w:pPr>
              <w:pStyle w:val="Compact"/>
              <w:jc w:val="left"/>
              <w:spacing w:before="20" w:after="20" w:line="220" w:lineRule="auto"/>
            </w:pPr>
            <w:r>
              <w:rPr>
                <w:sz w:val="15"/>
                <w:szCs w:val="15"/>
              </w:rPr>
              <w:t xml:space="preserve">Pool 4 x Investments</w:t>
            </w:r>
          </w:p>
        </w:tc>
      </w:tr>
      <w:tr>
        <w:tc>
          <w:tcPr>
            <w:tcW w:w="4651" w:type="dxa"/>
          </w:tcPr>
          <w:p>
            <w:pPr>
              <w:pStyle w:val="Compact"/>
              <w:jc w:val="left"/>
              <w:spacing w:before="20" w:after="20" w:line="220" w:lineRule="auto"/>
            </w:pPr>
            <w:r>
              <w:rPr>
                <w:sz w:val="15"/>
                <w:szCs w:val="15"/>
              </w:rPr>
              <w:t xml:space="preserve">Pool 5a: cost of capital (economic charge on segment equity)</w:t>
            </w:r>
          </w:p>
        </w:tc>
        <w:tc>
          <w:tcPr>
            <w:tcW w:w="4377" w:type="dxa"/>
          </w:tcPr>
          <w:p>
            <w:pPr>
              <w:pStyle w:val="Compact"/>
              <w:jc w:val="left"/>
              <w:spacing w:before="20" w:after="20" w:line="220" w:lineRule="auto"/>
            </w:pPr>
            <w:r>
              <w:rPr>
                <w:sz w:val="15"/>
                <w:szCs w:val="15"/>
              </w:rPr>
              <w:t xml:space="preserve">Derived; economic, not accounting</w:t>
            </w:r>
          </w:p>
        </w:tc>
        <w:tc>
          <w:tcPr>
            <w:tcW w:w="684" w:type="dxa"/>
          </w:tcPr>
          <w:p>
            <w:pPr>
              <w:pStyle w:val="Compact"/>
              <w:jc w:val="left"/>
              <w:spacing w:before="20" w:after="20" w:line="220" w:lineRule="auto"/>
            </w:pPr>
            <w:r>
              <w:rPr>
                <w:sz w:val="15"/>
                <w:szCs w:val="15"/>
              </w:rPr>
              <w:t xml:space="preserve">803</w:t>
            </w:r>
          </w:p>
        </w:tc>
        <w:tc>
          <w:tcPr>
            <w:tcW w:w="684" w:type="dxa"/>
          </w:tcPr>
          <w:p>
            <w:pPr>
              <w:pStyle w:val="Compact"/>
              <w:jc w:val="left"/>
              <w:spacing w:before="20" w:after="20" w:line="220" w:lineRule="auto"/>
            </w:pPr>
            <w:r>
              <w:rPr>
                <w:sz w:val="15"/>
                <w:szCs w:val="15"/>
              </w:rPr>
              <w:t xml:space="preserve">837</w:t>
            </w:r>
          </w:p>
        </w:tc>
        <w:tc>
          <w:tcPr>
            <w:tcW w:w="684" w:type="dxa"/>
          </w:tcPr>
          <w:p>
            <w:pPr>
              <w:pStyle w:val="Compact"/>
              <w:jc w:val="left"/>
              <w:spacing w:before="20" w:after="20" w:line="220" w:lineRule="auto"/>
            </w:pPr>
            <w:r>
              <w:rPr>
                <w:sz w:val="15"/>
                <w:szCs w:val="15"/>
              </w:rPr>
              <w:t xml:space="preserve">886</w:t>
            </w:r>
          </w:p>
        </w:tc>
        <w:tc>
          <w:tcPr>
            <w:tcW w:w="3488" w:type="dxa"/>
          </w:tcPr>
          <w:p>
            <w:pPr>
              <w:pStyle w:val="Compact"/>
              <w:jc w:val="left"/>
              <w:spacing w:before="20" w:after="20" w:line="220" w:lineRule="auto"/>
            </w:pPr>
            <w:r>
              <w:rPr>
                <w:sz w:val="15"/>
                <w:szCs w:val="15"/>
              </w:rPr>
              <w:t xml:space="preserve">Pool 5 x Finance and risk</w:t>
            </w:r>
          </w:p>
        </w:tc>
      </w:tr>
      <w:tr>
        <w:tc>
          <w:tcPr>
            <w:tcW w:w="4651" w:type="dxa"/>
          </w:tcPr>
          <w:p>
            <w:pPr>
              <w:pStyle w:val="Compact"/>
              <w:jc w:val="left"/>
              <w:spacing w:before="20" w:after="20" w:line="220" w:lineRule="auto"/>
            </w:pPr>
            <w:r>
              <w:rPr>
                <w:sz w:val="15"/>
                <w:szCs w:val="15"/>
              </w:rPr>
              <w:t xml:space="preserve">Pool 5b: trapped capital charge (own funds above target cover x cost of equity)</w:t>
            </w:r>
          </w:p>
        </w:tc>
        <w:tc>
          <w:tcPr>
            <w:tcW w:w="4377" w:type="dxa"/>
          </w:tcPr>
          <w:p>
            <w:pPr>
              <w:pStyle w:val="Compact"/>
              <w:jc w:val="left"/>
              <w:spacing w:before="20" w:after="20" w:line="220" w:lineRule="auto"/>
            </w:pPr>
            <w:r>
              <w:rPr>
                <w:sz w:val="15"/>
                <w:szCs w:val="15"/>
              </w:rPr>
              <w:t xml:space="preserve">Derived; Assumption† on target cover and own funds proxy</w:t>
            </w:r>
          </w:p>
        </w:tc>
        <w:tc>
          <w:tcPr>
            <w:tcW w:w="684" w:type="dxa"/>
          </w:tcPr>
          <w:p>
            <w:pPr>
              <w:pStyle w:val="Compact"/>
              <w:jc w:val="left"/>
              <w:spacing w:before="20" w:after="20" w:line="220" w:lineRule="auto"/>
            </w:pPr>
            <w:r>
              <w:rPr>
                <w:sz w:val="15"/>
                <w:szCs w:val="15"/>
              </w:rPr>
              <w:t xml:space="preserve">0</w:t>
            </w:r>
          </w:p>
        </w:tc>
        <w:tc>
          <w:tcPr>
            <w:tcW w:w="684" w:type="dxa"/>
          </w:tcPr>
          <w:p>
            <w:pPr>
              <w:pStyle w:val="Compact"/>
              <w:jc w:val="left"/>
              <w:spacing w:before="20" w:after="20" w:line="220" w:lineRule="auto"/>
            </w:pPr>
            <w:r>
              <w:rPr>
                <w:sz w:val="15"/>
                <w:szCs w:val="15"/>
              </w:rPr>
              <w:t xml:space="preserve">79</w:t>
            </w:r>
          </w:p>
        </w:tc>
        <w:tc>
          <w:tcPr>
            <w:tcW w:w="684" w:type="dxa"/>
          </w:tcPr>
          <w:p>
            <w:pPr>
              <w:pStyle w:val="Compact"/>
              <w:jc w:val="left"/>
              <w:spacing w:before="20" w:after="20" w:line="220" w:lineRule="auto"/>
            </w:pPr>
            <w:r>
              <w:rPr>
                <w:sz w:val="15"/>
                <w:szCs w:val="15"/>
              </w:rPr>
              <w:t xml:space="preserve">129</w:t>
            </w:r>
          </w:p>
        </w:tc>
        <w:tc>
          <w:tcPr>
            <w:tcW w:w="3488" w:type="dxa"/>
          </w:tcPr>
          <w:p>
            <w:pPr>
              <w:pStyle w:val="Compact"/>
              <w:jc w:val="left"/>
              <w:spacing w:before="20" w:after="20" w:line="220" w:lineRule="auto"/>
            </w:pPr>
            <w:r>
              <w:rPr>
                <w:sz w:val="15"/>
                <w:szCs w:val="15"/>
              </w:rPr>
              <w:t xml:space="preserve">Pool 5 x Finance and risk</w:t>
            </w:r>
          </w:p>
        </w:tc>
      </w:tr>
      <w:tr>
        <w:tc>
          <w:tcPr>
            <w:tcW w:w="4651" w:type="dxa"/>
          </w:tcPr>
          <w:p>
            <w:pPr>
              <w:pStyle w:val="Compact"/>
              <w:jc w:val="left"/>
              <w:spacing w:before="20" w:after="20" w:line="220" w:lineRule="auto"/>
            </w:pPr>
            <w:r>
              <w:rPr>
                <w:sz w:val="15"/>
                <w:szCs w:val="15"/>
              </w:rPr>
              <w:t xml:space="preserve">Pool 5c: avoidable licence cost (one licence: ARTIC into AIC, or similar)</w:t>
            </w:r>
          </w:p>
        </w:tc>
        <w:tc>
          <w:tcPr>
            <w:tcW w:w="4377" w:type="dxa"/>
          </w:tcPr>
          <w:p>
            <w:pPr>
              <w:pStyle w:val="Compact"/>
              <w:jc w:val="left"/>
              <w:spacing w:before="20" w:after="20" w:line="220" w:lineRule="auto"/>
            </w:pPr>
            <w:r>
              <w:rPr>
                <w:sz w:val="15"/>
                <w:szCs w:val="15"/>
              </w:rPr>
              <w:t xml:space="preserve">Assumption†</w:t>
            </w:r>
          </w:p>
        </w:tc>
        <w:tc>
          <w:tcPr>
            <w:tcW w:w="684" w:type="dxa"/>
          </w:tcPr>
          <w:p>
            <w:pPr>
              <w:pStyle w:val="Compact"/>
              <w:jc w:val="left"/>
              <w:spacing w:before="20" w:after="20" w:line="220" w:lineRule="auto"/>
            </w:pPr>
            <w:r>
              <w:rPr>
                <w:sz w:val="15"/>
                <w:szCs w:val="15"/>
              </w:rPr>
              <w:t xml:space="preserve">10</w:t>
            </w:r>
          </w:p>
        </w:tc>
        <w:tc>
          <w:tcPr>
            <w:tcW w:w="684" w:type="dxa"/>
          </w:tcPr>
          <w:p>
            <w:pPr>
              <w:pStyle w:val="Compact"/>
              <w:jc w:val="left"/>
              <w:spacing w:before="20" w:after="20" w:line="220" w:lineRule="auto"/>
            </w:pPr>
            <w:r>
              <w:rPr>
                <w:sz w:val="15"/>
                <w:szCs w:val="15"/>
              </w:rPr>
              <w:t xml:space="preserve">20</w:t>
            </w:r>
          </w:p>
        </w:tc>
        <w:tc>
          <w:tcPr>
            <w:tcW w:w="684" w:type="dxa"/>
          </w:tcPr>
          <w:p>
            <w:pPr>
              <w:pStyle w:val="Compact"/>
              <w:jc w:val="left"/>
              <w:spacing w:before="20" w:after="20" w:line="220" w:lineRule="auto"/>
            </w:pPr>
            <w:r>
              <w:rPr>
                <w:sz w:val="15"/>
                <w:szCs w:val="15"/>
              </w:rPr>
              <w:t xml:space="preserve">40</w:t>
            </w:r>
          </w:p>
        </w:tc>
        <w:tc>
          <w:tcPr>
            <w:tcW w:w="3488" w:type="dxa"/>
          </w:tcPr>
          <w:p>
            <w:pPr>
              <w:pStyle w:val="Compact"/>
              <w:jc w:val="left"/>
              <w:spacing w:before="20" w:after="20" w:line="220" w:lineRule="auto"/>
            </w:pPr>
            <w:r>
              <w:rPr>
                <w:sz w:val="15"/>
                <w:szCs w:val="15"/>
              </w:rPr>
              <w:t xml:space="preserve">Pool 5 x Governance</w:t>
            </w:r>
          </w:p>
        </w:tc>
      </w:tr>
    </w:tbl>
    <w:bookmarkEnd w:id="35"/>
    <w:bookmarkStart w:id="36" w:name="X3f625732aa282c870929c57d2106207e3573e0c"/>
    <w:p>
      <w:pPr>
        <w:pStyle w:val="Heading4"/>
      </w:pPr>
      <w:r>
        <w:t xml:space="preserve">H. Addressable cost base and the public-information savings hypothesis, FY2025 (Rm)</w:t>
      </w:r>
    </w:p>
    <w:tbl>
      <w:tblPr>
        <w:tblStyle w:val="Table"/>
        <w:tblLook w:firstRow="1" w:lastRow="0" w:firstColumn="0" w:lastColumn="0" w:noHBand="0" w:noVBand="0" w:val="0020"/>
        <w:jc w:val="start"/>
        <w:tblW w:w="14568" w:type="dxa"/>
        <w:tblLayout w:type="fixed"/>
      </w:tblPr>
      <w:tblGrid>
        <w:gridCol w:w="5298"/>
        <w:gridCol w:w="3661"/>
        <w:gridCol w:w="779"/>
        <w:gridCol w:w="779"/>
        <w:gridCol w:w="779"/>
        <w:gridCol w:w="3272"/>
      </w:tblGrid>
      <w:tr>
        <w:trPr>
          <w:tblHeader w:val="true"/>
        </w:trPr>
        <w:tc>
          <w:tcPr>
            <w:tcW w:w="5298" w:type="dxa"/>
          </w:tcPr>
          <w:p>
            <w:pPr>
              <w:pStyle w:val="Compact"/>
              <w:jc w:val="left"/>
              <w:spacing w:before="20" w:after="20" w:line="220" w:lineRule="auto"/>
            </w:pPr>
            <w:r>
              <w:rPr>
                <w:sz w:val="15"/>
                <w:szCs w:val="15"/>
              </w:rPr>
              <w:t xml:space="preserve">Line</w:t>
            </w:r>
          </w:p>
        </w:tc>
        <w:tc>
          <w:tcPr>
            <w:tcW w:w="3661" w:type="dxa"/>
          </w:tcPr>
          <w:p>
            <w:pPr>
              <w:pStyle w:val="Compact"/>
              <w:jc w:val="left"/>
              <w:spacing w:before="20" w:after="20" w:line="220" w:lineRule="auto"/>
            </w:pPr>
            <w:r>
              <w:rPr>
                <w:sz w:val="15"/>
                <w:szCs w:val="15"/>
              </w:rPr>
              <w:t xml:space="preserve">Basis</w:t>
            </w:r>
          </w:p>
        </w:tc>
        <w:tc>
          <w:tcPr>
            <w:tcW w:w="779" w:type="dxa"/>
          </w:tcPr>
          <w:p>
            <w:pPr>
              <w:pStyle w:val="Compact"/>
              <w:jc w:val="left"/>
              <w:spacing w:before="20" w:after="20" w:line="220" w:lineRule="auto"/>
            </w:pPr>
            <w:r>
              <w:rPr>
                <w:sz w:val="15"/>
                <w:szCs w:val="15"/>
              </w:rPr>
              <w:t xml:space="preserve">Low</w:t>
            </w:r>
          </w:p>
        </w:tc>
        <w:tc>
          <w:tcPr>
            <w:tcW w:w="779" w:type="dxa"/>
          </w:tcPr>
          <w:p>
            <w:pPr>
              <w:pStyle w:val="Compact"/>
              <w:jc w:val="left"/>
              <w:spacing w:before="20" w:after="20" w:line="220" w:lineRule="auto"/>
            </w:pPr>
            <w:r>
              <w:rPr>
                <w:sz w:val="15"/>
                <w:szCs w:val="15"/>
              </w:rPr>
              <w:t xml:space="preserve">Base</w:t>
            </w:r>
          </w:p>
        </w:tc>
        <w:tc>
          <w:tcPr>
            <w:tcW w:w="779" w:type="dxa"/>
          </w:tcPr>
          <w:p>
            <w:pPr>
              <w:pStyle w:val="Compact"/>
              <w:jc w:val="left"/>
              <w:spacing w:before="20" w:after="20" w:line="220" w:lineRule="auto"/>
            </w:pPr>
            <w:r>
              <w:rPr>
                <w:sz w:val="15"/>
                <w:szCs w:val="15"/>
              </w:rPr>
              <w:t xml:space="preserve">High</w:t>
            </w:r>
          </w:p>
        </w:tc>
        <w:tc>
          <w:tcPr>
            <w:tcW w:w="3272" w:type="dxa"/>
          </w:tcPr>
          <w:p>
            <w:pPr>
              <w:pStyle w:val="Compact"/>
              <w:jc w:val="left"/>
              <w:spacing w:before="20" w:after="20" w:line="220" w:lineRule="auto"/>
            </w:pPr>
            <w:r>
              <w:rPr>
                <w:sz w:val="15"/>
                <w:szCs w:val="15"/>
              </w:rPr>
              <w:t xml:space="preserve">Tree cell</w:t>
            </w:r>
          </w:p>
        </w:tc>
      </w:tr>
      <w:tr>
        <w:tc>
          <w:tcPr>
            <w:tcW w:w="5298" w:type="dxa"/>
          </w:tcPr>
          <w:p>
            <w:pPr>
              <w:pStyle w:val="Compact"/>
              <w:jc w:val="left"/>
              <w:spacing w:before="20" w:after="20" w:line="220" w:lineRule="auto"/>
            </w:pPr>
            <w:r>
              <w:rPr>
                <w:sz w:val="15"/>
                <w:szCs w:val="15"/>
              </w:rPr>
              <w:t xml:space="preserve">Addressable accounting cost base: pool 3 total + pool 2 excluding bank fee + pool 4</w:t>
            </w:r>
          </w:p>
        </w:tc>
        <w:tc>
          <w:tcPr>
            <w:tcW w:w="3661" w:type="dxa"/>
          </w:tcPr>
          <w:p>
            <w:pPr>
              <w:pStyle w:val="Compact"/>
              <w:jc w:val="left"/>
              <w:spacing w:before="20" w:after="20" w:line="220" w:lineRule="auto"/>
            </w:pPr>
            <w:r>
              <w:rPr>
                <w:sz w:val="15"/>
                <w:szCs w:val="15"/>
              </w:rPr>
              <w:t xml:space="preserve">Derived</w:t>
            </w:r>
          </w:p>
        </w:tc>
        <w:tc>
          <w:tcPr>
            <w:tcW w:w="779" w:type="dxa"/>
          </w:tcPr>
          <w:p>
            <w:pPr>
              <w:pStyle w:val="Compact"/>
              <w:jc w:val="left"/>
              <w:spacing w:before="20" w:after="20" w:line="220" w:lineRule="auto"/>
            </w:pPr>
            <w:r>
              <w:rPr>
                <w:sz w:val="15"/>
                <w:szCs w:val="15"/>
              </w:rPr>
              <w:t xml:space="preserve">3,524</w:t>
            </w:r>
          </w:p>
        </w:tc>
        <w:tc>
          <w:tcPr>
            <w:tcW w:w="779" w:type="dxa"/>
          </w:tcPr>
          <w:p>
            <w:pPr>
              <w:pStyle w:val="Compact"/>
              <w:jc w:val="left"/>
              <w:spacing w:before="20" w:after="20" w:line="220" w:lineRule="auto"/>
            </w:pPr>
            <w:r>
              <w:rPr>
                <w:sz w:val="15"/>
                <w:szCs w:val="15"/>
              </w:rPr>
              <w:t xml:space="preserve">4,115</w:t>
            </w:r>
          </w:p>
        </w:tc>
        <w:tc>
          <w:tcPr>
            <w:tcW w:w="779" w:type="dxa"/>
          </w:tcPr>
          <w:p>
            <w:pPr>
              <w:pStyle w:val="Compact"/>
              <w:jc w:val="left"/>
              <w:spacing w:before="20" w:after="20" w:line="220" w:lineRule="auto"/>
            </w:pPr>
            <w:r>
              <w:rPr>
                <w:sz w:val="15"/>
                <w:szCs w:val="15"/>
              </w:rPr>
              <w:t xml:space="preserve">4,566</w:t>
            </w:r>
          </w:p>
        </w:tc>
        <w:tc>
          <w:tcPr>
            <w:tcW w:w="3272" w:type="dxa"/>
          </w:tcPr>
          <w:p>
            <w:pPr>
              <w:pStyle w:val="Compact"/>
              <w:jc w:val="left"/>
              <w:spacing w:before="20" w:after="20" w:line="220" w:lineRule="auto"/>
            </w:pPr>
            <w:r>
              <w:rPr>
                <w:sz w:val="15"/>
                <w:szCs w:val="15"/>
              </w:rPr>
              <w:t xml:space="preserve">Pools 2 to 4</w:t>
            </w:r>
          </w:p>
        </w:tc>
      </w:tr>
      <w:tr>
        <w:tc>
          <w:tcPr>
            <w:tcW w:w="5298" w:type="dxa"/>
          </w:tcPr>
          <w:p>
            <w:pPr>
              <w:pStyle w:val="Compact"/>
              <w:jc w:val="left"/>
              <w:spacing w:before="20" w:after="20" w:line="220" w:lineRule="auto"/>
            </w:pPr>
            <w:r>
              <w:rPr>
                <w:sz w:val="15"/>
                <w:szCs w:val="15"/>
              </w:rPr>
              <w:t xml:space="preserve">Savings hypothesis on addressable base at precedent percentages</w:t>
            </w:r>
          </w:p>
        </w:tc>
        <w:tc>
          <w:tcPr>
            <w:tcW w:w="3661" w:type="dxa"/>
          </w:tcPr>
          <w:p>
            <w:pPr>
              <w:pStyle w:val="Compact"/>
              <w:jc w:val="left"/>
              <w:spacing w:before="20" w:after="20" w:line="220" w:lineRule="auto"/>
            </w:pPr>
            <w:r>
              <w:rPr>
                <w:sz w:val="15"/>
                <w:szCs w:val="15"/>
              </w:rPr>
              <w:t xml:space="preserve">Derived; Assumption† precedent range</w:t>
            </w:r>
          </w:p>
        </w:tc>
        <w:tc>
          <w:tcPr>
            <w:tcW w:w="779" w:type="dxa"/>
          </w:tcPr>
          <w:p>
            <w:pPr>
              <w:pStyle w:val="Compact"/>
              <w:jc w:val="left"/>
              <w:spacing w:before="20" w:after="20" w:line="220" w:lineRule="auto"/>
            </w:pPr>
            <w:r>
              <w:rPr>
                <w:sz w:val="15"/>
                <w:szCs w:val="15"/>
              </w:rPr>
              <w:t xml:space="preserve">211</w:t>
            </w:r>
          </w:p>
        </w:tc>
        <w:tc>
          <w:tcPr>
            <w:tcW w:w="779" w:type="dxa"/>
          </w:tcPr>
          <w:p>
            <w:pPr>
              <w:pStyle w:val="Compact"/>
              <w:jc w:val="left"/>
              <w:spacing w:before="20" w:after="20" w:line="220" w:lineRule="auto"/>
            </w:pPr>
            <w:r>
              <w:rPr>
                <w:sz w:val="15"/>
                <w:szCs w:val="15"/>
              </w:rPr>
              <w:t xml:space="preserve">370</w:t>
            </w:r>
          </w:p>
        </w:tc>
        <w:tc>
          <w:tcPr>
            <w:tcW w:w="779" w:type="dxa"/>
          </w:tcPr>
          <w:p>
            <w:pPr>
              <w:pStyle w:val="Compact"/>
              <w:jc w:val="left"/>
              <w:spacing w:before="20" w:after="20" w:line="220" w:lineRule="auto"/>
            </w:pPr>
            <w:r>
              <w:rPr>
                <w:sz w:val="15"/>
                <w:szCs w:val="15"/>
              </w:rPr>
              <w:t xml:space="preserve">594</w:t>
            </w:r>
          </w:p>
        </w:tc>
        <w:tc>
          <w:tcPr>
            <w:tcW w:w="3272" w:type="dxa"/>
          </w:tcPr>
          <w:p>
            <w:pPr>
              <w:pStyle w:val="Compact"/>
              <w:jc w:val="left"/>
              <w:spacing w:before="20" w:after="20" w:line="220" w:lineRule="auto"/>
            </w:pPr>
            <w:r>
              <w:rPr>
                <w:sz w:val="15"/>
                <w:szCs w:val="15"/>
              </w:rPr>
              <w:t xml:space="preserve">Pools 2 to 4</w:t>
            </w:r>
          </w:p>
        </w:tc>
      </w:tr>
      <w:tr>
        <w:tc>
          <w:tcPr>
            <w:tcW w:w="5298" w:type="dxa"/>
          </w:tcPr>
          <w:p>
            <w:pPr>
              <w:pStyle w:val="Compact"/>
              <w:jc w:val="left"/>
              <w:spacing w:before="20" w:after="20" w:line="220" w:lineRule="auto"/>
            </w:pPr>
            <w:r>
              <w:rPr>
                <w:sz w:val="15"/>
                <w:szCs w:val="15"/>
              </w:rPr>
              <w:t xml:space="preserve">Claims leakage hypothesis (pool 1 x leakage rate)</w:t>
            </w:r>
          </w:p>
        </w:tc>
        <w:tc>
          <w:tcPr>
            <w:tcW w:w="3661" w:type="dxa"/>
          </w:tcPr>
          <w:p>
            <w:pPr>
              <w:pStyle w:val="Compact"/>
              <w:jc w:val="left"/>
              <w:spacing w:before="20" w:after="20" w:line="220" w:lineRule="auto"/>
            </w:pPr>
            <w:r>
              <w:rPr>
                <w:sz w:val="15"/>
                <w:szCs w:val="15"/>
              </w:rPr>
              <w:t xml:space="preserve">Derived; Assumption†</w:t>
            </w:r>
          </w:p>
        </w:tc>
        <w:tc>
          <w:tcPr>
            <w:tcW w:w="779" w:type="dxa"/>
          </w:tcPr>
          <w:p>
            <w:pPr>
              <w:pStyle w:val="Compact"/>
              <w:jc w:val="left"/>
              <w:spacing w:before="20" w:after="20" w:line="220" w:lineRule="auto"/>
            </w:pPr>
            <w:r>
              <w:rPr>
                <w:sz w:val="15"/>
                <w:szCs w:val="15"/>
              </w:rPr>
              <w:t xml:space="preserve">55</w:t>
            </w:r>
          </w:p>
        </w:tc>
        <w:tc>
          <w:tcPr>
            <w:tcW w:w="779" w:type="dxa"/>
          </w:tcPr>
          <w:p>
            <w:pPr>
              <w:pStyle w:val="Compact"/>
              <w:jc w:val="left"/>
              <w:spacing w:before="20" w:after="20" w:line="220" w:lineRule="auto"/>
            </w:pPr>
            <w:r>
              <w:rPr>
                <w:sz w:val="15"/>
                <w:szCs w:val="15"/>
              </w:rPr>
              <w:t xml:space="preserve">115</w:t>
            </w:r>
          </w:p>
        </w:tc>
        <w:tc>
          <w:tcPr>
            <w:tcW w:w="779" w:type="dxa"/>
          </w:tcPr>
          <w:p>
            <w:pPr>
              <w:pStyle w:val="Compact"/>
              <w:jc w:val="left"/>
              <w:spacing w:before="20" w:after="20" w:line="220" w:lineRule="auto"/>
            </w:pPr>
            <w:r>
              <w:rPr>
                <w:sz w:val="15"/>
                <w:szCs w:val="15"/>
              </w:rPr>
              <w:t xml:space="preserve">183</w:t>
            </w:r>
          </w:p>
        </w:tc>
        <w:tc>
          <w:tcPr>
            <w:tcW w:w="3272" w:type="dxa"/>
          </w:tcPr>
          <w:p>
            <w:pPr>
              <w:pStyle w:val="Compact"/>
              <w:jc w:val="left"/>
              <w:spacing w:before="20" w:after="20" w:line="220" w:lineRule="auto"/>
            </w:pPr>
            <w:r>
              <w:rPr>
                <w:sz w:val="15"/>
                <w:szCs w:val="15"/>
              </w:rPr>
              <w:t xml:space="preserve">Pool 1 x Claims x Leakage</w:t>
            </w:r>
          </w:p>
        </w:tc>
      </w:tr>
      <w:tr>
        <w:tc>
          <w:tcPr>
            <w:tcW w:w="5298" w:type="dxa"/>
          </w:tcPr>
          <w:p>
            <w:pPr>
              <w:pStyle w:val="Compact"/>
              <w:jc w:val="left"/>
              <w:spacing w:before="20" w:after="20" w:line="220" w:lineRule="auto"/>
            </w:pPr>
            <w:r>
              <w:rPr>
                <w:sz w:val="15"/>
                <w:szCs w:val="15"/>
              </w:rPr>
              <w:t xml:space="preserve">Reinsurance price hypothesis (net reinsurance cost x achievable saving)</w:t>
            </w:r>
          </w:p>
        </w:tc>
        <w:tc>
          <w:tcPr>
            <w:tcW w:w="3661" w:type="dxa"/>
          </w:tcPr>
          <w:p>
            <w:pPr>
              <w:pStyle w:val="Compact"/>
              <w:jc w:val="left"/>
              <w:spacing w:before="20" w:after="20" w:line="220" w:lineRule="auto"/>
            </w:pPr>
            <w:r>
              <w:rPr>
                <w:sz w:val="15"/>
                <w:szCs w:val="15"/>
              </w:rPr>
              <w:t xml:space="preserve">Derived; Assumption†</w:t>
            </w:r>
          </w:p>
        </w:tc>
        <w:tc>
          <w:tcPr>
            <w:tcW w:w="779" w:type="dxa"/>
          </w:tcPr>
          <w:p>
            <w:pPr>
              <w:pStyle w:val="Compact"/>
              <w:jc w:val="left"/>
              <w:spacing w:before="20" w:after="20" w:line="220" w:lineRule="auto"/>
            </w:pPr>
            <w:r>
              <w:rPr>
                <w:sz w:val="15"/>
                <w:szCs w:val="15"/>
              </w:rPr>
              <w:t xml:space="preserve">10</w:t>
            </w:r>
          </w:p>
        </w:tc>
        <w:tc>
          <w:tcPr>
            <w:tcW w:w="779" w:type="dxa"/>
          </w:tcPr>
          <w:p>
            <w:pPr>
              <w:pStyle w:val="Compact"/>
              <w:jc w:val="left"/>
              <w:spacing w:before="20" w:after="20" w:line="220" w:lineRule="auto"/>
            </w:pPr>
            <w:r>
              <w:rPr>
                <w:sz w:val="15"/>
                <w:szCs w:val="15"/>
              </w:rPr>
              <w:t xml:space="preserve">20</w:t>
            </w:r>
          </w:p>
        </w:tc>
        <w:tc>
          <w:tcPr>
            <w:tcW w:w="779" w:type="dxa"/>
          </w:tcPr>
          <w:p>
            <w:pPr>
              <w:pStyle w:val="Compact"/>
              <w:jc w:val="left"/>
              <w:spacing w:before="20" w:after="20" w:line="220" w:lineRule="auto"/>
            </w:pPr>
            <w:r>
              <w:rPr>
                <w:sz w:val="15"/>
                <w:szCs w:val="15"/>
              </w:rPr>
              <w:t xml:space="preserve">30</w:t>
            </w:r>
          </w:p>
        </w:tc>
        <w:tc>
          <w:tcPr>
            <w:tcW w:w="3272" w:type="dxa"/>
          </w:tcPr>
          <w:p>
            <w:pPr>
              <w:pStyle w:val="Compact"/>
              <w:jc w:val="left"/>
              <w:spacing w:before="20" w:after="20" w:line="220" w:lineRule="auto"/>
            </w:pPr>
            <w:r>
              <w:rPr>
                <w:sz w:val="15"/>
                <w:szCs w:val="15"/>
              </w:rPr>
              <w:t xml:space="preserve">Pool 1 x Claims x Price/Structural</w:t>
            </w:r>
          </w:p>
        </w:tc>
      </w:tr>
      <w:tr>
        <w:tc>
          <w:tcPr>
            <w:tcW w:w="5298" w:type="dxa"/>
          </w:tcPr>
          <w:p>
            <w:pPr>
              <w:pStyle w:val="Compact"/>
              <w:jc w:val="left"/>
              <w:spacing w:before="20" w:after="20" w:line="220" w:lineRule="auto"/>
            </w:pPr>
            <w:r>
              <w:rPr>
                <w:sz w:val="15"/>
                <w:szCs w:val="15"/>
              </w:rPr>
              <w:t xml:space="preserve">Trapped capital and licence hypothesis (pool 5b + 5c)</w:t>
            </w:r>
          </w:p>
        </w:tc>
        <w:tc>
          <w:tcPr>
            <w:tcW w:w="3661" w:type="dxa"/>
          </w:tcPr>
          <w:p>
            <w:pPr>
              <w:pStyle w:val="Compact"/>
              <w:jc w:val="left"/>
              <w:spacing w:before="20" w:after="20" w:line="220" w:lineRule="auto"/>
            </w:pPr>
            <w:r>
              <w:rPr>
                <w:sz w:val="15"/>
                <w:szCs w:val="15"/>
              </w:rPr>
              <w:t xml:space="preserve">Derived; economic</w:t>
            </w:r>
          </w:p>
        </w:tc>
        <w:tc>
          <w:tcPr>
            <w:tcW w:w="779" w:type="dxa"/>
          </w:tcPr>
          <w:p>
            <w:pPr>
              <w:pStyle w:val="Compact"/>
              <w:jc w:val="left"/>
              <w:spacing w:before="20" w:after="20" w:line="220" w:lineRule="auto"/>
            </w:pPr>
            <w:r>
              <w:rPr>
                <w:sz w:val="15"/>
                <w:szCs w:val="15"/>
              </w:rPr>
              <w:t xml:space="preserve">10</w:t>
            </w:r>
          </w:p>
        </w:tc>
        <w:tc>
          <w:tcPr>
            <w:tcW w:w="779" w:type="dxa"/>
          </w:tcPr>
          <w:p>
            <w:pPr>
              <w:pStyle w:val="Compact"/>
              <w:jc w:val="left"/>
              <w:spacing w:before="20" w:after="20" w:line="220" w:lineRule="auto"/>
            </w:pPr>
            <w:r>
              <w:rPr>
                <w:sz w:val="15"/>
                <w:szCs w:val="15"/>
              </w:rPr>
              <w:t xml:space="preserve">99</w:t>
            </w:r>
          </w:p>
        </w:tc>
        <w:tc>
          <w:tcPr>
            <w:tcW w:w="779" w:type="dxa"/>
          </w:tcPr>
          <w:p>
            <w:pPr>
              <w:pStyle w:val="Compact"/>
              <w:jc w:val="left"/>
              <w:spacing w:before="20" w:after="20" w:line="220" w:lineRule="auto"/>
            </w:pPr>
            <w:r>
              <w:rPr>
                <w:sz w:val="15"/>
                <w:szCs w:val="15"/>
              </w:rPr>
              <w:t xml:space="preserve">169</w:t>
            </w:r>
          </w:p>
        </w:tc>
        <w:tc>
          <w:tcPr>
            <w:tcW w:w="3272" w:type="dxa"/>
          </w:tcPr>
          <w:p>
            <w:pPr>
              <w:pStyle w:val="Compact"/>
              <w:jc w:val="left"/>
              <w:spacing w:before="20" w:after="20" w:line="220" w:lineRule="auto"/>
            </w:pPr>
            <w:r>
              <w:rPr>
                <w:sz w:val="15"/>
                <w:szCs w:val="15"/>
              </w:rPr>
              <w:t xml:space="preserve">Pool 5 x Structural</w:t>
            </w:r>
          </w:p>
        </w:tc>
      </w:tr>
      <w:tr>
        <w:tc>
          <w:tcPr>
            <w:tcW w:w="5298" w:type="dxa"/>
          </w:tcPr>
          <w:p>
            <w:pPr>
              <w:pStyle w:val="Compact"/>
              <w:jc w:val="left"/>
              <w:spacing w:before="20" w:after="20" w:line="220" w:lineRule="auto"/>
            </w:pPr>
            <w:r>
              <w:rPr>
                <w:sz w:val="15"/>
                <w:szCs w:val="15"/>
              </w:rPr>
              <w:t xml:space="preserve">Total hypothesis, accounting lines (savings + claims leakage + reinsurance)</w:t>
            </w:r>
          </w:p>
        </w:tc>
        <w:tc>
          <w:tcPr>
            <w:tcW w:w="3661" w:type="dxa"/>
          </w:tcPr>
          <w:p>
            <w:pPr>
              <w:pStyle w:val="Compact"/>
              <w:jc w:val="left"/>
              <w:spacing w:before="20" w:after="20" w:line="220" w:lineRule="auto"/>
            </w:pPr>
            <w:r>
              <w:rPr>
                <w:sz w:val="15"/>
                <w:szCs w:val="15"/>
              </w:rPr>
              <w:t xml:space="preserve">Derived</w:t>
            </w:r>
          </w:p>
        </w:tc>
        <w:tc>
          <w:tcPr>
            <w:tcW w:w="779" w:type="dxa"/>
          </w:tcPr>
          <w:p>
            <w:pPr>
              <w:pStyle w:val="Compact"/>
              <w:jc w:val="left"/>
              <w:spacing w:before="20" w:after="20" w:line="220" w:lineRule="auto"/>
            </w:pPr>
            <w:r>
              <w:rPr>
                <w:sz w:val="15"/>
                <w:szCs w:val="15"/>
              </w:rPr>
              <w:t xml:space="preserve">276</w:t>
            </w:r>
          </w:p>
        </w:tc>
        <w:tc>
          <w:tcPr>
            <w:tcW w:w="779" w:type="dxa"/>
          </w:tcPr>
          <w:p>
            <w:pPr>
              <w:pStyle w:val="Compact"/>
              <w:jc w:val="left"/>
              <w:spacing w:before="20" w:after="20" w:line="220" w:lineRule="auto"/>
            </w:pPr>
            <w:r>
              <w:rPr>
                <w:sz w:val="15"/>
                <w:szCs w:val="15"/>
              </w:rPr>
              <w:t xml:space="preserve">505</w:t>
            </w:r>
          </w:p>
        </w:tc>
        <w:tc>
          <w:tcPr>
            <w:tcW w:w="779" w:type="dxa"/>
          </w:tcPr>
          <w:p>
            <w:pPr>
              <w:pStyle w:val="Compact"/>
              <w:jc w:val="left"/>
              <w:spacing w:before="20" w:after="20" w:line="220" w:lineRule="auto"/>
            </w:pPr>
            <w:r>
              <w:rPr>
                <w:sz w:val="15"/>
                <w:szCs w:val="15"/>
              </w:rPr>
              <w:t xml:space="preserve">806</w:t>
            </w:r>
          </w:p>
        </w:tc>
        <w:tc>
          <w:tcPr>
            <w:tcW w:w="3272" w:type="dxa"/>
          </w:tcPr>
          <w:p>
            <w:pPr>
              <w:pStyle w:val="Compact"/>
              <w:jc w:val="left"/>
              <w:spacing w:before="20" w:after="20" w:line="220" w:lineRule="auto"/>
            </w:pPr>
            <w:r>
              <w:rPr>
                <w:sz w:val="15"/>
                <w:szCs w:val="15"/>
              </w:rPr>
              <w:t xml:space="preserve">All</w:t>
            </w:r>
          </w:p>
        </w:tc>
      </w:tr>
      <w:tr>
        <w:tc>
          <w:tcPr>
            <w:tcW w:w="5298" w:type="dxa"/>
          </w:tcPr>
          <w:p>
            <w:pPr>
              <w:pStyle w:val="Compact"/>
              <w:jc w:val="left"/>
              <w:spacing w:before="20" w:after="20" w:line="220" w:lineRule="auto"/>
            </w:pPr>
            <w:r>
              <w:rPr>
                <w:sz w:val="15"/>
                <w:szCs w:val="15"/>
              </w:rPr>
              <w:t xml:space="preserve">Cost to achieve (multiple of run-rate accounting savings)</w:t>
            </w:r>
          </w:p>
        </w:tc>
        <w:tc>
          <w:tcPr>
            <w:tcW w:w="3661" w:type="dxa"/>
          </w:tcPr>
          <w:p>
            <w:pPr>
              <w:pStyle w:val="Compact"/>
              <w:jc w:val="left"/>
              <w:spacing w:before="20" w:after="20" w:line="220" w:lineRule="auto"/>
            </w:pPr>
            <w:r>
              <w:rPr>
                <w:sz w:val="15"/>
                <w:szCs w:val="15"/>
              </w:rPr>
              <w:t xml:space="preserve">Derived; Assumption† precedent multiple</w:t>
            </w:r>
          </w:p>
        </w:tc>
        <w:tc>
          <w:tcPr>
            <w:tcW w:w="779" w:type="dxa"/>
          </w:tcPr>
          <w:p>
            <w:pPr>
              <w:pStyle w:val="Compact"/>
              <w:jc w:val="left"/>
              <w:spacing w:before="20" w:after="20" w:line="220" w:lineRule="auto"/>
            </w:pPr>
            <w:r>
              <w:rPr>
                <w:sz w:val="15"/>
                <w:szCs w:val="15"/>
              </w:rPr>
              <w:t xml:space="preserve">138</w:t>
            </w:r>
          </w:p>
        </w:tc>
        <w:tc>
          <w:tcPr>
            <w:tcW w:w="779" w:type="dxa"/>
          </w:tcPr>
          <w:p>
            <w:pPr>
              <w:pStyle w:val="Compact"/>
              <w:jc w:val="left"/>
              <w:spacing w:before="20" w:after="20" w:line="220" w:lineRule="auto"/>
            </w:pPr>
            <w:r>
              <w:rPr>
                <w:sz w:val="15"/>
                <w:szCs w:val="15"/>
              </w:rPr>
              <w:t xml:space="preserve">505</w:t>
            </w:r>
          </w:p>
        </w:tc>
        <w:tc>
          <w:tcPr>
            <w:tcW w:w="779" w:type="dxa"/>
          </w:tcPr>
          <w:p>
            <w:pPr>
              <w:pStyle w:val="Compact"/>
              <w:jc w:val="left"/>
              <w:spacing w:before="20" w:after="20" w:line="220" w:lineRule="auto"/>
            </w:pPr>
            <w:r>
              <w:rPr>
                <w:sz w:val="15"/>
                <w:szCs w:val="15"/>
              </w:rPr>
              <w:t xml:space="preserve">1,451</w:t>
            </w:r>
          </w:p>
        </w:tc>
        <w:tc>
          <w:tcPr>
            <w:tcW w:w="3272" w:type="dxa"/>
          </w:tcPr>
          <w:p>
            <w:pPr>
              <w:pStyle w:val="Compact"/>
              <w:jc w:val="left"/>
              <w:spacing w:before="20" w:after="20" w:line="220" w:lineRule="auto"/>
            </w:pPr>
            <w:r>
              <w:rPr>
                <w:sz w:val="15"/>
                <w:szCs w:val="15"/>
              </w:rPr>
              <w:t xml:space="preserve">n/a</w:t>
            </w:r>
          </w:p>
        </w:tc>
      </w:tr>
    </w:tbl>
    <w:bookmarkEnd w:id="36"/>
    <w:bookmarkEnd w:id="37"/>
    <w:bookmarkStart w:id="38" w:name="X8688f4f3d10df90571e4b0b5d6232487a7807d2"/>
    <w:p>
      <w:pPr>
        <w:pStyle w:val="Heading2"/>
      </w:pPr>
      <w:r>
        <w:t xml:space="preserve">4. Addressable cost base mapped to the Phase 1 tree</w:t>
      </w:r>
    </w:p>
    <w:p>
      <w:pPr>
        <w:pStyle w:val="FirstParagraph"/>
      </w:pPr>
      <w:r>
        <w:t xml:space="preserve">Section G of the table above places FY2025 into the five pools. Pool 1 (claims and benefits, net) is R5 456m to R6 092m depending on the attributable carve-out. Pool 2 (acquisition) is R982m on the expense view and R1 387m on the cash view, of which R774m is the bank fee and R613m is other commission and adviser remuneration. Pool 3 (operating expense) is R2 905m to R3 941m, base R3 492m: R1 042m non-attributable, R363m to R999m attributable, and R1 500m to R1 900m for the intermediary block. Pool 4 is immaterial at R7m to R13m. Pool 5 is R837m of economic cost of capital, of which R0m to R129m is trapped above target cover, plus R10m to R40m for one avoidable licence.</w:t>
      </w:r>
    </w:p>
    <w:p>
      <w:pPr>
        <w:pStyle w:val="BodyText"/>
      </w:pPr>
      <w:r>
        <w:t xml:space="preserve">The addressable accounting base is pool 3 plus pool 2 excluding the bank fee plus pool 4: R3 119m low, R3 710m base, R4 161m high. Section H applies the precedent savings range of 6 to 13 percent, the claims leakage band of 1 to 3 percent of net claims, a 5 to 15 percent saving on net reinsurance cost, and the trapped capital and licence lines. The total hypothesis on accounting lines is R252m to R754m, base R468m, which is roughly a third of Insurance SA profit before tax of R1 448m in the base case. Cost to achieve at precedent multiples is R126m to R1 356m. Every input is on the Normalisation tab with its rationale and can be changed.</w:t>
      </w:r>
    </w:p>
    <w:bookmarkEnd w:id="38"/>
    <w:bookmarkStart w:id="39" w:name="X88a08772876204e606ec398661517b954a9a33e"/>
    <w:p>
      <w:pPr>
        <w:pStyle w:val="Heading2"/>
      </w:pPr>
      <w:r>
        <w:t xml:space="preserve">5. The ten data points only management information can close</w:t>
      </w:r>
    </w:p>
    <w:p>
      <w:pPr>
        <w:numPr>
          <w:ilvl w:val="0"/>
          <w:numId w:val="1001"/>
        </w:numPr>
        <w:pStyle w:val="Compact"/>
      </w:pPr>
      <w:r>
        <w:t xml:space="preserve">Expense by nature (staff, IT, premises, professional fees, group recharges) by legal entity and for Insurance HO, FY2023 to FY2025.</w:t>
      </w:r>
    </w:p>
    <w:p>
      <w:pPr>
        <w:numPr>
          <w:ilvl w:val="0"/>
          <w:numId w:val="1001"/>
        </w:numPr>
        <w:pStyle w:val="Compact"/>
      </w:pPr>
      <w:r>
        <w:t xml:space="preserve">The split of insurance service expenses into incurred claims and other directly attributable expenses, by entity and by function (claims handling, policy administration, underwriting).</w:t>
      </w:r>
    </w:p>
    <w:p>
      <w:pPr>
        <w:numPr>
          <w:ilvl w:val="0"/>
          <w:numId w:val="1001"/>
        </w:numPr>
        <w:pStyle w:val="Compact"/>
      </w:pPr>
      <w:r>
        <w:t xml:space="preserve">Headcount by function and entity, including the head office, and the managers-to-staff ratio by layer.</w:t>
      </w:r>
    </w:p>
    <w:p>
      <w:pPr>
        <w:numPr>
          <w:ilvl w:val="0"/>
          <w:numId w:val="1001"/>
        </w:numPr>
        <w:pStyle w:val="Compact"/>
      </w:pPr>
      <w:r>
        <w:t xml:space="preserve">In-force policy counts by product and the number of product versions and rate tables in force.</w:t>
      </w:r>
    </w:p>
    <w:p>
      <w:pPr>
        <w:numPr>
          <w:ilvl w:val="0"/>
          <w:numId w:val="1001"/>
        </w:numPr>
        <w:pStyle w:val="Compact"/>
      </w:pPr>
      <w:r>
        <w:t xml:space="preserve">Adviser headcount, annual premium equivalent per adviser and the adviser remuneration model for AIFA and Instant Life.</w:t>
      </w:r>
    </w:p>
    <w:p>
      <w:pPr>
        <w:numPr>
          <w:ilvl w:val="0"/>
          <w:numId w:val="1001"/>
        </w:numPr>
        <w:pStyle w:val="Compact"/>
      </w:pPr>
      <w:r>
        <w:t xml:space="preserve">Commission and fees paid to Absa Bank by product, and the terms of the distribution agreement, so that the R774m can be confirmed as the AFS fee and allocated.</w:t>
      </w:r>
    </w:p>
    <w:p>
      <w:pPr>
        <w:numPr>
          <w:ilvl w:val="0"/>
          <w:numId w:val="1001"/>
        </w:numPr>
        <w:pStyle w:val="Compact"/>
      </w:pPr>
      <w:r>
        <w:t xml:space="preserve">Group shared service recharges into AFS by service, with the VAT treatment of each.</w:t>
      </w:r>
    </w:p>
    <w:p>
      <w:pPr>
        <w:numPr>
          <w:ilvl w:val="0"/>
          <w:numId w:val="1001"/>
        </w:numPr>
        <w:pStyle w:val="Compact"/>
      </w:pPr>
      <w:r>
        <w:t xml:space="preserve">The reinsurance programme by entity: structure, counterparties, ceded premium and recoveries, and whether placement is entity by entity or group-wide.</w:t>
      </w:r>
    </w:p>
    <w:p>
      <w:pPr>
        <w:numPr>
          <w:ilvl w:val="0"/>
          <w:numId w:val="1001"/>
        </w:numPr>
        <w:pStyle w:val="Compact"/>
      </w:pPr>
      <w:r>
        <w:t xml:space="preserve">Board target solvency covers, SAM own funds and SCR by entity, so that trapped capital is measured rather than proxied.</w:t>
      </w:r>
    </w:p>
    <w:p>
      <w:pPr>
        <w:numPr>
          <w:ilvl w:val="0"/>
          <w:numId w:val="1001"/>
        </w:numPr>
        <w:pStyle w:val="Compact"/>
      </w:pPr>
      <w:r>
        <w:t xml:space="preserve">The platform and vendor inventory with contract values, and the cost of each licence (board, head of actuarial function, audit, levies, returns), including the FY2025 income statement of the advice and investment businesses, which is no longer disclosed.</w:t>
      </w:r>
    </w:p>
    <w:bookmarkEnd w:id="39"/>
    <w:bookmarkStart w:id="40" w:name="verification"/>
    <w:p>
      <w:pPr>
        <w:pStyle w:val="Heading2"/>
      </w:pPr>
      <w:r>
        <w:t xml:space="preserve">6. Verification</w:t>
      </w:r>
    </w:p>
    <w:p>
      <w:pPr>
        <w:pStyle w:val="FirstParagraph"/>
      </w:pPr>
      <w:r>
        <w:t xml:space="preserve">See section 6 of</w:t>
      </w:r>
      <w:r>
        <w:t xml:space="preserve"> </w:t>
      </w:r>
      <w:r>
        <w:rPr>
          <w:rStyle w:val="VerbatimChar"/>
        </w:rPr>
        <w:t xml:space="preserve">03_benchmark.md</w:t>
      </w:r>
      <w:r>
        <w:t xml:space="preserve"> </w:t>
      </w:r>
      <w:r>
        <w:t xml:space="preserve">for the verification pass that covers both documents.</w:t>
      </w:r>
    </w:p>
    <w:bookmarkEnd w:id="40"/>
    <w:bookmarkEnd w:id="41"/>
    <w:sectPr>
      <w:pgSz w:w="16838" w:h="11906" w:orient="landscape"/>
      <w:pgMar w:top="1134" w:right="1134" w:bottom="1134" w:left="1134" w:header="708" w:footer="708"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2026-10-07T01:44:11Z</dcterms:created>
  <dcterms:modified xsi:type="dcterms:W3CDTF">2026-10-07T01:44:11Z</dcterms:modified>
</cp:coreProperties>
</file>

<file path=docProps/custom.xml><?xml version="1.0" encoding="utf-8"?>
<Properties xmlns="http://schemas.openxmlformats.org/officeDocument/2006/custom-properties" xmlns:vt="http://schemas.openxmlformats.org/officeDocument/2006/docPropsVTypes"/>
</file>