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7.png" ContentType="image/png"/>
  <Override PartName="/word/media/rId41.png" ContentType="image/png"/>
  <Override PartName="/word/media/rId22.png" ContentType="image/png"/>
  <Override PartName="/word/media/rId5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6c7b84970fe044a2b9983ce532999997e6585d7"/>
    <w:p>
      <w:pPr>
        <w:pStyle w:val="Heading1"/>
      </w:pPr>
      <w:r>
        <w:t xml:space="preserve">Centralisation at Absa Financial Services: what it is worth, where the money is, and what it will cost</w:t>
      </w:r>
    </w:p>
    <w:p>
      <w:pPr>
        <w:pStyle w:val="FirstParagraph"/>
      </w:pPr>
      <w:r>
        <w:t xml:space="preserve">Point of view for the managing executive of Absa Financial Services. Prepared by EY. 7 October 2026. Draft, not for distribution.</w:t>
      </w:r>
    </w:p>
    <w:p>
      <w:pPr>
        <w:pStyle w:val="BodyText"/>
      </w:pPr>
      <w:r>
        <w:t xml:space="preserve">All figures are rand millions for the financial year to December 2025 on an IFRS 17 basis unless stated. Every figure is tagged Fact (disclosed), Derived (calculated) or Assumption (marked with a dagger, with low, base and high) and traces to a data_id or a named assumption in the accompanying workbook</w:t>
      </w:r>
      <w:r>
        <w:t xml:space="preserve"> </w:t>
      </w:r>
      <w:r>
        <w:rPr>
          <w:rStyle w:val="VerbatimChar"/>
        </w:rPr>
        <w:t xml:space="preserve">afs_cost_benchmark.xlsx</w:t>
      </w:r>
      <w:r>
        <w:t xml:space="preserve">. Every rand figure for savings is a hypothesis range built from public information and peer evidence. It is not a target.</w:t>
      </w:r>
    </w:p>
    <w:bookmarkStart w:id="20" w:name="executive-summary"/>
    <w:sdt>
      <w:sdtPr>
        <w:docPartObj>
          <w:docPartGallery w:val="Table of Contents"/>
          <w:docPartUnique/>
        </w:docPartObj>
      </w:sdtPr>
      <w:sdtContent>
        <w:p>
          <w:pPr>
            <w:pStyle w:val="TOCHeading"/>
          </w:pPr>
          <w:r>
            <w:t xml:space="preserve">Table of Contents</w:t>
          </w:r>
        </w:p>
        <w:p>
          <w:r>
            <w:rPr>
              <w:sz w:val="20"/>
              <w:szCs w:val="20"/>
            </w:rPr>
            <w:fldChar w:fldCharType="begin" w:dirty="true"/>
          </w:r>
          <w:r>
            <w:rPr>
              <w:sz w:val="20"/>
              <w:szCs w:val="20"/>
            </w:rPr>
            <w:instrText xml:space="preserve"> TOC \o "1-2" \h \z \u </w:instrText>
          </w:r>
          <w:r>
            <w:rPr>
              <w:sz w:val="20"/>
              <w:szCs w:val="20"/>
            </w:rPr>
            <w:fldChar w:fldCharType="separate"/>
          </w:r>
        </w:p>
        <w:p>
          <w:pPr>
            <w:tabs>
              <w:tab w:val="right" w:leader="dot" w:pos="9060"/>
            </w:tabs>
            <w:spacing w:before="60" w:after="0"/>
            <w:ind w:left="0"/>
          </w:pPr>
          <w:r>
            <w:rPr>
              <w:b/>
              <w:sz w:val="20"/>
              <w:szCs w:val="20"/>
            </w:rPr>
            <w:t xml:space="preserve">1. Executive summary</w:t>
          </w:r>
          <w:r>
            <w:rPr>
              <w:sz w:val="20"/>
              <w:szCs w:val="20"/>
            </w:rPr>
            <w:tab/>
          </w:r>
          <w:r>
            <w:rPr>
              <w:sz w:val="20"/>
              <w:szCs w:val="20"/>
            </w:rPr>
            <w:t xml:space="preserve">2</w:t>
          </w:r>
        </w:p>
        <w:p>
          <w:pPr>
            <w:tabs>
              <w:tab w:val="right" w:leader="dot" w:pos="9060"/>
            </w:tabs>
            <w:spacing w:before="60" w:after="0"/>
            <w:ind w:left="0"/>
          </w:pPr>
          <w:r>
            <w:rPr>
              <w:b/>
              <w:sz w:val="20"/>
              <w:szCs w:val="20"/>
            </w:rPr>
            <w:t xml:space="preserve">2. What AFS is today</w:t>
          </w:r>
          <w:r>
            <w:rPr>
              <w:sz w:val="20"/>
              <w:szCs w:val="20"/>
            </w:rPr>
            <w:tab/>
          </w:r>
          <w:r>
            <w:rPr>
              <w:sz w:val="20"/>
              <w:szCs w:val="20"/>
            </w:rPr>
            <w:t xml:space="preserve">2</w:t>
          </w:r>
        </w:p>
        <w:p>
          <w:pPr>
            <w:tabs>
              <w:tab w:val="right" w:leader="dot" w:pos="9060"/>
            </w:tabs>
            <w:spacing w:before="60" w:after="0"/>
            <w:ind w:left="0"/>
          </w:pPr>
          <w:r>
            <w:rPr>
              <w:b/>
              <w:sz w:val="20"/>
              <w:szCs w:val="20"/>
            </w:rPr>
            <w:t xml:space="preserve">3. The cost base</w:t>
          </w:r>
          <w:r>
            <w:rPr>
              <w:sz w:val="20"/>
              <w:szCs w:val="20"/>
            </w:rPr>
            <w:tab/>
          </w:r>
          <w:r>
            <w:rPr>
              <w:sz w:val="20"/>
              <w:szCs w:val="20"/>
            </w:rPr>
            <w:t xml:space="preserve">4</w:t>
          </w:r>
        </w:p>
        <w:p>
          <w:pPr>
            <w:tabs>
              <w:tab w:val="right" w:leader="dot" w:pos="9060"/>
            </w:tabs>
            <w:spacing w:before="0" w:after="0"/>
            <w:ind w:left="400"/>
          </w:pPr>
          <w:r>
            <w:rPr>
              <w:sz w:val="20"/>
              <w:szCs w:val="20"/>
            </w:rPr>
            <w:t xml:space="preserve">3.1 Insurance SA series and division view</w:t>
          </w:r>
          <w:r>
            <w:rPr>
              <w:sz w:val="20"/>
              <w:szCs w:val="20"/>
            </w:rPr>
            <w:tab/>
          </w:r>
          <w:r>
            <w:rPr>
              <w:sz w:val="20"/>
              <w:szCs w:val="20"/>
            </w:rPr>
            <w:t xml:space="preserve">6</w:t>
          </w:r>
        </w:p>
        <w:p>
          <w:pPr>
            <w:tabs>
              <w:tab w:val="right" w:leader="dot" w:pos="9060"/>
            </w:tabs>
            <w:spacing w:before="0" w:after="0"/>
            <w:ind w:left="400"/>
          </w:pPr>
          <w:r>
            <w:rPr>
              <w:sz w:val="20"/>
              <w:szCs w:val="20"/>
            </w:rPr>
            <w:t xml:space="preserve">3.2 Group note 8 allocation, intra-group flows, entities and reconciliation</w:t>
          </w:r>
          <w:r>
            <w:rPr>
              <w:sz w:val="20"/>
              <w:szCs w:val="20"/>
            </w:rPr>
            <w:tab/>
          </w:r>
          <w:r>
            <w:rPr>
              <w:sz w:val="20"/>
              <w:szCs w:val="20"/>
            </w:rPr>
            <w:t xml:space="preserve">6</w:t>
          </w:r>
        </w:p>
        <w:p>
          <w:pPr>
            <w:tabs>
              <w:tab w:val="right" w:leader="dot" w:pos="9060"/>
            </w:tabs>
            <w:spacing w:before="0" w:after="0"/>
            <w:ind w:left="400"/>
          </w:pPr>
          <w:r>
            <w:rPr>
              <w:sz w:val="20"/>
              <w:szCs w:val="20"/>
            </w:rPr>
            <w:t xml:space="preserve">3.3 Mapping to the cost pools and the addressable base</w:t>
          </w:r>
          <w:r>
            <w:rPr>
              <w:sz w:val="20"/>
              <w:szCs w:val="20"/>
            </w:rPr>
            <w:tab/>
          </w:r>
          <w:r>
            <w:rPr>
              <w:sz w:val="20"/>
              <w:szCs w:val="20"/>
            </w:rPr>
            <w:t xml:space="preserve">9</w:t>
          </w:r>
        </w:p>
        <w:p>
          <w:pPr>
            <w:tabs>
              <w:tab w:val="right" w:leader="dot" w:pos="9060"/>
            </w:tabs>
            <w:spacing w:before="60" w:after="0"/>
            <w:ind w:left="0"/>
          </w:pPr>
          <w:r>
            <w:rPr>
              <w:b/>
              <w:sz w:val="20"/>
              <w:szCs w:val="20"/>
            </w:rPr>
            <w:t xml:space="preserve">4. Where AFS stands against peers</w:t>
          </w:r>
          <w:r>
            <w:rPr>
              <w:sz w:val="20"/>
              <w:szCs w:val="20"/>
            </w:rPr>
            <w:tab/>
          </w:r>
          <w:r>
            <w:rPr>
              <w:sz w:val="20"/>
              <w:szCs w:val="20"/>
            </w:rPr>
            <w:t xml:space="preserve">10</w:t>
          </w:r>
        </w:p>
        <w:p>
          <w:pPr>
            <w:tabs>
              <w:tab w:val="right" w:leader="dot" w:pos="9060"/>
            </w:tabs>
            <w:spacing w:before="0" w:after="0"/>
            <w:ind w:left="400"/>
          </w:pPr>
          <w:r>
            <w:rPr>
              <w:sz w:val="20"/>
              <w:szCs w:val="20"/>
            </w:rPr>
            <w:t xml:space="preserve">4.1 Overhead by division</w:t>
          </w:r>
          <w:r>
            <w:rPr>
              <w:sz w:val="20"/>
              <w:szCs w:val="20"/>
            </w:rPr>
            <w:tab/>
          </w:r>
          <w:r>
            <w:rPr>
              <w:sz w:val="20"/>
              <w:szCs w:val="20"/>
            </w:rPr>
            <w:t xml:space="preserve">10</w:t>
          </w:r>
        </w:p>
        <w:p>
          <w:pPr>
            <w:tabs>
              <w:tab w:val="right" w:leader="dot" w:pos="9060"/>
            </w:tabs>
            <w:spacing w:before="0" w:after="0"/>
            <w:ind w:left="400"/>
          </w:pPr>
          <w:r>
            <w:rPr>
              <w:sz w:val="20"/>
              <w:szCs w:val="20"/>
            </w:rPr>
            <w:t xml:space="preserve">4.2 The comparable expense ratio</w:t>
          </w:r>
          <w:r>
            <w:rPr>
              <w:sz w:val="20"/>
              <w:szCs w:val="20"/>
            </w:rPr>
            <w:tab/>
          </w:r>
          <w:r>
            <w:rPr>
              <w:sz w:val="20"/>
              <w:szCs w:val="20"/>
            </w:rPr>
            <w:t xml:space="preserve">11</w:t>
          </w:r>
        </w:p>
        <w:p>
          <w:pPr>
            <w:tabs>
              <w:tab w:val="right" w:leader="dot" w:pos="9060"/>
            </w:tabs>
            <w:spacing w:before="0" w:after="0"/>
            <w:ind w:left="400"/>
          </w:pPr>
          <w:r>
            <w:rPr>
              <w:sz w:val="20"/>
              <w:szCs w:val="20"/>
            </w:rPr>
            <w:t xml:space="preserve">4.3 Acquisition cost with and without the bank fee</w:t>
          </w:r>
          <w:r>
            <w:rPr>
              <w:sz w:val="20"/>
              <w:szCs w:val="20"/>
            </w:rPr>
            <w:tab/>
          </w:r>
          <w:r>
            <w:rPr>
              <w:sz w:val="20"/>
              <w:szCs w:val="20"/>
            </w:rPr>
            <w:t xml:space="preserve">11</w:t>
          </w:r>
        </w:p>
        <w:p>
          <w:pPr>
            <w:tabs>
              <w:tab w:val="right" w:leader="dot" w:pos="9060"/>
            </w:tabs>
            <w:spacing w:before="0" w:after="0"/>
            <w:ind w:left="400"/>
          </w:pPr>
          <w:r>
            <w:rPr>
              <w:sz w:val="20"/>
              <w:szCs w:val="20"/>
            </w:rPr>
            <w:t xml:space="preserve">4.4 The non-life combined ratio before and after overhead</w:t>
          </w:r>
          <w:r>
            <w:rPr>
              <w:sz w:val="20"/>
              <w:szCs w:val="20"/>
            </w:rPr>
            <w:tab/>
          </w:r>
          <w:r>
            <w:rPr>
              <w:sz w:val="20"/>
              <w:szCs w:val="20"/>
            </w:rPr>
            <w:t xml:space="preserve">12</w:t>
          </w:r>
        </w:p>
        <w:p>
          <w:pPr>
            <w:tabs>
              <w:tab w:val="right" w:leader="dot" w:pos="9060"/>
            </w:tabs>
            <w:spacing w:before="0" w:after="0"/>
            <w:ind w:left="400"/>
          </w:pPr>
          <w:r>
            <w:rPr>
              <w:sz w:val="20"/>
              <w:szCs w:val="20"/>
            </w:rPr>
            <w:t xml:space="preserve">4.5 Summary statistics and gap to median and top quartile</w:t>
          </w:r>
          <w:r>
            <w:rPr>
              <w:sz w:val="20"/>
              <w:szCs w:val="20"/>
            </w:rPr>
            <w:tab/>
          </w:r>
          <w:r>
            <w:rPr>
              <w:sz w:val="20"/>
              <w:szCs w:val="20"/>
            </w:rPr>
            <w:t xml:space="preserve">13</w:t>
          </w:r>
        </w:p>
        <w:p>
          <w:pPr>
            <w:tabs>
              <w:tab w:val="right" w:leader="dot" w:pos="9060"/>
            </w:tabs>
            <w:spacing w:before="60" w:after="0"/>
            <w:ind w:left="0"/>
          </w:pPr>
          <w:r>
            <w:rPr>
              <w:b/>
              <w:sz w:val="20"/>
              <w:szCs w:val="20"/>
            </w:rPr>
            <w:t xml:space="preserve">5. The five hypotheses</w:t>
          </w:r>
          <w:r>
            <w:rPr>
              <w:sz w:val="20"/>
              <w:szCs w:val="20"/>
            </w:rPr>
            <w:tab/>
          </w:r>
          <w:r>
            <w:rPr>
              <w:sz w:val="20"/>
              <w:szCs w:val="20"/>
            </w:rPr>
            <w:t xml:space="preserve">14</w:t>
          </w:r>
        </w:p>
        <w:p>
          <w:pPr>
            <w:tabs>
              <w:tab w:val="right" w:leader="dot" w:pos="9060"/>
            </w:tabs>
            <w:spacing w:before="0" w:after="0"/>
            <w:ind w:left="400"/>
          </w:pPr>
          <w:r>
            <w:rPr>
              <w:sz w:val="20"/>
              <w:szCs w:val="20"/>
            </w:rPr>
            <w:t xml:space="preserve">5.1 The overhead problem is non-life and head office, not life</w:t>
          </w:r>
          <w:r>
            <w:rPr>
              <w:sz w:val="20"/>
              <w:szCs w:val="20"/>
            </w:rPr>
            <w:tab/>
          </w:r>
          <w:r>
            <w:rPr>
              <w:sz w:val="20"/>
              <w:szCs w:val="20"/>
            </w:rPr>
            <w:t xml:space="preserve">14</w:t>
          </w:r>
        </w:p>
        <w:p>
          <w:pPr>
            <w:tabs>
              <w:tab w:val="right" w:leader="dot" w:pos="9060"/>
            </w:tabs>
            <w:spacing w:before="0" w:after="0"/>
            <w:ind w:left="400"/>
          </w:pPr>
          <w:r>
            <w:rPr>
              <w:sz w:val="20"/>
              <w:szCs w:val="20"/>
            </w:rPr>
            <w:t xml:space="preserve">5.2 The advice and investment businesses are the larger problem and the weaker disclosure</w:t>
          </w:r>
          <w:r>
            <w:rPr>
              <w:sz w:val="20"/>
              <w:szCs w:val="20"/>
            </w:rPr>
            <w:tab/>
          </w:r>
          <w:r>
            <w:rPr>
              <w:sz w:val="20"/>
              <w:szCs w:val="20"/>
            </w:rPr>
            <w:t xml:space="preserve">14</w:t>
          </w:r>
        </w:p>
        <w:p>
          <w:pPr>
            <w:tabs>
              <w:tab w:val="right" w:leader="dot" w:pos="9060"/>
            </w:tabs>
            <w:spacing w:before="0" w:after="0"/>
            <w:ind w:left="400"/>
          </w:pPr>
          <w:r>
            <w:rPr>
              <w:sz w:val="20"/>
              <w:szCs w:val="20"/>
            </w:rPr>
            <w:t xml:space="preserve">5.3 Acquisition cost is a transfer-pricing question, not a saving</w:t>
          </w:r>
          <w:r>
            <w:rPr>
              <w:sz w:val="20"/>
              <w:szCs w:val="20"/>
            </w:rPr>
            <w:tab/>
          </w:r>
          <w:r>
            <w:rPr>
              <w:sz w:val="20"/>
              <w:szCs w:val="20"/>
            </w:rPr>
            <w:t xml:space="preserve">15</w:t>
          </w:r>
        </w:p>
        <w:p>
          <w:pPr>
            <w:tabs>
              <w:tab w:val="right" w:leader="dot" w:pos="9060"/>
            </w:tabs>
            <w:spacing w:before="0" w:after="0"/>
            <w:ind w:left="400"/>
          </w:pPr>
          <w:r>
            <w:rPr>
              <w:sz w:val="20"/>
              <w:szCs w:val="20"/>
            </w:rPr>
            <w:t xml:space="preserve">5.4 The combined ratio advantage is being spent on overhead</w:t>
          </w:r>
          <w:r>
            <w:rPr>
              <w:sz w:val="20"/>
              <w:szCs w:val="20"/>
            </w:rPr>
            <w:tab/>
          </w:r>
          <w:r>
            <w:rPr>
              <w:sz w:val="20"/>
              <w:szCs w:val="20"/>
            </w:rPr>
            <w:t xml:space="preserve">15</w:t>
          </w:r>
        </w:p>
        <w:p>
          <w:pPr>
            <w:tabs>
              <w:tab w:val="right" w:leader="dot" w:pos="9060"/>
            </w:tabs>
            <w:spacing w:before="0" w:after="0"/>
            <w:ind w:left="400"/>
          </w:pPr>
          <w:r>
            <w:rPr>
              <w:sz w:val="20"/>
              <w:szCs w:val="20"/>
            </w:rPr>
            <w:t xml:space="preserve">5.5 The size of the prize is R276m to R806m, base R505m</w:t>
          </w:r>
          <w:r>
            <w:rPr>
              <w:sz w:val="20"/>
              <w:szCs w:val="20"/>
            </w:rPr>
            <w:tab/>
          </w:r>
          <w:r>
            <w:rPr>
              <w:sz w:val="20"/>
              <w:szCs w:val="20"/>
            </w:rPr>
            <w:t xml:space="preserve">15</w:t>
          </w:r>
        </w:p>
        <w:p>
          <w:pPr>
            <w:tabs>
              <w:tab w:val="right" w:leader="dot" w:pos="9060"/>
            </w:tabs>
            <w:spacing w:before="60" w:after="0"/>
            <w:ind w:left="0"/>
          </w:pPr>
          <w:r>
            <w:rPr>
              <w:b/>
              <w:sz w:val="20"/>
              <w:szCs w:val="20"/>
            </w:rPr>
            <w:t xml:space="preserve">6. What centralisation can and cannot do</w:t>
          </w:r>
          <w:r>
            <w:rPr>
              <w:sz w:val="20"/>
              <w:szCs w:val="20"/>
            </w:rPr>
            <w:tab/>
          </w:r>
          <w:r>
            <w:rPr>
              <w:sz w:val="20"/>
              <w:szCs w:val="20"/>
            </w:rPr>
            <w:t xml:space="preserve">16</w:t>
          </w:r>
        </w:p>
        <w:p>
          <w:pPr>
            <w:tabs>
              <w:tab w:val="right" w:leader="dot" w:pos="9060"/>
            </w:tabs>
            <w:spacing w:before="60" w:after="0"/>
            <w:ind w:left="0"/>
          </w:pPr>
          <w:r>
            <w:rPr>
              <w:b/>
              <w:sz w:val="20"/>
              <w:szCs w:val="20"/>
            </w:rPr>
            <w:t xml:space="preserve">7. The size of the prize and what it costs</w:t>
          </w:r>
          <w:r>
            <w:rPr>
              <w:sz w:val="20"/>
              <w:szCs w:val="20"/>
            </w:rPr>
            <w:tab/>
          </w:r>
          <w:r>
            <w:rPr>
              <w:sz w:val="20"/>
              <w:szCs w:val="20"/>
            </w:rPr>
            <w:t xml:space="preserve">17</w:t>
          </w:r>
        </w:p>
        <w:p>
          <w:pPr>
            <w:tabs>
              <w:tab w:val="right" w:leader="dot" w:pos="9060"/>
            </w:tabs>
            <w:spacing w:before="60" w:after="0"/>
            <w:ind w:left="0"/>
          </w:pPr>
          <w:r>
            <w:rPr>
              <w:b/>
              <w:sz w:val="20"/>
              <w:szCs w:val="20"/>
            </w:rPr>
            <w:t xml:space="preserve">8. Recommendation and next steps</w:t>
          </w:r>
          <w:r>
            <w:rPr>
              <w:sz w:val="20"/>
              <w:szCs w:val="20"/>
            </w:rPr>
            <w:tab/>
          </w:r>
          <w:r>
            <w:rPr>
              <w:sz w:val="20"/>
              <w:szCs w:val="20"/>
            </w:rPr>
            <w:t xml:space="preserve">20</w:t>
          </w:r>
        </w:p>
        <w:p>
          <w:pPr>
            <w:tabs>
              <w:tab w:val="right" w:leader="dot" w:pos="9060"/>
            </w:tabs>
            <w:spacing w:before="60" w:after="0"/>
            <w:ind w:left="0"/>
          </w:pPr>
          <w:r>
            <w:rPr>
              <w:b/>
              <w:sz w:val="20"/>
              <w:szCs w:val="20"/>
            </w:rPr>
            <w:t xml:space="preserve">Appendix A. The cost tree and classification</w:t>
          </w:r>
          <w:r>
            <w:rPr>
              <w:sz w:val="20"/>
              <w:szCs w:val="20"/>
            </w:rPr>
            <w:tab/>
          </w:r>
          <w:r>
            <w:rPr>
              <w:sz w:val="20"/>
              <w:szCs w:val="20"/>
            </w:rPr>
            <w:t xml:space="preserve">22</w:t>
          </w:r>
        </w:p>
        <w:p>
          <w:pPr>
            <w:tabs>
              <w:tab w:val="right" w:leader="dot" w:pos="9060"/>
            </w:tabs>
            <w:spacing w:before="60" w:after="0"/>
            <w:ind w:left="0"/>
          </w:pPr>
          <w:r>
            <w:rPr>
              <w:b/>
              <w:sz w:val="20"/>
              <w:szCs w:val="20"/>
            </w:rPr>
            <w:t xml:space="preserve">Appendix B. Benchmark tables</w:t>
          </w:r>
          <w:r>
            <w:rPr>
              <w:sz w:val="20"/>
              <w:szCs w:val="20"/>
            </w:rPr>
            <w:tab/>
          </w:r>
          <w:r>
            <w:rPr>
              <w:sz w:val="20"/>
              <w:szCs w:val="20"/>
            </w:rPr>
            <w:t xml:space="preserve">23</w:t>
          </w:r>
        </w:p>
        <w:p>
          <w:pPr>
            <w:tabs>
              <w:tab w:val="right" w:leader="dot" w:pos="9060"/>
            </w:tabs>
            <w:spacing w:before="60" w:after="0"/>
            <w:ind w:left="0"/>
          </w:pPr>
          <w:r>
            <w:rPr>
              <w:b/>
              <w:sz w:val="20"/>
              <w:szCs w:val="20"/>
            </w:rPr>
            <w:t xml:space="preserve">Appendix C. Precedents</w:t>
          </w:r>
          <w:r>
            <w:rPr>
              <w:sz w:val="20"/>
              <w:szCs w:val="20"/>
            </w:rPr>
            <w:tab/>
          </w:r>
          <w:r>
            <w:rPr>
              <w:sz w:val="20"/>
              <w:szCs w:val="20"/>
            </w:rPr>
            <w:t xml:space="preserve">27</w:t>
          </w:r>
        </w:p>
        <w:p>
          <w:pPr>
            <w:tabs>
              <w:tab w:val="right" w:leader="dot" w:pos="9060"/>
            </w:tabs>
            <w:spacing w:before="60" w:after="0"/>
            <w:ind w:left="0"/>
          </w:pPr>
          <w:r>
            <w:rPr>
              <w:b/>
              <w:sz w:val="20"/>
              <w:szCs w:val="20"/>
            </w:rPr>
            <w:t xml:space="preserve">Appendix D. Assumptions register</w:t>
          </w:r>
          <w:r>
            <w:rPr>
              <w:sz w:val="20"/>
              <w:szCs w:val="20"/>
            </w:rPr>
            <w:tab/>
          </w:r>
          <w:r>
            <w:rPr>
              <w:sz w:val="20"/>
              <w:szCs w:val="20"/>
            </w:rPr>
            <w:t xml:space="preserve">29</w:t>
          </w:r>
        </w:p>
        <w:p>
          <w:pPr>
            <w:tabs>
              <w:tab w:val="right" w:leader="dot" w:pos="9060"/>
            </w:tabs>
            <w:spacing w:before="60" w:after="0"/>
            <w:ind w:left="0"/>
          </w:pPr>
          <w:r>
            <w:rPr>
              <w:b/>
              <w:sz w:val="20"/>
              <w:szCs w:val="20"/>
            </w:rPr>
            <w:t xml:space="preserve">Appendix E. Verification summary</w:t>
          </w:r>
          <w:r>
            <w:rPr>
              <w:sz w:val="20"/>
              <w:szCs w:val="20"/>
            </w:rPr>
            <w:tab/>
          </w:r>
          <w:r>
            <w:rPr>
              <w:sz w:val="20"/>
              <w:szCs w:val="20"/>
            </w:rPr>
            <w:t xml:space="preserve">30</w:t>
          </w:r>
        </w:p>
        <w:p>
          <w:pPr>
            <w:tabs>
              <w:tab w:val="right" w:leader="dot" w:pos="9060"/>
            </w:tabs>
            <w:spacing w:before="60" w:after="0"/>
            <w:ind w:left="0"/>
          </w:pPr>
          <w:r>
            <w:rPr>
              <w:b/>
              <w:sz w:val="20"/>
              <w:szCs w:val="20"/>
            </w:rPr>
            <w:t xml:space="preserve">Appendix F. Source log</w:t>
          </w:r>
          <w:r>
            <w:rPr>
              <w:sz w:val="20"/>
              <w:szCs w:val="20"/>
            </w:rPr>
            <w:tab/>
          </w:r>
          <w:r>
            <w:rPr>
              <w:sz w:val="20"/>
              <w:szCs w:val="20"/>
            </w:rPr>
            <w:t xml:space="preserve">30</w:t>
          </w:r>
        </w:p>
        <w:p>
          <w:r>
            <w:rPr>
              <w:sz w:val="20"/>
              <w:szCs w:val="20"/>
            </w:rPr>
            <w:fldChar w:fldCharType="end"/>
          </w:r>
        </w:p>
      </w:sdtContent>
    </w:sdt>
    <w:p>
      <w:r>
        <w:br w:type="page"/>
      </w:r>
    </w:p>
    <w:p>
      <w:pPr>
        <w:pStyle w:val="Heading2"/>
      </w:pPr>
      <w:r>
        <w:t xml:space="preserve">1. Executive summary</w:t>
      </w:r>
    </w:p>
    <w:p>
      <w:pPr>
        <w:pStyle w:val="FirstParagraph"/>
      </w:pPr>
      <w:r>
        <w:t xml:space="preserve">Centralisation is worth a hypothesis range of R276m to R806m a year in run-rate savings on accounting lines, base R505m, with a further R10m to R169m of economic value from capital and licences. The base case is about a third of Insurance SA profit before tax of R1 448m [AFS-006]. The money sits in three places, and none of them is where a bancassurer usually looks first. The non-life book carries overhead of 12.3 percent of insurance revenue against a South African non-life peer median of 3.8 percent, while its underwriting result before overhead is the best in the set. The insurance head office carries R326m of cost, growing 18 percent in a year and losing R288m before tax [AFS-140, AFS-143]. The advice and investment businesses last reported R1 724m of cost against R1 104m of income and a headline loss of R389m [AFS-677, AFS-676, AFS-683], and have not been disclosed separately since.</w:t>
      </w:r>
    </w:p>
    <w:p>
      <w:pPr>
        <w:pStyle w:val="BodyText"/>
      </w:pPr>
      <w:r>
        <w:t xml:space="preserve">Two things are not where the money is. Life Insurance SA runs at 4.0 percent overhead against a life peer median of 13.8 percent. Acquisition cost, once the R774m fee paid to Absa Bank is set aside [AFS-1267], is 6.7 percent of revenue, which is at the top quartile of composite peers. The bank fee is 56 percent of the acquisition cash flows allocated to South Africa; it is a transfer price inside the group, not a saving, and it decides where the economics of any programme land.</w:t>
      </w:r>
    </w:p>
    <w:p>
      <w:pPr>
        <w:pStyle w:val="BodyText"/>
      </w:pPr>
      <w:r>
        <w:t xml:space="preserve">Two independent routes give the same order of magnitude. The benchmark gap on the operating expense pools is R210m to R556m. The precedent range of 6 to 13 percent applied to an addressable base of R3 524m to R4 566m is R211m to R594m. Twenty disclosed programmes at South African and European insurers delivered at or above target in two to three years, at a cost of 0.25 to 0.7 times run-rate savings where the levers were headcount, procurement and central cost, and 1.5 to 2 times where platforms or licences were consolidated.</w:t>
      </w:r>
    </w:p>
    <w:p>
      <w:pPr>
        <w:pStyle w:val="BodyText"/>
      </w:pPr>
      <w:r>
        <w:t xml:space="preserve">The managing executive has two decisions to take. First, whether the economics of the programme are measured on AFS as a set of legal entities or on bancassurance as an activity that includes the bank channel; the addressable base and the bank fee move with that choice. Second, whether the programme collapses licences and platforms or stops at shared services; the first roughly doubles the cost to achieve and is where the structural value sits. The first request to management is the FY2025 income statement of the advice and investment businesses, which the public record no longer shows and which is the largest single uncertainty in the number.</w:t>
      </w:r>
    </w:p>
    <w:p>
      <w:pPr>
        <w:pStyle w:val="BodyText"/>
      </w:pPr>
      <w:r>
        <w:t xml:space="preserve">What the evidence does not support is as important as what it does. No public source gives the split of attributable expenses inside insurance service expenses, headcount, policy counts, adviser numbers, expense by nature, group recharges, the reinsurance programme or FY2025 entity figures. The attributable share is bracketed at 4 to 11 percent of revenue on peer evidence and the whole comparable expense comparison rests on it. Ten management information items would turn the range into a target; they are listed in section 8.</w:t>
      </w:r>
    </w:p>
    <w:bookmarkEnd w:id="20"/>
    <w:bookmarkStart w:id="21" w:name="what-afs-is-today"/>
    <w:p>
      <w:pPr>
        <w:pStyle w:val="Heading2"/>
      </w:pPr>
      <w:r>
        <w:t xml:space="preserve">2. What AFS is today</w:t>
      </w:r>
    </w:p>
    <w:p>
      <w:pPr>
        <w:pStyle w:val="FirstParagraph"/>
      </w:pPr>
      <w:r>
        <w:t xml:space="preserve">AFS is the insurance, advice and investment arm of Absa Group, held through Absa Financial Services Limited under Absa Bank Limited, and designated by the Prudential Authority as an insurance group on 30 January 2019. The public record corrects the description the client gave of itself in three places, and each correction changes the cost tree.</w:t>
      </w:r>
    </w:p>
    <w:p>
      <w:pPr>
        <w:pStyle w:val="BodyText"/>
      </w:pPr>
      <w:r>
        <w:t xml:space="preserve">First, Rest of Africa still underwrites. The Group statements at 31 December 2025 name Absa Life Assurance Kenya and First Assurance Kenya as underwriting entities with their own solvency covers of 1.18 and 1.75 [AFS-460, AFS-461]. The sale of the Kenyan stakes was signed in August 2026 and is subject to approvals. The Botswana, Zambia and Mozambique insurers were sold to Hollard in 2025. Kenya is therefore inside the FY2023 to FY2025 group figures and has been stripped out of every South African number in this document.</w:t>
      </w:r>
    </w:p>
    <w:p>
      <w:pPr>
        <w:pStyle w:val="BodyText"/>
      </w:pPr>
      <w:r>
        <w:t xml:space="preserve">Second, the investment licences are narrower than described. The asset manager, the multi-manager, the alternatives manager and the unit trust manager went to Sanlam Investment Holdings in 2022, where Absa held 13 percent at FY2025 [AFS FY25 p151]. The market LISP went to Glacier in November 2023. What remains is Absa Investment Management Services as an administrative and discretionary FSP, the stockbroker, the trust company and possibly a residual fund manager vehicle. The investments value chain is a fee and platform business, and the investment management cost pool is fees paid out, not fees earned.</w:t>
      </w:r>
    </w:p>
    <w:p>
      <w:pPr>
        <w:pStyle w:val="BodyText"/>
      </w:pPr>
      <w:r>
        <w:t xml:space="preserve">Third, there are four South African insurance licences, with one just closed. Absa Risk Transfer Insurance Company was licensed as a non-life cell captive with effect from 18 January 2024 and reports a solo cover of 2.11 [AFS-449]. Absa Insurance Risk Management Services was closed by the Prudential Authority during 2025. The Prudential Authority fined Absa Insurance Company R6 404 000 on 31 October 2025 for underwriting classes outside its licence, which shows that class boundaries between licences are enforced and that product cannot be moved between balance sheets without licence amendment.</w:t>
      </w:r>
    </w:p>
    <w:p>
      <w:pPr>
        <w:pStyle w:val="BodyText"/>
      </w:pPr>
      <w:r>
        <w:t xml:space="preserve">The operating model moved in 2026. The Group now reports three pan-African business units, with Insurance SA inside Personal and Private Banking. The Insurance SA segment perimeter changed three times in three years: Life plus Non-Life only to FY2024, Insurance HO and associates added in the 1H2025 booklet, associates removed again in the FY2025 booklet, and FY2025 restated once more in the 1H2026 booklet. No series in this document is read across booklets without the head office adjustment, and the basis is stated on every table.</w:t>
      </w:r>
    </w:p>
    <w:tbl>
      <w:tblPr>
        <w:tblStyle w:val="Table"/>
        <w:tblLook w:firstRow="1" w:lastRow="0" w:firstColumn="0" w:lastColumn="0" w:noHBand="0" w:noVBand="0" w:val="0020"/>
        <w:jc w:val="start"/>
        <w:tblW w:w="9067" w:type="dxa"/>
        <w:tblLayout w:type="fixed"/>
      </w:tblPr>
      <w:tblGrid>
        <w:gridCol w:w="2228"/>
        <w:gridCol w:w="2238"/>
        <w:gridCol w:w="2128"/>
        <w:gridCol w:w="2473"/>
      </w:tblGrid>
      <w:tr>
        <w:trPr>
          <w:tblHeader w:val="true"/>
        </w:trPr>
        <w:tc>
          <w:tcPr>
            <w:tcW w:w="2228" w:type="dxa"/>
          </w:tcPr>
          <w:p>
            <w:pPr>
              <w:pStyle w:val="Compact"/>
              <w:jc w:val="left"/>
              <w:spacing w:before="20" w:after="20" w:line="220" w:lineRule="auto"/>
            </w:pPr>
            <w:r>
              <w:rPr>
                <w:sz w:val="14"/>
                <w:szCs w:val="14"/>
              </w:rPr>
              <w:t xml:space="preserve">Entity</w:t>
            </w:r>
          </w:p>
        </w:tc>
        <w:tc>
          <w:tcPr>
            <w:tcW w:w="2238" w:type="dxa"/>
          </w:tcPr>
          <w:p>
            <w:pPr>
              <w:pStyle w:val="Compact"/>
              <w:jc w:val="left"/>
              <w:spacing w:before="20" w:after="20" w:line="220" w:lineRule="auto"/>
            </w:pPr>
            <w:r>
              <w:rPr>
                <w:sz w:val="14"/>
                <w:szCs w:val="14"/>
              </w:rPr>
              <w:t xml:space="preserve">Role</w:t>
            </w:r>
          </w:p>
        </w:tc>
        <w:tc>
          <w:tcPr>
            <w:tcW w:w="2128" w:type="dxa"/>
          </w:tcPr>
          <w:p>
            <w:pPr>
              <w:pStyle w:val="Compact"/>
              <w:jc w:val="left"/>
              <w:spacing w:before="20" w:after="20" w:line="220" w:lineRule="auto"/>
            </w:pPr>
            <w:r>
              <w:rPr>
                <w:sz w:val="14"/>
                <w:szCs w:val="14"/>
              </w:rPr>
              <w:t xml:space="preserve">Licence</w:t>
            </w:r>
          </w:p>
        </w:tc>
        <w:tc>
          <w:tcPr>
            <w:tcW w:w="2473" w:type="dxa"/>
          </w:tcPr>
          <w:p>
            <w:pPr>
              <w:pStyle w:val="Compact"/>
              <w:jc w:val="left"/>
              <w:spacing w:before="20" w:after="20" w:line="220" w:lineRule="auto"/>
            </w:pPr>
            <w:r>
              <w:rPr>
                <w:sz w:val="14"/>
                <w:szCs w:val="14"/>
              </w:rPr>
              <w:t xml:space="preserve">Status at latest source</w:t>
            </w:r>
          </w:p>
        </w:tc>
      </w:tr>
      <w:tr>
        <w:tc>
          <w:tcPr>
            <w:tcW w:w="2228" w:type="dxa"/>
          </w:tcPr>
          <w:p>
            <w:pPr>
              <w:pStyle w:val="Compact"/>
              <w:jc w:val="left"/>
              <w:spacing w:before="20" w:after="20" w:line="220" w:lineRule="auto"/>
            </w:pPr>
            <w:r>
              <w:rPr>
                <w:sz w:val="14"/>
                <w:szCs w:val="14"/>
              </w:rPr>
              <w:t xml:space="preserve">Absa Financial Services Limited</w:t>
            </w:r>
          </w:p>
        </w:tc>
        <w:tc>
          <w:tcPr>
            <w:tcW w:w="2238" w:type="dxa"/>
          </w:tcPr>
          <w:p>
            <w:pPr>
              <w:pStyle w:val="Compact"/>
              <w:jc w:val="left"/>
              <w:spacing w:before="20" w:after="20" w:line="220" w:lineRule="auto"/>
            </w:pPr>
            <w:r>
              <w:rPr>
                <w:sz w:val="14"/>
                <w:szCs w:val="14"/>
              </w:rPr>
              <w:t xml:space="preserve">Holding company; designated insurance group</w:t>
            </w:r>
          </w:p>
        </w:tc>
        <w:tc>
          <w:tcPr>
            <w:tcW w:w="2128" w:type="dxa"/>
          </w:tcPr>
          <w:p>
            <w:pPr>
              <w:pStyle w:val="Compact"/>
              <w:jc w:val="left"/>
              <w:spacing w:before="20" w:after="20" w:line="220" w:lineRule="auto"/>
            </w:pPr>
            <w:r>
              <w:rPr>
                <w:sz w:val="14"/>
                <w:szCs w:val="14"/>
              </w:rPr>
              <w:t xml:space="preserve">Insurance Act group designation, 30 January 2019</w:t>
            </w:r>
          </w:p>
        </w:tc>
        <w:tc>
          <w:tcPr>
            <w:tcW w:w="2473" w:type="dxa"/>
          </w:tcPr>
          <w:p>
            <w:pPr>
              <w:pStyle w:val="Compact"/>
              <w:jc w:val="left"/>
              <w:spacing w:before="20" w:after="20" w:line="220" w:lineRule="auto"/>
            </w:pPr>
            <w:r>
              <w:rPr>
                <w:sz w:val="14"/>
                <w:szCs w:val="14"/>
              </w:rPr>
              <w:t xml:space="preserve">Active; group SAM cover 1.49 at December 2025 [AFS-468]</w:t>
            </w:r>
          </w:p>
        </w:tc>
      </w:tr>
      <w:tr>
        <w:tc>
          <w:tcPr>
            <w:tcW w:w="2228" w:type="dxa"/>
          </w:tcPr>
          <w:p>
            <w:pPr>
              <w:pStyle w:val="Compact"/>
              <w:jc w:val="left"/>
              <w:spacing w:before="20" w:after="20" w:line="220" w:lineRule="auto"/>
            </w:pPr>
            <w:r>
              <w:rPr>
                <w:sz w:val="14"/>
                <w:szCs w:val="14"/>
              </w:rPr>
              <w:t xml:space="preserve">Absa Life Limited</w:t>
            </w:r>
          </w:p>
        </w:tc>
        <w:tc>
          <w:tcPr>
            <w:tcW w:w="2238" w:type="dxa"/>
          </w:tcPr>
          <w:p>
            <w:pPr>
              <w:pStyle w:val="Compact"/>
              <w:jc w:val="left"/>
              <w:spacing w:before="20" w:after="20" w:line="220" w:lineRule="auto"/>
            </w:pPr>
            <w:r>
              <w:rPr>
                <w:sz w:val="14"/>
                <w:szCs w:val="14"/>
              </w:rPr>
              <w:t xml:space="preserve">Life underwriter</w:t>
            </w:r>
          </w:p>
        </w:tc>
        <w:tc>
          <w:tcPr>
            <w:tcW w:w="2128" w:type="dxa"/>
          </w:tcPr>
          <w:p>
            <w:pPr>
              <w:pStyle w:val="Compact"/>
              <w:jc w:val="left"/>
              <w:spacing w:before="20" w:after="20" w:line="220" w:lineRule="auto"/>
            </w:pPr>
            <w:r>
              <w:rPr>
                <w:sz w:val="14"/>
                <w:szCs w:val="14"/>
              </w:rPr>
              <w:t xml:space="preserve">Life insurer I121; FSP 36116</w:t>
            </w:r>
          </w:p>
        </w:tc>
        <w:tc>
          <w:tcPr>
            <w:tcW w:w="2473" w:type="dxa"/>
          </w:tcPr>
          <w:p>
            <w:pPr>
              <w:pStyle w:val="Compact"/>
              <w:jc w:val="left"/>
              <w:spacing w:before="20" w:after="20" w:line="220" w:lineRule="auto"/>
            </w:pPr>
            <w:r>
              <w:rPr>
                <w:sz w:val="14"/>
                <w:szCs w:val="14"/>
              </w:rPr>
              <w:t xml:space="preserve">Active; solo cover 1.51 [AFS-466]</w:t>
            </w:r>
          </w:p>
        </w:tc>
      </w:tr>
      <w:tr>
        <w:tc>
          <w:tcPr>
            <w:tcW w:w="2228" w:type="dxa"/>
          </w:tcPr>
          <w:p>
            <w:pPr>
              <w:pStyle w:val="Compact"/>
              <w:jc w:val="left"/>
              <w:spacing w:before="20" w:after="20" w:line="220" w:lineRule="auto"/>
            </w:pPr>
            <w:r>
              <w:rPr>
                <w:sz w:val="14"/>
                <w:szCs w:val="14"/>
              </w:rPr>
              <w:t xml:space="preserve">Absa Insurance Company Limited</w:t>
            </w:r>
          </w:p>
        </w:tc>
        <w:tc>
          <w:tcPr>
            <w:tcW w:w="2238" w:type="dxa"/>
          </w:tcPr>
          <w:p>
            <w:pPr>
              <w:pStyle w:val="Compact"/>
              <w:jc w:val="left"/>
              <w:spacing w:before="20" w:after="20" w:line="220" w:lineRule="auto"/>
            </w:pPr>
            <w:r>
              <w:rPr>
                <w:sz w:val="14"/>
                <w:szCs w:val="14"/>
              </w:rPr>
              <w:t xml:space="preserve">Non-life underwriter</w:t>
            </w:r>
          </w:p>
        </w:tc>
        <w:tc>
          <w:tcPr>
            <w:tcW w:w="2128" w:type="dxa"/>
          </w:tcPr>
          <w:p>
            <w:pPr>
              <w:pStyle w:val="Compact"/>
              <w:jc w:val="left"/>
              <w:spacing w:before="20" w:after="20" w:line="220" w:lineRule="auto"/>
            </w:pPr>
            <w:r>
              <w:rPr>
                <w:sz w:val="14"/>
                <w:szCs w:val="14"/>
              </w:rPr>
              <w:t xml:space="preserve">Non-life insurer; FSP 8030</w:t>
            </w:r>
          </w:p>
        </w:tc>
        <w:tc>
          <w:tcPr>
            <w:tcW w:w="2473" w:type="dxa"/>
          </w:tcPr>
          <w:p>
            <w:pPr>
              <w:pStyle w:val="Compact"/>
              <w:jc w:val="left"/>
              <w:spacing w:before="20" w:after="20" w:line="220" w:lineRule="auto"/>
            </w:pPr>
            <w:r>
              <w:rPr>
                <w:sz w:val="14"/>
                <w:szCs w:val="14"/>
              </w:rPr>
              <w:t xml:space="preserve">Active; solo cover 1.81 [AFS-467]; PA penalty R6.4m October 2025</w:t>
            </w:r>
          </w:p>
        </w:tc>
      </w:tr>
      <w:tr>
        <w:tc>
          <w:tcPr>
            <w:tcW w:w="2228" w:type="dxa"/>
          </w:tcPr>
          <w:p>
            <w:pPr>
              <w:pStyle w:val="Compact"/>
              <w:jc w:val="left"/>
              <w:spacing w:before="20" w:after="20" w:line="220" w:lineRule="auto"/>
            </w:pPr>
            <w:r>
              <w:rPr>
                <w:sz w:val="14"/>
                <w:szCs w:val="14"/>
              </w:rPr>
              <w:t xml:space="preserve">Absa Risk Transfer Insurance Company Limited</w:t>
            </w:r>
          </w:p>
        </w:tc>
        <w:tc>
          <w:tcPr>
            <w:tcW w:w="2238" w:type="dxa"/>
          </w:tcPr>
          <w:p>
            <w:pPr>
              <w:pStyle w:val="Compact"/>
              <w:jc w:val="left"/>
              <w:spacing w:before="20" w:after="20" w:line="220" w:lineRule="auto"/>
            </w:pPr>
            <w:r>
              <w:rPr>
                <w:sz w:val="14"/>
                <w:szCs w:val="14"/>
              </w:rPr>
              <w:t xml:space="preserve">Non-life cell captive</w:t>
            </w:r>
          </w:p>
        </w:tc>
        <w:tc>
          <w:tcPr>
            <w:tcW w:w="2128" w:type="dxa"/>
          </w:tcPr>
          <w:p>
            <w:pPr>
              <w:pStyle w:val="Compact"/>
              <w:jc w:val="left"/>
              <w:spacing w:before="20" w:after="20" w:line="220" w:lineRule="auto"/>
            </w:pPr>
            <w:r>
              <w:rPr>
                <w:sz w:val="14"/>
                <w:szCs w:val="14"/>
              </w:rPr>
              <w:t xml:space="preserve">Licensed 18 January 2024</w:t>
            </w:r>
          </w:p>
        </w:tc>
        <w:tc>
          <w:tcPr>
            <w:tcW w:w="2473" w:type="dxa"/>
          </w:tcPr>
          <w:p>
            <w:pPr>
              <w:pStyle w:val="Compact"/>
              <w:jc w:val="left"/>
              <w:spacing w:before="20" w:after="20" w:line="220" w:lineRule="auto"/>
            </w:pPr>
            <w:r>
              <w:rPr>
                <w:sz w:val="14"/>
                <w:szCs w:val="14"/>
              </w:rPr>
              <w:t xml:space="preserve">Active; solo cover 2.11 [AFS-449]</w:t>
            </w:r>
          </w:p>
        </w:tc>
      </w:tr>
      <w:tr>
        <w:tc>
          <w:tcPr>
            <w:tcW w:w="2228" w:type="dxa"/>
          </w:tcPr>
          <w:p>
            <w:pPr>
              <w:pStyle w:val="Compact"/>
              <w:jc w:val="left"/>
              <w:spacing w:before="20" w:after="20" w:line="220" w:lineRule="auto"/>
            </w:pPr>
            <w:r>
              <w:rPr>
                <w:sz w:val="14"/>
                <w:szCs w:val="14"/>
              </w:rPr>
              <w:t xml:space="preserve">Absa Insurance Risk Management Services Limited</w:t>
            </w:r>
          </w:p>
        </w:tc>
        <w:tc>
          <w:tcPr>
            <w:tcW w:w="2238" w:type="dxa"/>
          </w:tcPr>
          <w:p>
            <w:pPr>
              <w:pStyle w:val="Compact"/>
              <w:jc w:val="left"/>
              <w:spacing w:before="20" w:after="20" w:line="220" w:lineRule="auto"/>
            </w:pPr>
            <w:r>
              <w:rPr>
                <w:sz w:val="14"/>
                <w:szCs w:val="14"/>
              </w:rPr>
              <w:t xml:space="preserve">Former non-life underwriter</w:t>
            </w:r>
          </w:p>
        </w:tc>
        <w:tc>
          <w:tcPr>
            <w:tcW w:w="2128" w:type="dxa"/>
          </w:tcPr>
          <w:p>
            <w:pPr>
              <w:pStyle w:val="Compact"/>
              <w:jc w:val="left"/>
              <w:spacing w:before="20" w:after="20" w:line="220" w:lineRule="auto"/>
            </w:pPr>
            <w:r>
              <w:rPr>
                <w:sz w:val="14"/>
                <w:szCs w:val="14"/>
              </w:rPr>
              <w:t xml:space="preserve">Licence closed 2025</w:t>
            </w:r>
          </w:p>
        </w:tc>
        <w:tc>
          <w:tcPr>
            <w:tcW w:w="2473" w:type="dxa"/>
          </w:tcPr>
          <w:p>
            <w:pPr>
              <w:pStyle w:val="Compact"/>
              <w:jc w:val="left"/>
              <w:spacing w:before="20" w:after="20" w:line="220" w:lineRule="auto"/>
            </w:pPr>
            <w:r>
              <w:rPr>
                <w:sz w:val="14"/>
                <w:szCs w:val="14"/>
              </w:rPr>
              <w:t xml:space="preserve">Closed</w:t>
            </w:r>
          </w:p>
        </w:tc>
      </w:tr>
      <w:tr>
        <w:tc>
          <w:tcPr>
            <w:tcW w:w="2228" w:type="dxa"/>
          </w:tcPr>
          <w:p>
            <w:pPr>
              <w:pStyle w:val="Compact"/>
              <w:jc w:val="left"/>
              <w:spacing w:before="20" w:after="20" w:line="220" w:lineRule="auto"/>
            </w:pPr>
            <w:r>
              <w:rPr>
                <w:sz w:val="14"/>
                <w:szCs w:val="14"/>
              </w:rPr>
              <w:t xml:space="preserve">Absa Insurance and Financial Advisers (Pty) Ltd</w:t>
            </w:r>
          </w:p>
        </w:tc>
        <w:tc>
          <w:tcPr>
            <w:tcW w:w="2238" w:type="dxa"/>
          </w:tcPr>
          <w:p>
            <w:pPr>
              <w:pStyle w:val="Compact"/>
              <w:jc w:val="left"/>
              <w:spacing w:before="20" w:after="20" w:line="220" w:lineRule="auto"/>
            </w:pPr>
            <w:r>
              <w:rPr>
                <w:sz w:val="14"/>
                <w:szCs w:val="14"/>
              </w:rPr>
              <w:t xml:space="preserve">Tied adviser force, broking</w:t>
            </w:r>
          </w:p>
        </w:tc>
        <w:tc>
          <w:tcPr>
            <w:tcW w:w="2128" w:type="dxa"/>
          </w:tcPr>
          <w:p>
            <w:pPr>
              <w:pStyle w:val="Compact"/>
              <w:jc w:val="left"/>
              <w:spacing w:before="20" w:after="20" w:line="220" w:lineRule="auto"/>
            </w:pPr>
            <w:r>
              <w:rPr>
                <w:sz w:val="14"/>
                <w:szCs w:val="14"/>
              </w:rPr>
              <w:t xml:space="preserve">FSP 4012</w:t>
            </w:r>
          </w:p>
        </w:tc>
        <w:tc>
          <w:tcPr>
            <w:tcW w:w="2473" w:type="dxa"/>
          </w:tcPr>
          <w:p>
            <w:pPr>
              <w:pStyle w:val="Compact"/>
              <w:jc w:val="left"/>
              <w:spacing w:before="20" w:after="20" w:line="220" w:lineRule="auto"/>
            </w:pPr>
            <w:r>
              <w:rPr>
                <w:sz w:val="14"/>
                <w:szCs w:val="14"/>
              </w:rPr>
              <w:t xml:space="preserve">Active</w:t>
            </w:r>
          </w:p>
        </w:tc>
      </w:tr>
      <w:tr>
        <w:tc>
          <w:tcPr>
            <w:tcW w:w="2228" w:type="dxa"/>
          </w:tcPr>
          <w:p>
            <w:pPr>
              <w:pStyle w:val="Compact"/>
              <w:jc w:val="left"/>
              <w:spacing w:before="20" w:after="20" w:line="220" w:lineRule="auto"/>
            </w:pPr>
            <w:r>
              <w:rPr>
                <w:sz w:val="14"/>
                <w:szCs w:val="14"/>
              </w:rPr>
              <w:t xml:space="preserve">Instant Life (Pty) Ltd</w:t>
            </w:r>
          </w:p>
        </w:tc>
        <w:tc>
          <w:tcPr>
            <w:tcW w:w="2238" w:type="dxa"/>
          </w:tcPr>
          <w:p>
            <w:pPr>
              <w:pStyle w:val="Compact"/>
              <w:jc w:val="left"/>
              <w:spacing w:before="20" w:after="20" w:line="220" w:lineRule="auto"/>
            </w:pPr>
            <w:r>
              <w:rPr>
                <w:sz w:val="14"/>
                <w:szCs w:val="14"/>
              </w:rPr>
              <w:t xml:space="preserve">Online life distribution via a cell in Absa Life</w:t>
            </w:r>
          </w:p>
        </w:tc>
        <w:tc>
          <w:tcPr>
            <w:tcW w:w="2128" w:type="dxa"/>
          </w:tcPr>
          <w:p>
            <w:pPr>
              <w:pStyle w:val="Compact"/>
              <w:jc w:val="left"/>
              <w:spacing w:before="20" w:after="20" w:line="220" w:lineRule="auto"/>
            </w:pPr>
            <w:r>
              <w:rPr>
                <w:sz w:val="14"/>
                <w:szCs w:val="14"/>
              </w:rPr>
              <w:t xml:space="preserve">FSP 42569</w:t>
            </w:r>
          </w:p>
        </w:tc>
        <w:tc>
          <w:tcPr>
            <w:tcW w:w="2473" w:type="dxa"/>
          </w:tcPr>
          <w:p>
            <w:pPr>
              <w:pStyle w:val="Compact"/>
              <w:jc w:val="left"/>
              <w:spacing w:before="20" w:after="20" w:line="220" w:lineRule="auto"/>
            </w:pPr>
            <w:r>
              <w:rPr>
                <w:sz w:val="14"/>
                <w:szCs w:val="14"/>
              </w:rPr>
              <w:t xml:space="preserve">Active</w:t>
            </w:r>
          </w:p>
        </w:tc>
      </w:tr>
      <w:tr>
        <w:tc>
          <w:tcPr>
            <w:tcW w:w="2228" w:type="dxa"/>
          </w:tcPr>
          <w:p>
            <w:pPr>
              <w:pStyle w:val="Compact"/>
              <w:jc w:val="left"/>
              <w:spacing w:before="20" w:after="20" w:line="220" w:lineRule="auto"/>
            </w:pPr>
            <w:r>
              <w:rPr>
                <w:sz w:val="14"/>
                <w:szCs w:val="14"/>
              </w:rPr>
              <w:t xml:space="preserve">Absa Investment Management Services (Pty) Ltd</w:t>
            </w:r>
          </w:p>
        </w:tc>
        <w:tc>
          <w:tcPr>
            <w:tcW w:w="2238" w:type="dxa"/>
          </w:tcPr>
          <w:p>
            <w:pPr>
              <w:pStyle w:val="Compact"/>
              <w:jc w:val="left"/>
              <w:spacing w:before="20" w:after="20" w:line="220" w:lineRule="auto"/>
            </w:pPr>
            <w:r>
              <w:rPr>
                <w:sz w:val="14"/>
                <w:szCs w:val="14"/>
              </w:rPr>
              <w:t xml:space="preserve">Administrative and discretionary FSP</w:t>
            </w:r>
          </w:p>
        </w:tc>
        <w:tc>
          <w:tcPr>
            <w:tcW w:w="2128" w:type="dxa"/>
          </w:tcPr>
          <w:p>
            <w:pPr>
              <w:pStyle w:val="Compact"/>
              <w:jc w:val="left"/>
              <w:spacing w:before="20" w:after="20" w:line="220" w:lineRule="auto"/>
            </w:pPr>
            <w:r>
              <w:rPr>
                <w:sz w:val="14"/>
                <w:szCs w:val="14"/>
              </w:rPr>
              <w:t xml:space="preserve">FSP 524</w:t>
            </w:r>
          </w:p>
        </w:tc>
        <w:tc>
          <w:tcPr>
            <w:tcW w:w="2473" w:type="dxa"/>
          </w:tcPr>
          <w:p>
            <w:pPr>
              <w:pStyle w:val="Compact"/>
              <w:jc w:val="left"/>
              <w:spacing w:before="20" w:after="20" w:line="220" w:lineRule="auto"/>
            </w:pPr>
            <w:r>
              <w:rPr>
                <w:sz w:val="14"/>
                <w:szCs w:val="14"/>
              </w:rPr>
              <w:t xml:space="preserve">Active; market LISP sold to Glacier 2023</w:t>
            </w:r>
          </w:p>
        </w:tc>
      </w:tr>
      <w:tr>
        <w:tc>
          <w:tcPr>
            <w:tcW w:w="2228" w:type="dxa"/>
          </w:tcPr>
          <w:p>
            <w:pPr>
              <w:pStyle w:val="Compact"/>
              <w:jc w:val="left"/>
              <w:spacing w:before="20" w:after="20" w:line="220" w:lineRule="auto"/>
            </w:pPr>
            <w:r>
              <w:rPr>
                <w:sz w:val="14"/>
                <w:szCs w:val="14"/>
              </w:rPr>
              <w:t xml:space="preserve">Absa Stockbrokers and Portfolio Management (Pty) Ltd</w:t>
            </w:r>
          </w:p>
        </w:tc>
        <w:tc>
          <w:tcPr>
            <w:tcW w:w="2238" w:type="dxa"/>
          </w:tcPr>
          <w:p>
            <w:pPr>
              <w:pStyle w:val="Compact"/>
              <w:jc w:val="left"/>
              <w:spacing w:before="20" w:after="20" w:line="220" w:lineRule="auto"/>
            </w:pPr>
            <w:r>
              <w:rPr>
                <w:sz w:val="14"/>
                <w:szCs w:val="14"/>
              </w:rPr>
              <w:t xml:space="preserve">Online share trading</w:t>
            </w:r>
          </w:p>
        </w:tc>
        <w:tc>
          <w:tcPr>
            <w:tcW w:w="2128" w:type="dxa"/>
          </w:tcPr>
          <w:p>
            <w:pPr>
              <w:pStyle w:val="Compact"/>
              <w:jc w:val="left"/>
              <w:spacing w:before="20" w:after="20" w:line="220" w:lineRule="auto"/>
            </w:pPr>
            <w:r>
              <w:rPr>
                <w:sz w:val="14"/>
                <w:szCs w:val="14"/>
              </w:rPr>
              <w:t xml:space="preserve">JSE equities member</w:t>
            </w:r>
          </w:p>
        </w:tc>
        <w:tc>
          <w:tcPr>
            <w:tcW w:w="2473" w:type="dxa"/>
          </w:tcPr>
          <w:p>
            <w:pPr>
              <w:pStyle w:val="Compact"/>
              <w:jc w:val="left"/>
              <w:spacing w:before="20" w:after="20" w:line="220" w:lineRule="auto"/>
            </w:pPr>
            <w:r>
              <w:rPr>
                <w:sz w:val="14"/>
                <w:szCs w:val="14"/>
              </w:rPr>
              <w:t xml:space="preserve">Active</w:t>
            </w:r>
          </w:p>
        </w:tc>
      </w:tr>
      <w:tr>
        <w:tc>
          <w:tcPr>
            <w:tcW w:w="2228" w:type="dxa"/>
          </w:tcPr>
          <w:p>
            <w:pPr>
              <w:pStyle w:val="Compact"/>
              <w:jc w:val="left"/>
              <w:spacing w:before="20" w:after="20" w:line="220" w:lineRule="auto"/>
            </w:pPr>
            <w:r>
              <w:rPr>
                <w:sz w:val="14"/>
                <w:szCs w:val="14"/>
              </w:rPr>
              <w:t xml:space="preserve">Absa Trust Limited</w:t>
            </w:r>
          </w:p>
        </w:tc>
        <w:tc>
          <w:tcPr>
            <w:tcW w:w="2238" w:type="dxa"/>
          </w:tcPr>
          <w:p>
            <w:pPr>
              <w:pStyle w:val="Compact"/>
              <w:jc w:val="left"/>
              <w:spacing w:before="20" w:after="20" w:line="220" w:lineRule="auto"/>
            </w:pPr>
            <w:r>
              <w:rPr>
                <w:sz w:val="14"/>
                <w:szCs w:val="14"/>
              </w:rPr>
              <w:t xml:space="preserve">Trusts, wills, estates</w:t>
            </w:r>
          </w:p>
        </w:tc>
        <w:tc>
          <w:tcPr>
            <w:tcW w:w="2128" w:type="dxa"/>
          </w:tcPr>
          <w:p>
            <w:pPr>
              <w:pStyle w:val="Compact"/>
              <w:jc w:val="left"/>
              <w:spacing w:before="20" w:after="20" w:line="220" w:lineRule="auto"/>
            </w:pPr>
            <w:r>
              <w:rPr>
                <w:sz w:val="14"/>
                <w:szCs w:val="14"/>
              </w:rPr>
              <w:t xml:space="preserve">Trust company</w:t>
            </w:r>
          </w:p>
        </w:tc>
        <w:tc>
          <w:tcPr>
            <w:tcW w:w="2473" w:type="dxa"/>
          </w:tcPr>
          <w:p>
            <w:pPr>
              <w:pStyle w:val="Compact"/>
              <w:jc w:val="left"/>
              <w:spacing w:before="20" w:after="20" w:line="220" w:lineRule="auto"/>
            </w:pPr>
            <w:r>
              <w:rPr>
                <w:sz w:val="14"/>
                <w:szCs w:val="14"/>
              </w:rPr>
              <w:t xml:space="preserve">Active</w:t>
            </w:r>
          </w:p>
        </w:tc>
      </w:tr>
      <w:tr>
        <w:tc>
          <w:tcPr>
            <w:tcW w:w="2228" w:type="dxa"/>
          </w:tcPr>
          <w:p>
            <w:pPr>
              <w:pStyle w:val="Compact"/>
              <w:jc w:val="left"/>
              <w:spacing w:before="20" w:after="20" w:line="220" w:lineRule="auto"/>
            </w:pPr>
            <w:r>
              <w:rPr>
                <w:sz w:val="14"/>
                <w:szCs w:val="14"/>
              </w:rPr>
              <w:t xml:space="preserve">Kenya and sold Africa entities</w:t>
            </w:r>
          </w:p>
        </w:tc>
        <w:tc>
          <w:tcPr>
            <w:tcW w:w="2238" w:type="dxa"/>
          </w:tcPr>
          <w:p>
            <w:pPr>
              <w:pStyle w:val="Compact"/>
              <w:jc w:val="left"/>
              <w:spacing w:before="20" w:after="20" w:line="220" w:lineRule="auto"/>
            </w:pPr>
            <w:r>
              <w:rPr>
                <w:sz w:val="14"/>
                <w:szCs w:val="14"/>
              </w:rPr>
              <w:t xml:space="preserve">Underwriters</w:t>
            </w:r>
          </w:p>
        </w:tc>
        <w:tc>
          <w:tcPr>
            <w:tcW w:w="2128" w:type="dxa"/>
          </w:tcPr>
          <w:p>
            <w:pPr>
              <w:pStyle w:val="Compact"/>
              <w:jc w:val="left"/>
              <w:spacing w:before="20" w:after="20" w:line="220" w:lineRule="auto"/>
            </w:pPr>
            <w:r>
              <w:rPr>
                <w:sz w:val="14"/>
                <w:szCs w:val="14"/>
              </w:rPr>
              <w:t xml:space="preserve">In-country licences</w:t>
            </w:r>
          </w:p>
        </w:tc>
        <w:tc>
          <w:tcPr>
            <w:tcW w:w="2473" w:type="dxa"/>
          </w:tcPr>
          <w:p>
            <w:pPr>
              <w:pStyle w:val="Compact"/>
              <w:jc w:val="left"/>
              <w:spacing w:before="20" w:after="20" w:line="220" w:lineRule="auto"/>
            </w:pPr>
            <w:r>
              <w:rPr>
                <w:sz w:val="14"/>
                <w:szCs w:val="14"/>
              </w:rPr>
              <w:t xml:space="preserve">Out of perimeter; shown as reconciling items only</w:t>
            </w:r>
          </w:p>
        </w:tc>
      </w:tr>
    </w:tbl>
    <w:p>
      <w:pPr>
        <w:pStyle w:val="BodyText"/>
      </w:pPr>
      <w:r>
        <w:t xml:space="preserve">Source: 01_framework.md section 1; Absa Group annual financial statements FY2025 notes 45.4 and 57.7; Prudential Authority notices and certificates listed in source_log.csv.</w:t>
      </w:r>
    </w:p>
    <w:bookmarkEnd w:id="21"/>
    <w:bookmarkStart w:id="28" w:name="the-cost-base"/>
    <w:p>
      <w:pPr>
        <w:pStyle w:val="Heading2"/>
      </w:pPr>
      <w:r>
        <w:t xml:space="preserve">3. The cost base</w:t>
      </w:r>
    </w:p>
    <w:p>
      <w:pPr>
        <w:pStyle w:val="FirstParagraph"/>
      </w:pPr>
      <w:r>
        <w:t xml:space="preserve">Insurance SA earned insurance revenue of R9 079m in FY2025, up from R8 849m, with Life at R5 310m, Non-Life at R4 102m and the head office column carrying negative revenue of R333m from intra-AFS eliminations [AFS-163, AFS-057, AFS-095, AFS-129]. Insurance service expenses were R7 225m, 79.6 percent of revenue, and the insurance service result R1 655m [AFS-164, AFS-166]. Other operating expenses, the non-attributable cost outside the service result, were R1 042m, first reported, and R1 060m after restatement in the 1H2026 booklet [AFS-176, AFS-898]. Profit before tax was R1 448m and headline earnings R1 010m, restated to R996m [AFS-006, AFS-009, AFS-897]. The reported cost-to-income ratio of 40.0 percent divides segment operating expenses by net insurance income after claims and including investment income [AFS-010]. It is a bank metric and is not compared with any peer expense ratio anywhere in this document.</w:t>
      </w:r>
    </w:p>
    <w:p>
      <w:pPr>
        <w:pStyle w:val="CaptionedFigure"/>
      </w:pPr>
      <w:r>
        <w:drawing>
          <wp:inline>
            <wp:extent cx="5334000" cy="2667000"/>
            <wp:effectExtent b="0" l="0" r="0" t="0"/>
            <wp:docPr descr="Insurance SA FY2025 waterfall" title="" id="23" name="Picture"/>
            <a:graphic>
              <a:graphicData uri="http://schemas.openxmlformats.org/drawingml/2006/picture">
                <pic:pic>
                  <pic:nvPicPr>
                    <pic:cNvPr descr="/tmp/claude-0/-home-user-Letsema/5bd7a4d8-b1bc-595f-a913-9cd28c599586/scratchpad/pov/charts/c5_waterfall.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Insurance SA FY2025 waterfall</w:t>
      </w:r>
    </w:p>
    <w:p>
      <w:pPr>
        <w:pStyle w:val="BodyText"/>
      </w:pPr>
      <w:r>
        <w:t xml:space="preserve">By division, Life is lean on overhead and heavy on claims: non-attributable expenses are 4.0 percent of revenue and the service expense ratio 78.7 percent. Non-Life is the reverse: service expenses are 77.6 percent of revenue, a good underwriting result for personal lines, and non-attributable expenses are 12.3 percent. The head office column holds R326m of non-attributable cost, up from R276m, and lost R288m before tax [AFS-140, AFS-157, AFS-143]. The head office is where duplicated licence, governance and control-function cost naturally sits, and the entity statements confirm it: the two licensed insurers together reported R765m of administration expenses in FY2024 against the segment’s R990m [AFS-1292, AFS-1406, AFS-182], so R225m of overhead sits above the entities.</w:t>
      </w:r>
    </w:p>
    <w:p>
      <w:pPr>
        <w:pStyle w:val="BodyText"/>
      </w:pPr>
      <w:r>
        <w:t xml:space="preserve">Absa does not split other directly attributable expenses from incurred claims. The group note 8 components, allocated to South Africa by each division’s share of group insurance service expenses (life 88.5 percent, non-life 75.1 percent, an assumption because Kenya’s mix differs), give allocated incurred claims and attributable expenses of R5 900m, amortised acquisition cost of R982m and onerous losses of R356m. The attributable expense carve-out is set at 4 to 11 percent of revenue from peer disclosures, base 8 percent or R726m†. The advice and investment businesses appear only in older booklets: the FY2023 Non-Banking Financial Services segment earned R1 104m of non-interest income against R1 724m of operating expenses and lost R389m at headline level [AFS-676, AFS-677, AFS-683]; the FY2025 figure is an assumption bracketed at R1 500m to R1 900m†.</w:t>
      </w:r>
    </w:p>
    <w:p>
      <w:pPr>
        <w:pStyle w:val="BodyText"/>
      </w:pPr>
      <w:r>
        <w:t xml:space="preserve">Absa Bank Limited received R774m of insurance commission in FY2025 [AFS-1267]. The counterparty is not named, so treating it as the fee AFS pays the bank channel is an assumption, but on that assumption it is 56 percent of the R1 387m of acquisition cash flows allocated to South Africa. The acquisition ratio on a cash basis is 15.3 percent of revenue including the fee and 6.7 percent excluding it. Group recharges into AFS are not disclosed in any document, so the overhead ratio without recharges cannot be computed.</w:t>
      </w:r>
    </w:p>
    <w:p>
      <w:pPr>
        <w:pStyle w:val="BodyText"/>
      </w:pPr>
      <w:r>
        <w:t xml:space="preserve">Top-down and bottom-up reconcile to within the disclosed head office column. Group insurance revenue of R11 678m less the Africa Regions segment’s R2 130m gives R9 548m for South Africa, R469m more than Insurance SA; the difference is insurance revenue booked in South Africa outside AFS, including R34m in Business Banking and R54m in CIB [AFS-717, AFS-718, AFS-236, AFS-238]. Bottom-up, the FY2024 entity statements in the KPMG survey give Absa Life R4 944m and AIC R3 987m of revenue, R82m more than the segment, the gap being the negative head office revenue, ARTIC and the Instant Life cell [AFS-1342, AFS-1398].</w:t>
      </w:r>
    </w:p>
    <w:p>
      <w:pPr>
        <w:pStyle w:val="BodyText"/>
        <w:sectPr>
          <w:pgSz w:w="11906" w:h="16838"/>
          <w:pgMar w:top="1134" w:right="1418" w:bottom="1134" w:left="1418" w:header="708" w:footer="708" w:gutter="0"/>
        </w:sectPr>
      </w:pPr>
    </w:p>
    <w:bookmarkStart w:id="25" w:name="insurance-sa-series-and-division-view"/>
    <w:p>
      <w:pPr>
        <w:pStyle w:val="Heading3"/>
      </w:pPr>
      <w:r>
        <w:t xml:space="preserve">3.1 Insurance SA series and division view</w:t>
      </w:r>
    </w:p>
    <w:tbl>
      <w:tblPr>
        <w:tblStyle w:val="Table"/>
        <w:tblLook w:firstRow="1" w:lastRow="0" w:firstColumn="0" w:lastColumn="0" w:noHBand="0" w:noVBand="0" w:val="0020"/>
        <w:jc w:val="start"/>
        <w:tblW w:w="13860" w:type="dxa"/>
        <w:tblLayout w:type="fixed"/>
      </w:tblPr>
      <w:tblGrid>
        <w:gridCol w:w="5790"/>
        <w:gridCol w:w="5070"/>
        <w:gridCol w:w="750"/>
        <w:gridCol w:w="750"/>
        <w:gridCol w:w="750"/>
        <w:gridCol w:w="750"/>
      </w:tblGrid>
      <w:tr>
        <w:trPr>
          <w:tblHeader w:val="true"/>
        </w:trPr>
        <w:tc>
          <w:tcPr>
            <w:tcW w:w="5790" w:type="dxa"/>
          </w:tcPr>
          <w:p>
            <w:pPr>
              <w:pStyle w:val="Compact"/>
              <w:jc w:val="left"/>
              <w:spacing w:before="20" w:after="20" w:line="220" w:lineRule="auto"/>
            </w:pPr>
            <w:r>
              <w:rPr>
                <w:sz w:val="15"/>
                <w:szCs w:val="15"/>
              </w:rPr>
              <w:t xml:space="preserve">Line</w:t>
            </w:r>
          </w:p>
        </w:tc>
        <w:tc>
          <w:tcPr>
            <w:tcW w:w="5070" w:type="dxa"/>
          </w:tcPr>
          <w:p>
            <w:pPr>
              <w:pStyle w:val="Compact"/>
              <w:jc w:val="left"/>
              <w:spacing w:before="20" w:after="20" w:line="220" w:lineRule="auto"/>
            </w:pPr>
            <w:r>
              <w:rPr>
                <w:sz w:val="15"/>
                <w:szCs w:val="15"/>
              </w:rPr>
              <w:t xml:space="preserve">Basis</w:t>
            </w:r>
          </w:p>
        </w:tc>
        <w:tc>
          <w:tcPr>
            <w:tcW w:w="750" w:type="dxa"/>
          </w:tcPr>
          <w:p>
            <w:pPr>
              <w:pStyle w:val="Compact"/>
              <w:jc w:val="left"/>
              <w:spacing w:before="20" w:after="20" w:line="220" w:lineRule="auto"/>
            </w:pPr>
            <w:r>
              <w:rPr>
                <w:sz w:val="15"/>
                <w:szCs w:val="15"/>
              </w:rPr>
              <w:t xml:space="preserve">FY2023</w:t>
            </w:r>
          </w:p>
        </w:tc>
        <w:tc>
          <w:tcPr>
            <w:tcW w:w="750" w:type="dxa"/>
          </w:tcPr>
          <w:p>
            <w:pPr>
              <w:pStyle w:val="Compact"/>
              <w:jc w:val="left"/>
              <w:spacing w:before="20" w:after="20" w:line="220" w:lineRule="auto"/>
            </w:pPr>
            <w:r>
              <w:rPr>
                <w:sz w:val="15"/>
                <w:szCs w:val="15"/>
              </w:rPr>
              <w:t xml:space="preserve">FY2024</w:t>
            </w:r>
          </w:p>
        </w:tc>
        <w:tc>
          <w:tcPr>
            <w:tcW w:w="750" w:type="dxa"/>
          </w:tcPr>
          <w:p>
            <w:pPr>
              <w:pStyle w:val="Compact"/>
              <w:jc w:val="left"/>
              <w:spacing w:before="20" w:after="20" w:line="220" w:lineRule="auto"/>
            </w:pPr>
            <w:r>
              <w:rPr>
                <w:sz w:val="15"/>
                <w:szCs w:val="15"/>
              </w:rPr>
              <w:t xml:space="preserve">FY2025</w:t>
            </w:r>
          </w:p>
        </w:tc>
        <w:tc>
          <w:tcPr>
            <w:tcW w:w="750" w:type="dxa"/>
          </w:tcPr>
          <w:p>
            <w:pPr>
              <w:pStyle w:val="Compact"/>
              <w:jc w:val="left"/>
              <w:spacing w:before="20" w:after="20" w:line="220" w:lineRule="auto"/>
            </w:pPr>
            <w:r>
              <w:rPr>
                <w:sz w:val="15"/>
                <w:szCs w:val="15"/>
              </w:rPr>
              <w:t xml:space="preserve">1H2026</w:t>
            </w:r>
          </w:p>
        </w:tc>
      </w:tr>
      <w:tr>
        <w:tc>
          <w:tcPr>
            <w:tcW w:w="5790" w:type="dxa"/>
          </w:tcPr>
          <w:p>
            <w:pPr>
              <w:pStyle w:val="Compact"/>
              <w:jc w:val="left"/>
              <w:spacing w:before="20" w:after="20" w:line="220" w:lineRule="auto"/>
            </w:pPr>
            <w:r>
              <w:rPr>
                <w:sz w:val="15"/>
                <w:szCs w:val="15"/>
              </w:rPr>
              <w:t xml:space="preserve">Insurance revenue</w:t>
            </w:r>
          </w:p>
        </w:tc>
        <w:tc>
          <w:tcPr>
            <w:tcW w:w="5070" w:type="dxa"/>
          </w:tcPr>
          <w:p>
            <w:pPr>
              <w:pStyle w:val="Compact"/>
              <w:jc w:val="left"/>
              <w:spacing w:before="20" w:after="20" w:line="220" w:lineRule="auto"/>
            </w:pPr>
            <w:r>
              <w:rPr>
                <w:sz w:val="15"/>
                <w:szCs w:val="15"/>
              </w:rPr>
              <w:t xml:space="preserve">Fact; FY2023 on FY2024 booklet basis (no HO)</w:t>
            </w:r>
          </w:p>
        </w:tc>
        <w:tc>
          <w:tcPr>
            <w:tcW w:w="750" w:type="dxa"/>
          </w:tcPr>
          <w:p>
            <w:pPr>
              <w:pStyle w:val="Compact"/>
              <w:jc w:val="left"/>
              <w:spacing w:before="20" w:after="20" w:line="220" w:lineRule="auto"/>
            </w:pPr>
            <w:r>
              <w:rPr>
                <w:sz w:val="15"/>
                <w:szCs w:val="15"/>
              </w:rPr>
              <w:t xml:space="preserve">8,678</w:t>
            </w:r>
          </w:p>
        </w:tc>
        <w:tc>
          <w:tcPr>
            <w:tcW w:w="750" w:type="dxa"/>
          </w:tcPr>
          <w:p>
            <w:pPr>
              <w:pStyle w:val="Compact"/>
              <w:jc w:val="left"/>
              <w:spacing w:before="20" w:after="20" w:line="220" w:lineRule="auto"/>
            </w:pPr>
            <w:r>
              <w:rPr>
                <w:sz w:val="15"/>
                <w:szCs w:val="15"/>
              </w:rPr>
              <w:t xml:space="preserve">8,849</w:t>
            </w:r>
          </w:p>
        </w:tc>
        <w:tc>
          <w:tcPr>
            <w:tcW w:w="750" w:type="dxa"/>
          </w:tcPr>
          <w:p>
            <w:pPr>
              <w:pStyle w:val="Compact"/>
              <w:jc w:val="left"/>
              <w:spacing w:before="20" w:after="20" w:line="220" w:lineRule="auto"/>
            </w:pPr>
            <w:r>
              <w:rPr>
                <w:sz w:val="15"/>
                <w:szCs w:val="15"/>
              </w:rPr>
              <w:t xml:space="preserve">9,079</w:t>
            </w:r>
          </w:p>
        </w:tc>
        <w:tc>
          <w:tcPr>
            <w:tcW w:w="750" w:type="dxa"/>
          </w:tcPr>
          <w:p>
            <w:pPr>
              <w:pStyle w:val="Compact"/>
              <w:jc w:val="left"/>
              <w:spacing w:before="20" w:after="20" w:line="220" w:lineRule="auto"/>
            </w:pPr>
            <w:r>
              <w:rPr>
                <w:sz w:val="15"/>
                <w:szCs w:val="15"/>
              </w:rPr>
              <w:t xml:space="preserve">4,567</w:t>
            </w:r>
          </w:p>
        </w:tc>
      </w:tr>
      <w:tr>
        <w:tc>
          <w:tcPr>
            <w:tcW w:w="5790" w:type="dxa"/>
          </w:tcPr>
          <w:p>
            <w:pPr>
              <w:pStyle w:val="Compact"/>
              <w:jc w:val="left"/>
              <w:spacing w:before="20" w:after="20" w:line="220" w:lineRule="auto"/>
            </w:pPr>
            <w:r>
              <w:rPr>
                <w:sz w:val="15"/>
                <w:szCs w:val="15"/>
              </w:rPr>
              <w:t xml:space="preserve">Insurance service expenses</w:t>
            </w:r>
          </w:p>
        </w:tc>
        <w:tc>
          <w:tcPr>
            <w:tcW w:w="5070" w:type="dxa"/>
          </w:tcPr>
          <w:p>
            <w:pPr>
              <w:pStyle w:val="Compact"/>
              <w:jc w:val="left"/>
              <w:spacing w:before="20" w:after="20" w:line="220" w:lineRule="auto"/>
            </w:pPr>
            <w:r>
              <w:rPr>
                <w:sz w:val="15"/>
                <w:szCs w:val="15"/>
              </w:rPr>
              <w:t xml:space="preserve">Fact; attributable (claims, acquisition amortisation, onerou</w:t>
            </w:r>
          </w:p>
        </w:tc>
        <w:tc>
          <w:tcPr>
            <w:tcW w:w="750" w:type="dxa"/>
          </w:tcPr>
          <w:p>
            <w:pPr>
              <w:pStyle w:val="Compact"/>
              <w:jc w:val="left"/>
              <w:spacing w:before="20" w:after="20" w:line="220" w:lineRule="auto"/>
            </w:pPr>
            <w:r>
              <w:rPr>
                <w:sz w:val="15"/>
                <w:szCs w:val="15"/>
              </w:rPr>
              <w:t xml:space="preserve">6,763</w:t>
            </w:r>
          </w:p>
        </w:tc>
        <w:tc>
          <w:tcPr>
            <w:tcW w:w="750" w:type="dxa"/>
          </w:tcPr>
          <w:p>
            <w:pPr>
              <w:pStyle w:val="Compact"/>
              <w:jc w:val="left"/>
              <w:spacing w:before="20" w:after="20" w:line="220" w:lineRule="auto"/>
            </w:pPr>
            <w:r>
              <w:rPr>
                <w:sz w:val="15"/>
                <w:szCs w:val="15"/>
              </w:rPr>
              <w:t xml:space="preserve">7,031</w:t>
            </w:r>
          </w:p>
        </w:tc>
        <w:tc>
          <w:tcPr>
            <w:tcW w:w="750" w:type="dxa"/>
          </w:tcPr>
          <w:p>
            <w:pPr>
              <w:pStyle w:val="Compact"/>
              <w:jc w:val="left"/>
              <w:spacing w:before="20" w:after="20" w:line="220" w:lineRule="auto"/>
            </w:pPr>
            <w:r>
              <w:rPr>
                <w:sz w:val="15"/>
                <w:szCs w:val="15"/>
              </w:rPr>
              <w:t xml:space="preserve">7,225</w:t>
            </w:r>
          </w:p>
        </w:tc>
        <w:tc>
          <w:tcPr>
            <w:tcW w:w="750" w:type="dxa"/>
          </w:tcPr>
          <w:p>
            <w:pPr>
              <w:pStyle w:val="Compact"/>
              <w:jc w:val="left"/>
              <w:spacing w:before="20" w:after="20" w:line="220" w:lineRule="auto"/>
            </w:pPr>
            <w:r>
              <w:rPr>
                <w:sz w:val="15"/>
                <w:szCs w:val="15"/>
              </w:rPr>
              <w:t xml:space="preserve">3,494</w:t>
            </w:r>
          </w:p>
        </w:tc>
      </w:tr>
      <w:tr>
        <w:tc>
          <w:tcPr>
            <w:tcW w:w="5790" w:type="dxa"/>
          </w:tcPr>
          <w:p>
            <w:pPr>
              <w:pStyle w:val="Compact"/>
              <w:jc w:val="left"/>
              <w:spacing w:before="20" w:after="20" w:line="220" w:lineRule="auto"/>
            </w:pPr>
            <w:r>
              <w:rPr>
                <w:sz w:val="15"/>
                <w:szCs w:val="15"/>
              </w:rPr>
              <w:t xml:space="preserve">Net expense from reinsurance contracts held</w:t>
            </w:r>
          </w:p>
        </w:tc>
        <w:tc>
          <w:tcPr>
            <w:tcW w:w="5070" w:type="dxa"/>
          </w:tcPr>
          <w:p>
            <w:pPr>
              <w:pStyle w:val="Compact"/>
              <w:jc w:val="left"/>
              <w:spacing w:before="20" w:after="20" w:line="220" w:lineRule="auto"/>
            </w:pPr>
            <w:r>
              <w:rPr>
                <w:sz w:val="15"/>
                <w:szCs w:val="15"/>
              </w:rPr>
              <w:t xml:space="preserve">Fact; negative = net cost (sign as disclosed)</w:t>
            </w:r>
          </w:p>
        </w:tc>
        <w:tc>
          <w:tcPr>
            <w:tcW w:w="750" w:type="dxa"/>
          </w:tcPr>
          <w:p>
            <w:pPr>
              <w:pStyle w:val="Compact"/>
              <w:jc w:val="left"/>
              <w:spacing w:before="20" w:after="20" w:line="220" w:lineRule="auto"/>
            </w:pPr>
            <w:r>
              <w:rPr>
                <w:sz w:val="15"/>
                <w:szCs w:val="15"/>
              </w:rPr>
              <w:t xml:space="preserve">-341</w:t>
            </w:r>
          </w:p>
        </w:tc>
        <w:tc>
          <w:tcPr>
            <w:tcW w:w="750" w:type="dxa"/>
          </w:tcPr>
          <w:p>
            <w:pPr>
              <w:pStyle w:val="Compact"/>
              <w:jc w:val="left"/>
              <w:spacing w:before="20" w:after="20" w:line="220" w:lineRule="auto"/>
            </w:pPr>
            <w:r>
              <w:rPr>
                <w:sz w:val="15"/>
                <w:szCs w:val="15"/>
              </w:rPr>
              <w:t xml:space="preserve">-123</w:t>
            </w:r>
          </w:p>
        </w:tc>
        <w:tc>
          <w:tcPr>
            <w:tcW w:w="750" w:type="dxa"/>
          </w:tcPr>
          <w:p>
            <w:pPr>
              <w:pStyle w:val="Compact"/>
              <w:jc w:val="left"/>
              <w:spacing w:before="20" w:after="20" w:line="220" w:lineRule="auto"/>
            </w:pPr>
            <w:r>
              <w:rPr>
                <w:sz w:val="15"/>
                <w:szCs w:val="15"/>
              </w:rPr>
              <w:t xml:space="preserve">-199</w:t>
            </w:r>
          </w:p>
        </w:tc>
        <w:tc>
          <w:tcPr>
            <w:tcW w:w="750" w:type="dxa"/>
          </w:tcPr>
          <w:p>
            <w:pPr>
              <w:pStyle w:val="Compact"/>
              <w:jc w:val="left"/>
              <w:spacing w:before="20" w:after="20" w:line="220" w:lineRule="auto"/>
            </w:pPr>
            <w:r>
              <w:rPr>
                <w:sz w:val="15"/>
                <w:szCs w:val="15"/>
              </w:rPr>
              <w:t xml:space="preserve">-138</w:t>
            </w:r>
          </w:p>
        </w:tc>
      </w:tr>
      <w:tr>
        <w:tc>
          <w:tcPr>
            <w:tcW w:w="5790" w:type="dxa"/>
          </w:tcPr>
          <w:p>
            <w:pPr>
              <w:pStyle w:val="Compact"/>
              <w:jc w:val="left"/>
              <w:spacing w:before="20" w:after="20" w:line="220" w:lineRule="auto"/>
            </w:pPr>
            <w:r>
              <w:rPr>
                <w:sz w:val="15"/>
                <w:szCs w:val="15"/>
              </w:rPr>
              <w:t xml:space="preserve">Insurance service result</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1,574</w:t>
            </w:r>
          </w:p>
        </w:tc>
        <w:tc>
          <w:tcPr>
            <w:tcW w:w="750" w:type="dxa"/>
          </w:tcPr>
          <w:p>
            <w:pPr>
              <w:pStyle w:val="Compact"/>
              <w:jc w:val="left"/>
              <w:spacing w:before="20" w:after="20" w:line="220" w:lineRule="auto"/>
            </w:pPr>
            <w:r>
              <w:rPr>
                <w:sz w:val="15"/>
                <w:szCs w:val="15"/>
              </w:rPr>
              <w:t xml:space="preserve">1,695</w:t>
            </w:r>
          </w:p>
        </w:tc>
        <w:tc>
          <w:tcPr>
            <w:tcW w:w="750" w:type="dxa"/>
          </w:tcPr>
          <w:p>
            <w:pPr>
              <w:pStyle w:val="Compact"/>
              <w:jc w:val="left"/>
              <w:spacing w:before="20" w:after="20" w:line="220" w:lineRule="auto"/>
            </w:pPr>
            <w:r>
              <w:rPr>
                <w:sz w:val="15"/>
                <w:szCs w:val="15"/>
              </w:rPr>
              <w:t xml:space="preserve">1,655</w:t>
            </w:r>
          </w:p>
        </w:tc>
        <w:tc>
          <w:tcPr>
            <w:tcW w:w="750" w:type="dxa"/>
          </w:tcPr>
          <w:p>
            <w:pPr>
              <w:pStyle w:val="Compact"/>
              <w:jc w:val="left"/>
              <w:spacing w:before="20" w:after="20" w:line="220" w:lineRule="auto"/>
            </w:pPr>
            <w:r>
              <w:rPr>
                <w:sz w:val="15"/>
                <w:szCs w:val="15"/>
              </w:rPr>
              <w:t xml:space="preserve">935</w:t>
            </w:r>
          </w:p>
        </w:tc>
      </w:tr>
      <w:tr>
        <w:tc>
          <w:tcPr>
            <w:tcW w:w="5790" w:type="dxa"/>
          </w:tcPr>
          <w:p>
            <w:pPr>
              <w:pStyle w:val="Compact"/>
              <w:jc w:val="left"/>
              <w:spacing w:before="20" w:after="20" w:line="220" w:lineRule="auto"/>
            </w:pPr>
            <w:r>
              <w:rPr>
                <w:sz w:val="15"/>
                <w:szCs w:val="15"/>
              </w:rPr>
              <w:t xml:space="preserve">Gross operating income (net insurance income incl. investment income)</w:t>
            </w:r>
          </w:p>
        </w:tc>
        <w:tc>
          <w:tcPr>
            <w:tcW w:w="5070" w:type="dxa"/>
          </w:tcPr>
          <w:p>
            <w:pPr>
              <w:pStyle w:val="Compact"/>
              <w:jc w:val="left"/>
              <w:spacing w:before="20" w:after="20" w:line="220" w:lineRule="auto"/>
            </w:pPr>
            <w:r>
              <w:rPr>
                <w:sz w:val="15"/>
                <w:szCs w:val="15"/>
              </w:rPr>
              <w:t xml:space="preserve">Fact; this is the CTI denominator</w:t>
            </w:r>
          </w:p>
        </w:tc>
        <w:tc>
          <w:tcPr>
            <w:tcW w:w="750" w:type="dxa"/>
          </w:tcPr>
          <w:p>
            <w:pPr>
              <w:pStyle w:val="Compact"/>
              <w:jc w:val="left"/>
              <w:spacing w:before="20" w:after="20" w:line="220" w:lineRule="auto"/>
            </w:pPr>
            <w:r>
              <w:rPr>
                <w:sz w:val="15"/>
                <w:szCs w:val="15"/>
              </w:rPr>
              <w:t xml:space="preserve">2,279</w:t>
            </w:r>
          </w:p>
        </w:tc>
        <w:tc>
          <w:tcPr>
            <w:tcW w:w="750" w:type="dxa"/>
          </w:tcPr>
          <w:p>
            <w:pPr>
              <w:pStyle w:val="Compact"/>
              <w:jc w:val="left"/>
              <w:spacing w:before="20" w:after="20" w:line="220" w:lineRule="auto"/>
            </w:pPr>
            <w:r>
              <w:rPr>
                <w:sz w:val="15"/>
                <w:szCs w:val="15"/>
              </w:rPr>
              <w:t xml:space="preserve">2,546</w:t>
            </w:r>
          </w:p>
        </w:tc>
        <w:tc>
          <w:tcPr>
            <w:tcW w:w="750" w:type="dxa"/>
          </w:tcPr>
          <w:p>
            <w:pPr>
              <w:pStyle w:val="Compact"/>
              <w:jc w:val="left"/>
              <w:spacing w:before="20" w:after="20" w:line="220" w:lineRule="auto"/>
            </w:pPr>
            <w:r>
              <w:rPr>
                <w:sz w:val="15"/>
                <w:szCs w:val="15"/>
              </w:rPr>
              <w:t xml:space="preserve">2,490</w:t>
            </w:r>
          </w:p>
        </w:tc>
        <w:tc>
          <w:tcPr>
            <w:tcW w:w="750" w:type="dxa"/>
          </w:tcPr>
          <w:p>
            <w:pPr>
              <w:pStyle w:val="Compact"/>
              <w:jc w:val="left"/>
              <w:spacing w:before="20" w:after="20" w:line="220" w:lineRule="auto"/>
            </w:pPr>
            <w:r>
              <w:rPr>
                <w:sz w:val="15"/>
                <w:szCs w:val="15"/>
              </w:rPr>
              <w:t xml:space="preserve">1,281</w:t>
            </w:r>
          </w:p>
        </w:tc>
      </w:tr>
      <w:tr>
        <w:tc>
          <w:tcPr>
            <w:tcW w:w="5790" w:type="dxa"/>
          </w:tcPr>
          <w:p>
            <w:pPr>
              <w:pStyle w:val="Compact"/>
              <w:jc w:val="left"/>
              <w:spacing w:before="20" w:after="20" w:line="220" w:lineRule="auto"/>
            </w:pPr>
            <w:r>
              <w:rPr>
                <w:sz w:val="15"/>
                <w:szCs w:val="15"/>
              </w:rPr>
              <w:t xml:space="preserve">Other operating expenses (non-attributable)</w:t>
            </w:r>
          </w:p>
        </w:tc>
        <w:tc>
          <w:tcPr>
            <w:tcW w:w="5070" w:type="dxa"/>
          </w:tcPr>
          <w:p>
            <w:pPr>
              <w:pStyle w:val="Compact"/>
              <w:jc w:val="left"/>
              <w:spacing w:before="20" w:after="20" w:line="220" w:lineRule="auto"/>
            </w:pPr>
            <w:r>
              <w:rPr>
                <w:sz w:val="15"/>
                <w:szCs w:val="15"/>
              </w:rPr>
              <w:t xml:space="preserve">Fact; FY2025 as first reported (1 042); restated to 1 060 in</w:t>
            </w:r>
          </w:p>
        </w:tc>
        <w:tc>
          <w:tcPr>
            <w:tcW w:w="750" w:type="dxa"/>
          </w:tcPr>
          <w:p>
            <w:pPr>
              <w:pStyle w:val="Compact"/>
              <w:jc w:val="left"/>
              <w:spacing w:before="20" w:after="20" w:line="220" w:lineRule="auto"/>
            </w:pPr>
            <w:r>
              <w:rPr>
                <w:sz w:val="15"/>
                <w:szCs w:val="15"/>
              </w:rPr>
              <w:t xml:space="preserve">593</w:t>
            </w:r>
          </w:p>
        </w:tc>
        <w:tc>
          <w:tcPr>
            <w:tcW w:w="750" w:type="dxa"/>
          </w:tcPr>
          <w:p>
            <w:pPr>
              <w:pStyle w:val="Compact"/>
              <w:jc w:val="left"/>
              <w:spacing w:before="20" w:after="20" w:line="220" w:lineRule="auto"/>
            </w:pPr>
            <w:r>
              <w:rPr>
                <w:sz w:val="15"/>
                <w:szCs w:val="15"/>
              </w:rPr>
              <w:t xml:space="preserve">990</w:t>
            </w:r>
          </w:p>
        </w:tc>
        <w:tc>
          <w:tcPr>
            <w:tcW w:w="750" w:type="dxa"/>
          </w:tcPr>
          <w:p>
            <w:pPr>
              <w:pStyle w:val="Compact"/>
              <w:jc w:val="left"/>
              <w:spacing w:before="20" w:after="20" w:line="220" w:lineRule="auto"/>
            </w:pPr>
            <w:r>
              <w:rPr>
                <w:sz w:val="15"/>
                <w:szCs w:val="15"/>
              </w:rPr>
              <w:t xml:space="preserve">1,042</w:t>
            </w:r>
          </w:p>
        </w:tc>
        <w:tc>
          <w:tcPr>
            <w:tcW w:w="750" w:type="dxa"/>
          </w:tcPr>
          <w:p>
            <w:pPr>
              <w:pStyle w:val="Compact"/>
              <w:jc w:val="left"/>
              <w:spacing w:before="20" w:after="20" w:line="220" w:lineRule="auto"/>
            </w:pPr>
            <w:r>
              <w:rPr>
                <w:sz w:val="15"/>
                <w:szCs w:val="15"/>
              </w:rPr>
              <w:t xml:space="preserve">530</w:t>
            </w:r>
          </w:p>
        </w:tc>
      </w:tr>
      <w:tr>
        <w:tc>
          <w:tcPr>
            <w:tcW w:w="5790" w:type="dxa"/>
          </w:tcPr>
          <w:p>
            <w:pPr>
              <w:pStyle w:val="Compact"/>
              <w:jc w:val="left"/>
              <w:spacing w:before="20" w:after="20" w:line="220" w:lineRule="auto"/>
            </w:pPr>
            <w:r>
              <w:rPr>
                <w:sz w:val="15"/>
                <w:szCs w:val="15"/>
              </w:rPr>
              <w:t xml:space="preserve">Profit before tax</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1,686</w:t>
            </w:r>
          </w:p>
        </w:tc>
        <w:tc>
          <w:tcPr>
            <w:tcW w:w="750" w:type="dxa"/>
          </w:tcPr>
          <w:p>
            <w:pPr>
              <w:pStyle w:val="Compact"/>
              <w:jc w:val="left"/>
              <w:spacing w:before="20" w:after="20" w:line="220" w:lineRule="auto"/>
            </w:pPr>
            <w:r>
              <w:rPr>
                <w:sz w:val="15"/>
                <w:szCs w:val="15"/>
              </w:rPr>
              <w:t xml:space="preserve">1,556</w:t>
            </w:r>
          </w:p>
        </w:tc>
        <w:tc>
          <w:tcPr>
            <w:tcW w:w="750" w:type="dxa"/>
          </w:tcPr>
          <w:p>
            <w:pPr>
              <w:pStyle w:val="Compact"/>
              <w:jc w:val="left"/>
              <w:spacing w:before="20" w:after="20" w:line="220" w:lineRule="auto"/>
            </w:pPr>
            <w:r>
              <w:rPr>
                <w:sz w:val="15"/>
                <w:szCs w:val="15"/>
              </w:rPr>
              <w:t xml:space="preserve">1,448</w:t>
            </w:r>
          </w:p>
        </w:tc>
        <w:tc>
          <w:tcPr>
            <w:tcW w:w="750" w:type="dxa"/>
          </w:tcPr>
          <w:p>
            <w:pPr>
              <w:pStyle w:val="Compact"/>
              <w:jc w:val="left"/>
              <w:spacing w:before="20" w:after="20" w:line="220" w:lineRule="auto"/>
            </w:pPr>
            <w:r>
              <w:rPr>
                <w:sz w:val="15"/>
                <w:szCs w:val="15"/>
              </w:rPr>
              <w:t xml:space="preserve">751</w:t>
            </w:r>
          </w:p>
        </w:tc>
      </w:tr>
      <w:tr>
        <w:tc>
          <w:tcPr>
            <w:tcW w:w="5790" w:type="dxa"/>
          </w:tcPr>
          <w:p>
            <w:pPr>
              <w:pStyle w:val="Compact"/>
              <w:jc w:val="left"/>
              <w:spacing w:before="20" w:after="20" w:line="220" w:lineRule="auto"/>
            </w:pPr>
            <w:r>
              <w:rPr>
                <w:sz w:val="15"/>
                <w:szCs w:val="15"/>
              </w:rPr>
              <w:t xml:space="preserve">Headline earnings</w:t>
            </w:r>
          </w:p>
        </w:tc>
        <w:tc>
          <w:tcPr>
            <w:tcW w:w="5070" w:type="dxa"/>
          </w:tcPr>
          <w:p>
            <w:pPr>
              <w:pStyle w:val="Compact"/>
              <w:jc w:val="left"/>
              <w:spacing w:before="20" w:after="20" w:line="220" w:lineRule="auto"/>
            </w:pPr>
            <w:r>
              <w:rPr>
                <w:sz w:val="15"/>
                <w:szCs w:val="15"/>
              </w:rPr>
              <w:t xml:space="preserve">Fact; FY2025 restated to 996 in 1H2026 (AFS-897)</w:t>
            </w:r>
          </w:p>
        </w:tc>
        <w:tc>
          <w:tcPr>
            <w:tcW w:w="750" w:type="dxa"/>
          </w:tcPr>
          <w:p>
            <w:pPr>
              <w:pStyle w:val="Compact"/>
              <w:jc w:val="left"/>
              <w:spacing w:before="20" w:after="20" w:line="220" w:lineRule="auto"/>
            </w:pPr>
            <w:r>
              <w:rPr>
                <w:sz w:val="15"/>
                <w:szCs w:val="15"/>
              </w:rPr>
              <w:t xml:space="preserve">1,194</w:t>
            </w:r>
          </w:p>
        </w:tc>
        <w:tc>
          <w:tcPr>
            <w:tcW w:w="750" w:type="dxa"/>
          </w:tcPr>
          <w:p>
            <w:pPr>
              <w:pStyle w:val="Compact"/>
              <w:jc w:val="left"/>
              <w:spacing w:before="20" w:after="20" w:line="220" w:lineRule="auto"/>
            </w:pPr>
            <w:r>
              <w:rPr>
                <w:sz w:val="15"/>
                <w:szCs w:val="15"/>
              </w:rPr>
              <w:t xml:space="preserve">1,082</w:t>
            </w:r>
          </w:p>
        </w:tc>
        <w:tc>
          <w:tcPr>
            <w:tcW w:w="750" w:type="dxa"/>
          </w:tcPr>
          <w:p>
            <w:pPr>
              <w:pStyle w:val="Compact"/>
              <w:jc w:val="left"/>
              <w:spacing w:before="20" w:after="20" w:line="220" w:lineRule="auto"/>
            </w:pPr>
            <w:r>
              <w:rPr>
                <w:sz w:val="15"/>
                <w:szCs w:val="15"/>
              </w:rPr>
              <w:t xml:space="preserve">1,010</w:t>
            </w:r>
          </w:p>
        </w:tc>
        <w:tc>
          <w:tcPr>
            <w:tcW w:w="750" w:type="dxa"/>
          </w:tcPr>
          <w:p>
            <w:pPr>
              <w:pStyle w:val="Compact"/>
              <w:jc w:val="left"/>
              <w:spacing w:before="20" w:after="20" w:line="220" w:lineRule="auto"/>
            </w:pPr>
            <w:r>
              <w:rPr>
                <w:sz w:val="15"/>
                <w:szCs w:val="15"/>
              </w:rPr>
              <w:t xml:space="preserve">505</w:t>
            </w:r>
          </w:p>
        </w:tc>
      </w:tr>
      <w:tr>
        <w:tc>
          <w:tcPr>
            <w:tcW w:w="5790" w:type="dxa"/>
          </w:tcPr>
          <w:p>
            <w:pPr>
              <w:pStyle w:val="Compact"/>
              <w:jc w:val="left"/>
              <w:spacing w:before="20" w:after="20" w:line="220" w:lineRule="auto"/>
            </w:pPr>
            <w:r>
              <w:rPr>
                <w:sz w:val="15"/>
                <w:szCs w:val="15"/>
              </w:rPr>
              <w:t xml:space="preserve">Cost-to-income ratio as reported (percent)</w:t>
            </w:r>
          </w:p>
        </w:tc>
        <w:tc>
          <w:tcPr>
            <w:tcW w:w="5070" w:type="dxa"/>
          </w:tcPr>
          <w:p>
            <w:pPr>
              <w:pStyle w:val="Compact"/>
              <w:jc w:val="left"/>
              <w:spacing w:before="20" w:after="20" w:line="220" w:lineRule="auto"/>
            </w:pPr>
            <w:r>
              <w:rPr>
                <w:sz w:val="15"/>
                <w:szCs w:val="15"/>
              </w:rPr>
              <w:t xml:space="preserve">Fact; segment opex / net insurance income; not an insurer ex</w:t>
            </w:r>
          </w:p>
        </w:tc>
        <w:tc>
          <w:tcPr>
            <w:tcW w:w="750" w:type="dxa"/>
          </w:tcPr>
          <w:p>
            <w:pPr>
              <w:pStyle w:val="Compact"/>
              <w:jc w:val="left"/>
              <w:spacing w:before="20" w:after="20" w:line="220" w:lineRule="auto"/>
            </w:pPr>
            <w:r>
              <w:rPr>
                <w:sz w:val="15"/>
                <w:szCs w:val="15"/>
              </w:rPr>
              <w:t xml:space="preserve">24</w:t>
            </w:r>
          </w:p>
        </w:tc>
        <w:tc>
          <w:tcPr>
            <w:tcW w:w="750" w:type="dxa"/>
          </w:tcPr>
          <w:p>
            <w:pPr>
              <w:pStyle w:val="Compact"/>
              <w:jc w:val="left"/>
              <w:spacing w:before="20" w:after="20" w:line="220" w:lineRule="auto"/>
            </w:pPr>
            <w:r>
              <w:rPr>
                <w:sz w:val="15"/>
                <w:szCs w:val="15"/>
              </w:rPr>
              <w:t xml:space="preserve">37</w:t>
            </w:r>
          </w:p>
        </w:tc>
        <w:tc>
          <w:tcPr>
            <w:tcW w:w="750" w:type="dxa"/>
          </w:tcPr>
          <w:p>
            <w:pPr>
              <w:pStyle w:val="Compact"/>
              <w:jc w:val="left"/>
              <w:spacing w:before="20" w:after="20" w:line="220" w:lineRule="auto"/>
            </w:pPr>
            <w:r>
              <w:rPr>
                <w:sz w:val="15"/>
                <w:szCs w:val="15"/>
              </w:rPr>
              <w:t xml:space="preserve">40</w:t>
            </w:r>
          </w:p>
        </w:tc>
        <w:tc>
          <w:tcPr>
            <w:tcW w:w="750" w:type="dxa"/>
          </w:tcPr>
          <w:p>
            <w:pPr>
              <w:pStyle w:val="Compact"/>
              <w:spacing w:before="20" w:after="20" w:line="220" w:lineRule="auto"/>
            </w:pPr>
          </w:p>
        </w:tc>
      </w:tr>
      <w:tr>
        <w:tc>
          <w:tcPr>
            <w:tcW w:w="5790" w:type="dxa"/>
          </w:tcPr>
          <w:p>
            <w:pPr>
              <w:pStyle w:val="Compact"/>
              <w:jc w:val="left"/>
              <w:spacing w:before="20" w:after="20" w:line="220" w:lineRule="auto"/>
            </w:pPr>
            <w:r>
              <w:rPr>
                <w:sz w:val="15"/>
                <w:szCs w:val="15"/>
              </w:rPr>
              <w:t xml:space="preserve">Non-attributable opex / insurance revenue</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6.8%</w:t>
            </w:r>
          </w:p>
        </w:tc>
        <w:tc>
          <w:tcPr>
            <w:tcW w:w="750" w:type="dxa"/>
          </w:tcPr>
          <w:p>
            <w:pPr>
              <w:pStyle w:val="Compact"/>
              <w:jc w:val="left"/>
              <w:spacing w:before="20" w:after="20" w:line="220" w:lineRule="auto"/>
            </w:pPr>
            <w:r>
              <w:rPr>
                <w:sz w:val="15"/>
                <w:szCs w:val="15"/>
              </w:rPr>
              <w:t xml:space="preserve">11.2%</w:t>
            </w:r>
          </w:p>
        </w:tc>
        <w:tc>
          <w:tcPr>
            <w:tcW w:w="750" w:type="dxa"/>
          </w:tcPr>
          <w:p>
            <w:pPr>
              <w:pStyle w:val="Compact"/>
              <w:jc w:val="left"/>
              <w:spacing w:before="20" w:after="20" w:line="220" w:lineRule="auto"/>
            </w:pPr>
            <w:r>
              <w:rPr>
                <w:sz w:val="15"/>
                <w:szCs w:val="15"/>
              </w:rPr>
              <w:t xml:space="preserve">11.5%</w:t>
            </w:r>
          </w:p>
        </w:tc>
        <w:tc>
          <w:tcPr>
            <w:tcW w:w="750" w:type="dxa"/>
          </w:tcPr>
          <w:p>
            <w:pPr>
              <w:pStyle w:val="Compact"/>
              <w:jc w:val="left"/>
              <w:spacing w:before="20" w:after="20" w:line="220" w:lineRule="auto"/>
            </w:pPr>
            <w:r>
              <w:rPr>
                <w:sz w:val="15"/>
                <w:szCs w:val="15"/>
              </w:rPr>
              <w:t xml:space="preserve">11.6%</w:t>
            </w:r>
          </w:p>
        </w:tc>
      </w:tr>
      <w:tr>
        <w:tc>
          <w:tcPr>
            <w:tcW w:w="5790" w:type="dxa"/>
          </w:tcPr>
          <w:p>
            <w:pPr>
              <w:pStyle w:val="Compact"/>
              <w:jc w:val="left"/>
              <w:spacing w:before="20" w:after="20" w:line="220" w:lineRule="auto"/>
            </w:pPr>
            <w:r>
              <w:rPr>
                <w:sz w:val="15"/>
                <w:szCs w:val="15"/>
              </w:rPr>
              <w:t xml:space="preserve">Insurance service expenses / insurance revenue</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77.9%</w:t>
            </w:r>
          </w:p>
        </w:tc>
        <w:tc>
          <w:tcPr>
            <w:tcW w:w="750" w:type="dxa"/>
          </w:tcPr>
          <w:p>
            <w:pPr>
              <w:pStyle w:val="Compact"/>
              <w:jc w:val="left"/>
              <w:spacing w:before="20" w:after="20" w:line="220" w:lineRule="auto"/>
            </w:pPr>
            <w:r>
              <w:rPr>
                <w:sz w:val="15"/>
                <w:szCs w:val="15"/>
              </w:rPr>
              <w:t xml:space="preserve">79.5%</w:t>
            </w:r>
          </w:p>
        </w:tc>
        <w:tc>
          <w:tcPr>
            <w:tcW w:w="750" w:type="dxa"/>
          </w:tcPr>
          <w:p>
            <w:pPr>
              <w:pStyle w:val="Compact"/>
              <w:jc w:val="left"/>
              <w:spacing w:before="20" w:after="20" w:line="220" w:lineRule="auto"/>
            </w:pPr>
            <w:r>
              <w:rPr>
                <w:sz w:val="15"/>
                <w:szCs w:val="15"/>
              </w:rPr>
              <w:t xml:space="preserve">79.6%</w:t>
            </w:r>
          </w:p>
        </w:tc>
        <w:tc>
          <w:tcPr>
            <w:tcW w:w="750" w:type="dxa"/>
          </w:tcPr>
          <w:p>
            <w:pPr>
              <w:pStyle w:val="Compact"/>
              <w:jc w:val="left"/>
              <w:spacing w:before="20" w:after="20" w:line="220" w:lineRule="auto"/>
            </w:pPr>
            <w:r>
              <w:rPr>
                <w:sz w:val="15"/>
                <w:szCs w:val="15"/>
              </w:rPr>
              <w:t xml:space="preserve">76.5%</w:t>
            </w:r>
          </w:p>
        </w:tc>
      </w:tr>
    </w:tbl>
    <w:p>
      <w:pPr>
        <w:pStyle w:val="BodyText"/>
      </w:pPr>
      <w:r>
        <w:t xml:space="preserve">Source: afs_cost_benchmark.xlsx, AFS cost base tab section A; each line links to a data_id in the Raw data tab or is a stated formula.</w:t>
      </w:r>
    </w:p>
    <w:tbl>
      <w:tblPr>
        <w:tblStyle w:val="Table"/>
        <w:tblLook w:firstRow="1" w:lastRow="0" w:firstColumn="0" w:lastColumn="0" w:noHBand="0" w:noVBand="0" w:val="0020"/>
        <w:jc w:val="start"/>
        <w:tblW w:w="11700" w:type="dxa"/>
        <w:tblLayout w:type="fixed"/>
      </w:tblPr>
      <w:tblGrid>
        <w:gridCol w:w="5630"/>
        <w:gridCol w:w="3070"/>
        <w:gridCol w:w="750"/>
        <w:gridCol w:w="750"/>
        <w:gridCol w:w="750"/>
        <w:gridCol w:w="750"/>
      </w:tblGrid>
      <w:tr>
        <w:trPr>
          <w:tblHeader w:val="true"/>
        </w:trPr>
        <w:tc>
          <w:tcPr>
            <w:tcW w:w="5630" w:type="dxa"/>
          </w:tcPr>
          <w:p>
            <w:pPr>
              <w:pStyle w:val="Compact"/>
              <w:jc w:val="left"/>
              <w:spacing w:before="20" w:after="20" w:line="220" w:lineRule="auto"/>
            </w:pPr>
            <w:r>
              <w:rPr>
                <w:sz w:val="15"/>
                <w:szCs w:val="15"/>
              </w:rPr>
              <w:t xml:space="preserve">Line</w:t>
            </w:r>
          </w:p>
        </w:tc>
        <w:tc>
          <w:tcPr>
            <w:tcW w:w="3070" w:type="dxa"/>
          </w:tcPr>
          <w:p>
            <w:pPr>
              <w:pStyle w:val="Compact"/>
              <w:jc w:val="left"/>
              <w:spacing w:before="20" w:after="20" w:line="220" w:lineRule="auto"/>
            </w:pPr>
            <w:r>
              <w:rPr>
                <w:sz w:val="15"/>
                <w:szCs w:val="15"/>
              </w:rPr>
              <w:t xml:space="preserve">Basis</w:t>
            </w:r>
          </w:p>
        </w:tc>
        <w:tc>
          <w:tcPr>
            <w:tcW w:w="750" w:type="dxa"/>
          </w:tcPr>
          <w:p>
            <w:pPr>
              <w:pStyle w:val="Compact"/>
              <w:jc w:val="left"/>
              <w:spacing w:before="20" w:after="20" w:line="220" w:lineRule="auto"/>
            </w:pPr>
            <w:r>
              <w:rPr>
                <w:sz w:val="15"/>
                <w:szCs w:val="15"/>
              </w:rPr>
              <w:t xml:space="preserve">FY2023</w:t>
            </w:r>
          </w:p>
        </w:tc>
        <w:tc>
          <w:tcPr>
            <w:tcW w:w="750" w:type="dxa"/>
          </w:tcPr>
          <w:p>
            <w:pPr>
              <w:pStyle w:val="Compact"/>
              <w:jc w:val="left"/>
              <w:spacing w:before="20" w:after="20" w:line="220" w:lineRule="auto"/>
            </w:pPr>
            <w:r>
              <w:rPr>
                <w:sz w:val="15"/>
                <w:szCs w:val="15"/>
              </w:rPr>
              <w:t xml:space="preserve">FY2024</w:t>
            </w:r>
          </w:p>
        </w:tc>
        <w:tc>
          <w:tcPr>
            <w:tcW w:w="750" w:type="dxa"/>
          </w:tcPr>
          <w:p>
            <w:pPr>
              <w:pStyle w:val="Compact"/>
              <w:jc w:val="left"/>
              <w:spacing w:before="20" w:after="20" w:line="220" w:lineRule="auto"/>
            </w:pPr>
            <w:r>
              <w:rPr>
                <w:sz w:val="15"/>
                <w:szCs w:val="15"/>
              </w:rPr>
              <w:t xml:space="preserve">FY2025</w:t>
            </w:r>
          </w:p>
        </w:tc>
        <w:tc>
          <w:tcPr>
            <w:tcW w:w="750" w:type="dxa"/>
          </w:tcPr>
          <w:p>
            <w:pPr>
              <w:pStyle w:val="Compact"/>
              <w:jc w:val="left"/>
              <w:spacing w:before="20" w:after="20" w:line="220" w:lineRule="auto"/>
            </w:pPr>
            <w:r>
              <w:rPr>
                <w:sz w:val="15"/>
                <w:szCs w:val="15"/>
              </w:rPr>
              <w:t xml:space="preserve">1H2026</w:t>
            </w:r>
          </w:p>
        </w:tc>
      </w:tr>
      <w:tr>
        <w:tc>
          <w:tcPr>
            <w:tcW w:w="5630" w:type="dxa"/>
          </w:tcPr>
          <w:p>
            <w:pPr>
              <w:pStyle w:val="Compact"/>
              <w:jc w:val="left"/>
              <w:spacing w:before="20" w:after="20" w:line="220" w:lineRule="auto"/>
            </w:pPr>
            <w:r>
              <w:rPr>
                <w:sz w:val="15"/>
                <w:szCs w:val="15"/>
              </w:rPr>
              <w:t xml:space="preserve">Life: insurance revenue</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4,961</w:t>
            </w:r>
          </w:p>
        </w:tc>
        <w:tc>
          <w:tcPr>
            <w:tcW w:w="750" w:type="dxa"/>
          </w:tcPr>
          <w:p>
            <w:pPr>
              <w:pStyle w:val="Compact"/>
              <w:jc w:val="left"/>
              <w:spacing w:before="20" w:after="20" w:line="220" w:lineRule="auto"/>
            </w:pPr>
            <w:r>
              <w:rPr>
                <w:sz w:val="15"/>
                <w:szCs w:val="15"/>
              </w:rPr>
              <w:t xml:space="preserve">5,088</w:t>
            </w:r>
          </w:p>
        </w:tc>
        <w:tc>
          <w:tcPr>
            <w:tcW w:w="750" w:type="dxa"/>
          </w:tcPr>
          <w:p>
            <w:pPr>
              <w:pStyle w:val="Compact"/>
              <w:jc w:val="left"/>
              <w:spacing w:before="20" w:after="20" w:line="220" w:lineRule="auto"/>
            </w:pPr>
            <w:r>
              <w:rPr>
                <w:sz w:val="15"/>
                <w:szCs w:val="15"/>
              </w:rPr>
              <w:t xml:space="preserve">5,310</w:t>
            </w:r>
          </w:p>
        </w:tc>
        <w:tc>
          <w:tcPr>
            <w:tcW w:w="750" w:type="dxa"/>
          </w:tcPr>
          <w:p>
            <w:pPr>
              <w:pStyle w:val="Compact"/>
              <w:jc w:val="left"/>
              <w:spacing w:before="20" w:after="20" w:line="220" w:lineRule="auto"/>
            </w:pPr>
            <w:r>
              <w:rPr>
                <w:sz w:val="15"/>
                <w:szCs w:val="15"/>
              </w:rPr>
              <w:t xml:space="preserve">2,644</w:t>
            </w:r>
          </w:p>
        </w:tc>
      </w:tr>
      <w:tr>
        <w:tc>
          <w:tcPr>
            <w:tcW w:w="5630" w:type="dxa"/>
          </w:tcPr>
          <w:p>
            <w:pPr>
              <w:pStyle w:val="Compact"/>
              <w:jc w:val="left"/>
              <w:spacing w:before="20" w:after="20" w:line="220" w:lineRule="auto"/>
            </w:pPr>
            <w:r>
              <w:rPr>
                <w:sz w:val="15"/>
                <w:szCs w:val="15"/>
              </w:rPr>
              <w:t xml:space="preserve">Life: insurance service expenses</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3,575</w:t>
            </w:r>
          </w:p>
        </w:tc>
        <w:tc>
          <w:tcPr>
            <w:tcW w:w="750" w:type="dxa"/>
          </w:tcPr>
          <w:p>
            <w:pPr>
              <w:pStyle w:val="Compact"/>
              <w:jc w:val="left"/>
              <w:spacing w:before="20" w:after="20" w:line="220" w:lineRule="auto"/>
            </w:pPr>
            <w:r>
              <w:rPr>
                <w:sz w:val="15"/>
                <w:szCs w:val="15"/>
              </w:rPr>
              <w:t xml:space="preserve">3,867</w:t>
            </w:r>
          </w:p>
        </w:tc>
        <w:tc>
          <w:tcPr>
            <w:tcW w:w="750" w:type="dxa"/>
          </w:tcPr>
          <w:p>
            <w:pPr>
              <w:pStyle w:val="Compact"/>
              <w:jc w:val="left"/>
              <w:spacing w:before="20" w:after="20" w:line="220" w:lineRule="auto"/>
            </w:pPr>
            <w:r>
              <w:rPr>
                <w:sz w:val="15"/>
                <w:szCs w:val="15"/>
              </w:rPr>
              <w:t xml:space="preserve">4,178</w:t>
            </w:r>
          </w:p>
        </w:tc>
        <w:tc>
          <w:tcPr>
            <w:tcW w:w="750" w:type="dxa"/>
          </w:tcPr>
          <w:p>
            <w:pPr>
              <w:pStyle w:val="Compact"/>
              <w:jc w:val="left"/>
              <w:spacing w:before="20" w:after="20" w:line="220" w:lineRule="auto"/>
            </w:pPr>
            <w:r>
              <w:rPr>
                <w:sz w:val="15"/>
                <w:szCs w:val="15"/>
              </w:rPr>
              <w:t xml:space="preserve">1,912</w:t>
            </w:r>
          </w:p>
        </w:tc>
      </w:tr>
      <w:tr>
        <w:tc>
          <w:tcPr>
            <w:tcW w:w="5630" w:type="dxa"/>
          </w:tcPr>
          <w:p>
            <w:pPr>
              <w:pStyle w:val="Compact"/>
              <w:jc w:val="left"/>
              <w:spacing w:before="20" w:after="20" w:line="220" w:lineRule="auto"/>
            </w:pPr>
            <w:r>
              <w:rPr>
                <w:sz w:val="15"/>
                <w:szCs w:val="15"/>
              </w:rPr>
              <w:t xml:space="preserve">Life: other operating expenses (non-attributable)</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173</w:t>
            </w:r>
          </w:p>
        </w:tc>
        <w:tc>
          <w:tcPr>
            <w:tcW w:w="750" w:type="dxa"/>
          </w:tcPr>
          <w:p>
            <w:pPr>
              <w:pStyle w:val="Compact"/>
              <w:jc w:val="left"/>
              <w:spacing w:before="20" w:after="20" w:line="220" w:lineRule="auto"/>
            </w:pPr>
            <w:r>
              <w:rPr>
                <w:sz w:val="15"/>
                <w:szCs w:val="15"/>
              </w:rPr>
              <w:t xml:space="preserve">248</w:t>
            </w:r>
          </w:p>
        </w:tc>
        <w:tc>
          <w:tcPr>
            <w:tcW w:w="750" w:type="dxa"/>
          </w:tcPr>
          <w:p>
            <w:pPr>
              <w:pStyle w:val="Compact"/>
              <w:jc w:val="left"/>
              <w:spacing w:before="20" w:after="20" w:line="220" w:lineRule="auto"/>
            </w:pPr>
            <w:r>
              <w:rPr>
                <w:sz w:val="15"/>
                <w:szCs w:val="15"/>
              </w:rPr>
              <w:t xml:space="preserve">212</w:t>
            </w:r>
          </w:p>
        </w:tc>
        <w:tc>
          <w:tcPr>
            <w:tcW w:w="750" w:type="dxa"/>
          </w:tcPr>
          <w:p>
            <w:pPr>
              <w:pStyle w:val="Compact"/>
              <w:jc w:val="left"/>
              <w:spacing w:before="20" w:after="20" w:line="220" w:lineRule="auto"/>
            </w:pPr>
            <w:r>
              <w:rPr>
                <w:sz w:val="15"/>
                <w:szCs w:val="15"/>
              </w:rPr>
              <w:t xml:space="preserve">111</w:t>
            </w:r>
          </w:p>
        </w:tc>
      </w:tr>
      <w:tr>
        <w:tc>
          <w:tcPr>
            <w:tcW w:w="5630" w:type="dxa"/>
          </w:tcPr>
          <w:p>
            <w:pPr>
              <w:pStyle w:val="Compact"/>
              <w:jc w:val="left"/>
              <w:spacing w:before="20" w:after="20" w:line="220" w:lineRule="auto"/>
            </w:pPr>
            <w:r>
              <w:rPr>
                <w:sz w:val="15"/>
                <w:szCs w:val="15"/>
              </w:rPr>
              <w:t xml:space="preserve">Life: profit for the period</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996</w:t>
            </w:r>
          </w:p>
        </w:tc>
        <w:tc>
          <w:tcPr>
            <w:tcW w:w="750" w:type="dxa"/>
          </w:tcPr>
          <w:p>
            <w:pPr>
              <w:pStyle w:val="Compact"/>
              <w:jc w:val="left"/>
              <w:spacing w:before="20" w:after="20" w:line="220" w:lineRule="auto"/>
            </w:pPr>
            <w:r>
              <w:rPr>
                <w:sz w:val="15"/>
                <w:szCs w:val="15"/>
              </w:rPr>
              <w:t xml:space="preserve">957</w:t>
            </w:r>
          </w:p>
        </w:tc>
        <w:tc>
          <w:tcPr>
            <w:tcW w:w="750" w:type="dxa"/>
          </w:tcPr>
          <w:p>
            <w:pPr>
              <w:pStyle w:val="Compact"/>
              <w:jc w:val="left"/>
              <w:spacing w:before="20" w:after="20" w:line="220" w:lineRule="auto"/>
            </w:pPr>
            <w:r>
              <w:rPr>
                <w:sz w:val="15"/>
                <w:szCs w:val="15"/>
              </w:rPr>
              <w:t xml:space="preserve">885</w:t>
            </w:r>
          </w:p>
        </w:tc>
        <w:tc>
          <w:tcPr>
            <w:tcW w:w="750" w:type="dxa"/>
          </w:tcPr>
          <w:p>
            <w:pPr>
              <w:pStyle w:val="Compact"/>
              <w:jc w:val="left"/>
              <w:spacing w:before="20" w:after="20" w:line="220" w:lineRule="auto"/>
            </w:pPr>
            <w:r>
              <w:rPr>
                <w:sz w:val="15"/>
                <w:szCs w:val="15"/>
              </w:rPr>
              <w:t xml:space="preserve">444</w:t>
            </w:r>
          </w:p>
        </w:tc>
      </w:tr>
      <w:tr>
        <w:tc>
          <w:tcPr>
            <w:tcW w:w="5630" w:type="dxa"/>
          </w:tcPr>
          <w:p>
            <w:pPr>
              <w:pStyle w:val="Compact"/>
              <w:jc w:val="left"/>
              <w:spacing w:before="20" w:after="20" w:line="220" w:lineRule="auto"/>
            </w:pPr>
            <w:r>
              <w:rPr>
                <w:sz w:val="15"/>
                <w:szCs w:val="15"/>
              </w:rPr>
              <w:t xml:space="preserve">Non-Life: insurance revenue</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3,717</w:t>
            </w:r>
          </w:p>
        </w:tc>
        <w:tc>
          <w:tcPr>
            <w:tcW w:w="750" w:type="dxa"/>
          </w:tcPr>
          <w:p>
            <w:pPr>
              <w:pStyle w:val="Compact"/>
              <w:jc w:val="left"/>
              <w:spacing w:before="20" w:after="20" w:line="220" w:lineRule="auto"/>
            </w:pPr>
            <w:r>
              <w:rPr>
                <w:sz w:val="15"/>
                <w:szCs w:val="15"/>
              </w:rPr>
              <w:t xml:space="preserve">3,986</w:t>
            </w:r>
          </w:p>
        </w:tc>
        <w:tc>
          <w:tcPr>
            <w:tcW w:w="750" w:type="dxa"/>
          </w:tcPr>
          <w:p>
            <w:pPr>
              <w:pStyle w:val="Compact"/>
              <w:jc w:val="left"/>
              <w:spacing w:before="20" w:after="20" w:line="220" w:lineRule="auto"/>
            </w:pPr>
            <w:r>
              <w:rPr>
                <w:sz w:val="15"/>
                <w:szCs w:val="15"/>
              </w:rPr>
              <w:t xml:space="preserve">4,102</w:t>
            </w:r>
          </w:p>
        </w:tc>
        <w:tc>
          <w:tcPr>
            <w:tcW w:w="750" w:type="dxa"/>
          </w:tcPr>
          <w:p>
            <w:pPr>
              <w:pStyle w:val="Compact"/>
              <w:jc w:val="left"/>
              <w:spacing w:before="20" w:after="20" w:line="220" w:lineRule="auto"/>
            </w:pPr>
            <w:r>
              <w:rPr>
                <w:sz w:val="15"/>
                <w:szCs w:val="15"/>
              </w:rPr>
              <w:t xml:space="preserve">2,116</w:t>
            </w:r>
          </w:p>
        </w:tc>
      </w:tr>
      <w:tr>
        <w:tc>
          <w:tcPr>
            <w:tcW w:w="5630" w:type="dxa"/>
          </w:tcPr>
          <w:p>
            <w:pPr>
              <w:pStyle w:val="Compact"/>
              <w:jc w:val="left"/>
              <w:spacing w:before="20" w:after="20" w:line="220" w:lineRule="auto"/>
            </w:pPr>
            <w:r>
              <w:rPr>
                <w:sz w:val="15"/>
                <w:szCs w:val="15"/>
              </w:rPr>
              <w:t xml:space="preserve">Non-Life: insurance service expenses</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3,188</w:t>
            </w:r>
          </w:p>
        </w:tc>
        <w:tc>
          <w:tcPr>
            <w:tcW w:w="750" w:type="dxa"/>
          </w:tcPr>
          <w:p>
            <w:pPr>
              <w:pStyle w:val="Compact"/>
              <w:jc w:val="left"/>
              <w:spacing w:before="20" w:after="20" w:line="220" w:lineRule="auto"/>
            </w:pPr>
            <w:r>
              <w:rPr>
                <w:sz w:val="15"/>
                <w:szCs w:val="15"/>
              </w:rPr>
              <w:t xml:space="preserve">3,274</w:t>
            </w:r>
          </w:p>
        </w:tc>
        <w:tc>
          <w:tcPr>
            <w:tcW w:w="750" w:type="dxa"/>
          </w:tcPr>
          <w:p>
            <w:pPr>
              <w:pStyle w:val="Compact"/>
              <w:jc w:val="left"/>
              <w:spacing w:before="20" w:after="20" w:line="220" w:lineRule="auto"/>
            </w:pPr>
            <w:r>
              <w:rPr>
                <w:sz w:val="15"/>
                <w:szCs w:val="15"/>
              </w:rPr>
              <w:t xml:space="preserve">3,181</w:t>
            </w:r>
          </w:p>
        </w:tc>
        <w:tc>
          <w:tcPr>
            <w:tcW w:w="750" w:type="dxa"/>
          </w:tcPr>
          <w:p>
            <w:pPr>
              <w:pStyle w:val="Compact"/>
              <w:jc w:val="left"/>
              <w:spacing w:before="20" w:after="20" w:line="220" w:lineRule="auto"/>
            </w:pPr>
            <w:r>
              <w:rPr>
                <w:sz w:val="15"/>
                <w:szCs w:val="15"/>
              </w:rPr>
              <w:t xml:space="preserve">1,647</w:t>
            </w:r>
          </w:p>
        </w:tc>
      </w:tr>
      <w:tr>
        <w:tc>
          <w:tcPr>
            <w:tcW w:w="5630" w:type="dxa"/>
          </w:tcPr>
          <w:p>
            <w:pPr>
              <w:pStyle w:val="Compact"/>
              <w:jc w:val="left"/>
              <w:spacing w:before="20" w:after="20" w:line="220" w:lineRule="auto"/>
            </w:pPr>
            <w:r>
              <w:rPr>
                <w:sz w:val="15"/>
                <w:szCs w:val="15"/>
              </w:rPr>
              <w:t xml:space="preserve">Non-Life: other operating expenses (non-attributable)</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420</w:t>
            </w:r>
          </w:p>
        </w:tc>
        <w:tc>
          <w:tcPr>
            <w:tcW w:w="750" w:type="dxa"/>
          </w:tcPr>
          <w:p>
            <w:pPr>
              <w:pStyle w:val="Compact"/>
              <w:jc w:val="left"/>
              <w:spacing w:before="20" w:after="20" w:line="220" w:lineRule="auto"/>
            </w:pPr>
            <w:r>
              <w:rPr>
                <w:sz w:val="15"/>
                <w:szCs w:val="15"/>
              </w:rPr>
              <w:t xml:space="preserve">466</w:t>
            </w:r>
          </w:p>
        </w:tc>
        <w:tc>
          <w:tcPr>
            <w:tcW w:w="750" w:type="dxa"/>
          </w:tcPr>
          <w:p>
            <w:pPr>
              <w:pStyle w:val="Compact"/>
              <w:jc w:val="left"/>
              <w:spacing w:before="20" w:after="20" w:line="220" w:lineRule="auto"/>
            </w:pPr>
            <w:r>
              <w:rPr>
                <w:sz w:val="15"/>
                <w:szCs w:val="15"/>
              </w:rPr>
              <w:t xml:space="preserve">504</w:t>
            </w:r>
          </w:p>
        </w:tc>
        <w:tc>
          <w:tcPr>
            <w:tcW w:w="750" w:type="dxa"/>
          </w:tcPr>
          <w:p>
            <w:pPr>
              <w:pStyle w:val="Compact"/>
              <w:jc w:val="left"/>
              <w:spacing w:before="20" w:after="20" w:line="220" w:lineRule="auto"/>
            </w:pPr>
            <w:r>
              <w:rPr>
                <w:sz w:val="15"/>
                <w:szCs w:val="15"/>
              </w:rPr>
              <w:t xml:space="preserve">268</w:t>
            </w:r>
          </w:p>
        </w:tc>
      </w:tr>
      <w:tr>
        <w:tc>
          <w:tcPr>
            <w:tcW w:w="5630" w:type="dxa"/>
          </w:tcPr>
          <w:p>
            <w:pPr>
              <w:pStyle w:val="Compact"/>
              <w:jc w:val="left"/>
              <w:spacing w:before="20" w:after="20" w:line="220" w:lineRule="auto"/>
            </w:pPr>
            <w:r>
              <w:rPr>
                <w:sz w:val="15"/>
                <w:szCs w:val="15"/>
              </w:rPr>
              <w:t xml:space="preserve">Non-Life: profit for the period</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192</w:t>
            </w:r>
          </w:p>
        </w:tc>
        <w:tc>
          <w:tcPr>
            <w:tcW w:w="750" w:type="dxa"/>
          </w:tcPr>
          <w:p>
            <w:pPr>
              <w:pStyle w:val="Compact"/>
              <w:jc w:val="left"/>
              <w:spacing w:before="20" w:after="20" w:line="220" w:lineRule="auto"/>
            </w:pPr>
            <w:r>
              <w:rPr>
                <w:sz w:val="15"/>
                <w:szCs w:val="15"/>
              </w:rPr>
              <w:t xml:space="preserve">307</w:t>
            </w:r>
          </w:p>
        </w:tc>
        <w:tc>
          <w:tcPr>
            <w:tcW w:w="750" w:type="dxa"/>
          </w:tcPr>
          <w:p>
            <w:pPr>
              <w:pStyle w:val="Compact"/>
              <w:jc w:val="left"/>
              <w:spacing w:before="20" w:after="20" w:line="220" w:lineRule="auto"/>
            </w:pPr>
            <w:r>
              <w:rPr>
                <w:sz w:val="15"/>
                <w:szCs w:val="15"/>
              </w:rPr>
              <w:t xml:space="preserve">396</w:t>
            </w:r>
          </w:p>
        </w:tc>
        <w:tc>
          <w:tcPr>
            <w:tcW w:w="750" w:type="dxa"/>
          </w:tcPr>
          <w:p>
            <w:pPr>
              <w:pStyle w:val="Compact"/>
              <w:jc w:val="left"/>
              <w:spacing w:before="20" w:after="20" w:line="220" w:lineRule="auto"/>
            </w:pPr>
            <w:r>
              <w:rPr>
                <w:sz w:val="15"/>
                <w:szCs w:val="15"/>
              </w:rPr>
              <w:t xml:space="preserve">152</w:t>
            </w:r>
          </w:p>
        </w:tc>
      </w:tr>
      <w:tr>
        <w:tc>
          <w:tcPr>
            <w:tcW w:w="5630" w:type="dxa"/>
          </w:tcPr>
          <w:p>
            <w:pPr>
              <w:pStyle w:val="Compact"/>
              <w:jc w:val="left"/>
              <w:spacing w:before="20" w:after="20" w:line="220" w:lineRule="auto"/>
            </w:pPr>
            <w:r>
              <w:rPr>
                <w:sz w:val="15"/>
                <w:szCs w:val="15"/>
              </w:rPr>
              <w:t xml:space="preserve">HO: insurance revenue</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-225</w:t>
            </w:r>
          </w:p>
        </w:tc>
        <w:tc>
          <w:tcPr>
            <w:tcW w:w="750" w:type="dxa"/>
          </w:tcPr>
          <w:p>
            <w:pPr>
              <w:pStyle w:val="Compact"/>
              <w:jc w:val="left"/>
              <w:spacing w:before="20" w:after="20" w:line="220" w:lineRule="auto"/>
            </w:pPr>
            <w:r>
              <w:rPr>
                <w:sz w:val="15"/>
                <w:szCs w:val="15"/>
              </w:rPr>
              <w:t xml:space="preserve">-333</w:t>
            </w:r>
          </w:p>
        </w:tc>
        <w:tc>
          <w:tcPr>
            <w:tcW w:w="750" w:type="dxa"/>
          </w:tcPr>
          <w:p>
            <w:pPr>
              <w:pStyle w:val="Compact"/>
              <w:jc w:val="left"/>
              <w:spacing w:before="20" w:after="20" w:line="220" w:lineRule="auto"/>
            </w:pPr>
            <w:r>
              <w:rPr>
                <w:sz w:val="15"/>
                <w:szCs w:val="15"/>
              </w:rPr>
              <w:t xml:space="preserve">-193</w:t>
            </w:r>
          </w:p>
        </w:tc>
      </w:tr>
      <w:tr>
        <w:tc>
          <w:tcPr>
            <w:tcW w:w="5630" w:type="dxa"/>
          </w:tcPr>
          <w:p>
            <w:pPr>
              <w:pStyle w:val="Compact"/>
              <w:jc w:val="left"/>
              <w:spacing w:before="20" w:after="20" w:line="220" w:lineRule="auto"/>
            </w:pPr>
            <w:r>
              <w:rPr>
                <w:sz w:val="15"/>
                <w:szCs w:val="15"/>
              </w:rPr>
              <w:t xml:space="preserve">HO: insurance service expenses</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110</w:t>
            </w:r>
          </w:p>
        </w:tc>
        <w:tc>
          <w:tcPr>
            <w:tcW w:w="750" w:type="dxa"/>
          </w:tcPr>
          <w:p>
            <w:pPr>
              <w:pStyle w:val="Compact"/>
              <w:jc w:val="left"/>
              <w:spacing w:before="20" w:after="20" w:line="220" w:lineRule="auto"/>
            </w:pPr>
            <w:r>
              <w:rPr>
                <w:sz w:val="15"/>
                <w:szCs w:val="15"/>
              </w:rPr>
              <w:t xml:space="preserve">134</w:t>
            </w:r>
          </w:p>
        </w:tc>
        <w:tc>
          <w:tcPr>
            <w:tcW w:w="750" w:type="dxa"/>
          </w:tcPr>
          <w:p>
            <w:pPr>
              <w:pStyle w:val="Compact"/>
              <w:jc w:val="left"/>
              <w:spacing w:before="20" w:after="20" w:line="220" w:lineRule="auto"/>
            </w:pPr>
            <w:r>
              <w:rPr>
                <w:sz w:val="15"/>
                <w:szCs w:val="15"/>
              </w:rPr>
              <w:t xml:space="preserve">65</w:t>
            </w:r>
          </w:p>
        </w:tc>
      </w:tr>
      <w:tr>
        <w:tc>
          <w:tcPr>
            <w:tcW w:w="5630" w:type="dxa"/>
          </w:tcPr>
          <w:p>
            <w:pPr>
              <w:pStyle w:val="Compact"/>
              <w:jc w:val="left"/>
              <w:spacing w:before="20" w:after="20" w:line="220" w:lineRule="auto"/>
            </w:pPr>
            <w:r>
              <w:rPr>
                <w:sz w:val="15"/>
                <w:szCs w:val="15"/>
              </w:rPr>
              <w:t xml:space="preserve">HO: other operating expenses (non-attributable)</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276</w:t>
            </w:r>
          </w:p>
        </w:tc>
        <w:tc>
          <w:tcPr>
            <w:tcW w:w="750" w:type="dxa"/>
          </w:tcPr>
          <w:p>
            <w:pPr>
              <w:pStyle w:val="Compact"/>
              <w:jc w:val="left"/>
              <w:spacing w:before="20" w:after="20" w:line="220" w:lineRule="auto"/>
            </w:pPr>
            <w:r>
              <w:rPr>
                <w:sz w:val="15"/>
                <w:szCs w:val="15"/>
              </w:rPr>
              <w:t xml:space="preserve">326</w:t>
            </w:r>
          </w:p>
        </w:tc>
        <w:tc>
          <w:tcPr>
            <w:tcW w:w="750" w:type="dxa"/>
          </w:tcPr>
          <w:p>
            <w:pPr>
              <w:pStyle w:val="Compact"/>
              <w:jc w:val="left"/>
              <w:spacing w:before="20" w:after="20" w:line="220" w:lineRule="auto"/>
            </w:pPr>
            <w:r>
              <w:rPr>
                <w:sz w:val="15"/>
                <w:szCs w:val="15"/>
              </w:rPr>
              <w:t xml:space="preserve">151</w:t>
            </w:r>
          </w:p>
        </w:tc>
      </w:tr>
      <w:tr>
        <w:tc>
          <w:tcPr>
            <w:tcW w:w="5630" w:type="dxa"/>
          </w:tcPr>
          <w:p>
            <w:pPr>
              <w:pStyle w:val="Compact"/>
              <w:jc w:val="left"/>
              <w:spacing w:before="20" w:after="20" w:line="220" w:lineRule="auto"/>
            </w:pPr>
            <w:r>
              <w:rPr>
                <w:sz w:val="15"/>
                <w:szCs w:val="15"/>
              </w:rPr>
              <w:t xml:space="preserve">HO: profit for the period</w:t>
            </w:r>
          </w:p>
        </w:tc>
        <w:tc>
          <w:tcPr>
            <w:tcW w:w="307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-182</w:t>
            </w:r>
          </w:p>
        </w:tc>
        <w:tc>
          <w:tcPr>
            <w:tcW w:w="750" w:type="dxa"/>
          </w:tcPr>
          <w:p>
            <w:pPr>
              <w:pStyle w:val="Compact"/>
              <w:jc w:val="left"/>
              <w:spacing w:before="20" w:after="20" w:line="220" w:lineRule="auto"/>
            </w:pPr>
            <w:r>
              <w:rPr>
                <w:sz w:val="15"/>
                <w:szCs w:val="15"/>
              </w:rPr>
              <w:t xml:space="preserve">-288</w:t>
            </w:r>
          </w:p>
        </w:tc>
        <w:tc>
          <w:tcPr>
            <w:tcW w:w="750" w:type="dxa"/>
          </w:tcPr>
          <w:p>
            <w:pPr>
              <w:pStyle w:val="Compact"/>
              <w:jc w:val="left"/>
              <w:spacing w:before="20" w:after="20" w:line="220" w:lineRule="auto"/>
            </w:pPr>
            <w:r>
              <w:rPr>
                <w:sz w:val="15"/>
                <w:szCs w:val="15"/>
              </w:rPr>
              <w:t xml:space="preserve">-91</w:t>
            </w:r>
          </w:p>
        </w:tc>
      </w:tr>
      <w:tr>
        <w:tc>
          <w:tcPr>
            <w:tcW w:w="5630" w:type="dxa"/>
          </w:tcPr>
          <w:p>
            <w:pPr>
              <w:pStyle w:val="Compact"/>
              <w:jc w:val="left"/>
              <w:spacing w:before="20" w:after="20" w:line="220" w:lineRule="auto"/>
            </w:pPr>
            <w:r>
              <w:rPr>
                <w:sz w:val="15"/>
                <w:szCs w:val="15"/>
              </w:rPr>
              <w:t xml:space="preserve">Non-Life: gross written premium</w:t>
            </w:r>
          </w:p>
        </w:tc>
        <w:tc>
          <w:tcPr>
            <w:tcW w:w="3070" w:type="dxa"/>
          </w:tcPr>
          <w:p>
            <w:pPr>
              <w:pStyle w:val="Compact"/>
              <w:jc w:val="left"/>
              <w:spacing w:before="20" w:after="20" w:line="220" w:lineRule="auto"/>
            </w:pPr>
            <w:r>
              <w:rPr>
                <w:sz w:val="15"/>
                <w:szCs w:val="15"/>
              </w:rPr>
              <w:t xml:space="preserve">Fact; Absa KPI</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3,994</w:t>
            </w:r>
          </w:p>
        </w:tc>
        <w:tc>
          <w:tcPr>
            <w:tcW w:w="750" w:type="dxa"/>
          </w:tcPr>
          <w:p>
            <w:pPr>
              <w:pStyle w:val="Compact"/>
              <w:jc w:val="left"/>
              <w:spacing w:before="20" w:after="20" w:line="220" w:lineRule="auto"/>
            </w:pPr>
            <w:r>
              <w:rPr>
                <w:sz w:val="15"/>
                <w:szCs w:val="15"/>
              </w:rPr>
              <w:t xml:space="preserve">4,128</w:t>
            </w:r>
          </w:p>
        </w:tc>
        <w:tc>
          <w:tcPr>
            <w:tcW w:w="750" w:type="dxa"/>
          </w:tcPr>
          <w:p>
            <w:pPr>
              <w:pStyle w:val="Compact"/>
              <w:jc w:val="left"/>
              <w:spacing w:before="20" w:after="20" w:line="220" w:lineRule="auto"/>
            </w:pPr>
            <w:r>
              <w:rPr>
                <w:sz w:val="15"/>
                <w:szCs w:val="15"/>
              </w:rPr>
              <w:t xml:space="preserve">2,048</w:t>
            </w:r>
          </w:p>
        </w:tc>
      </w:tr>
      <w:tr>
        <w:tc>
          <w:tcPr>
            <w:tcW w:w="5630" w:type="dxa"/>
          </w:tcPr>
          <w:p>
            <w:pPr>
              <w:pStyle w:val="Compact"/>
              <w:jc w:val="left"/>
              <w:spacing w:before="20" w:after="20" w:line="220" w:lineRule="auto"/>
            </w:pPr>
            <w:r>
              <w:rPr>
                <w:sz w:val="15"/>
                <w:szCs w:val="15"/>
              </w:rPr>
              <w:t xml:space="preserve">Life: net premiums (cash measure, GWP proxy)</w:t>
            </w:r>
          </w:p>
        </w:tc>
        <w:tc>
          <w:tcPr>
            <w:tcW w:w="3070" w:type="dxa"/>
          </w:tcPr>
          <w:p>
            <w:pPr>
              <w:pStyle w:val="Compact"/>
              <w:jc w:val="left"/>
              <w:spacing w:before="20" w:after="20" w:line="220" w:lineRule="auto"/>
            </w:pPr>
            <w:r>
              <w:rPr>
                <w:sz w:val="15"/>
                <w:szCs w:val="15"/>
              </w:rPr>
              <w:t xml:space="preserve">Fact; Absa KPI, not IFRS 17 revenue</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4,736</w:t>
            </w:r>
          </w:p>
        </w:tc>
        <w:tc>
          <w:tcPr>
            <w:tcW w:w="750" w:type="dxa"/>
          </w:tcPr>
          <w:p>
            <w:pPr>
              <w:pStyle w:val="Compact"/>
              <w:jc w:val="left"/>
              <w:spacing w:before="20" w:after="20" w:line="220" w:lineRule="auto"/>
            </w:pPr>
            <w:r>
              <w:rPr>
                <w:sz w:val="15"/>
                <w:szCs w:val="15"/>
              </w:rPr>
              <w:t xml:space="preserve">5,021</w:t>
            </w:r>
          </w:p>
        </w:tc>
        <w:tc>
          <w:tcPr>
            <w:tcW w:w="750" w:type="dxa"/>
          </w:tcPr>
          <w:p>
            <w:pPr>
              <w:pStyle w:val="Compact"/>
              <w:jc w:val="left"/>
              <w:spacing w:before="20" w:after="20" w:line="220" w:lineRule="auto"/>
            </w:pPr>
            <w:r>
              <w:rPr>
                <w:sz w:val="15"/>
                <w:szCs w:val="15"/>
              </w:rPr>
              <w:t xml:space="preserve">2,462</w:t>
            </w:r>
          </w:p>
        </w:tc>
      </w:tr>
      <w:tr>
        <w:tc>
          <w:tcPr>
            <w:tcW w:w="5630" w:type="dxa"/>
          </w:tcPr>
          <w:p>
            <w:pPr>
              <w:pStyle w:val="Compact"/>
              <w:jc w:val="left"/>
              <w:spacing w:before="20" w:after="20" w:line="220" w:lineRule="auto"/>
            </w:pPr>
            <w:r>
              <w:rPr>
                <w:sz w:val="15"/>
                <w:szCs w:val="15"/>
              </w:rPr>
              <w:t xml:space="preserve">Non-Life: underwriting margin as reported (percent)</w:t>
            </w:r>
          </w:p>
        </w:tc>
        <w:tc>
          <w:tcPr>
            <w:tcW w:w="3070" w:type="dxa"/>
          </w:tcPr>
          <w:p>
            <w:pPr>
              <w:pStyle w:val="Compact"/>
              <w:jc w:val="left"/>
              <w:spacing w:before="20" w:after="20" w:line="220" w:lineRule="auto"/>
            </w:pPr>
            <w:r>
              <w:rPr>
                <w:sz w:val="15"/>
                <w:szCs w:val="15"/>
              </w:rPr>
              <w:t xml:space="preserve">Fact; Absa definition</w:t>
            </w:r>
          </w:p>
        </w:tc>
        <w:tc>
          <w:tcPr>
            <w:tcW w:w="750" w:type="dxa"/>
          </w:tcPr>
          <w:p>
            <w:pPr>
              <w:pStyle w:val="Compact"/>
              <w:jc w:val="left"/>
              <w:spacing w:before="20" w:after="20" w:line="220" w:lineRule="auto"/>
            </w:pPr>
            <w:r>
              <w:rPr>
                <w:sz w:val="15"/>
                <w:szCs w:val="15"/>
              </w:rPr>
              <w:t xml:space="preserve">1</w:t>
            </w:r>
          </w:p>
        </w:tc>
        <w:tc>
          <w:tcPr>
            <w:tcW w:w="750" w:type="dxa"/>
          </w:tcPr>
          <w:p>
            <w:pPr>
              <w:pStyle w:val="Compact"/>
              <w:jc w:val="left"/>
              <w:spacing w:before="20" w:after="20" w:line="220" w:lineRule="auto"/>
            </w:pPr>
            <w:r>
              <w:rPr>
                <w:sz w:val="15"/>
                <w:szCs w:val="15"/>
              </w:rPr>
              <w:t xml:space="preserve">5</w:t>
            </w:r>
          </w:p>
        </w:tc>
        <w:tc>
          <w:tcPr>
            <w:tcW w:w="750" w:type="dxa"/>
          </w:tcPr>
          <w:p>
            <w:pPr>
              <w:pStyle w:val="Compact"/>
              <w:jc w:val="left"/>
              <w:spacing w:before="20" w:after="20" w:line="220" w:lineRule="auto"/>
            </w:pPr>
            <w:r>
              <w:rPr>
                <w:sz w:val="15"/>
                <w:szCs w:val="15"/>
              </w:rPr>
              <w:t xml:space="preserve">8</w:t>
            </w:r>
          </w:p>
        </w:tc>
        <w:tc>
          <w:tcPr>
            <w:tcW w:w="750" w:type="dxa"/>
          </w:tcPr>
          <w:p>
            <w:pPr>
              <w:pStyle w:val="Compact"/>
              <w:jc w:val="left"/>
              <w:spacing w:before="20" w:after="20" w:line="220" w:lineRule="auto"/>
            </w:pPr>
            <w:r>
              <w:rPr>
                <w:sz w:val="15"/>
                <w:szCs w:val="15"/>
              </w:rPr>
              <w:t xml:space="preserve">6</w:t>
            </w:r>
          </w:p>
        </w:tc>
      </w:tr>
      <w:tr>
        <w:tc>
          <w:tcPr>
            <w:tcW w:w="5630" w:type="dxa"/>
          </w:tcPr>
          <w:p>
            <w:pPr>
              <w:pStyle w:val="Compact"/>
              <w:jc w:val="left"/>
              <w:spacing w:before="20" w:after="20" w:line="220" w:lineRule="auto"/>
            </w:pPr>
            <w:r>
              <w:rPr>
                <w:sz w:val="15"/>
                <w:szCs w:val="15"/>
              </w:rPr>
              <w:t xml:space="preserve">Check: Life + Non-Life + HO other opex less Insurance SA other opex</w:t>
            </w:r>
          </w:p>
        </w:tc>
        <w:tc>
          <w:tcPr>
            <w:tcW w:w="3070" w:type="dxa"/>
          </w:tcPr>
          <w:p>
            <w:pPr>
              <w:pStyle w:val="Compact"/>
              <w:jc w:val="left"/>
              <w:spacing w:before="20" w:after="20" w:line="220" w:lineRule="auto"/>
            </w:pPr>
            <w:r>
              <w:rPr>
                <w:sz w:val="15"/>
                <w:szCs w:val="15"/>
              </w:rPr>
              <w:t xml:space="preserve">Derived</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0</w:t>
            </w:r>
          </w:p>
        </w:tc>
        <w:tc>
          <w:tcPr>
            <w:tcW w:w="750" w:type="dxa"/>
          </w:tcPr>
          <w:p>
            <w:pPr>
              <w:pStyle w:val="Compact"/>
              <w:jc w:val="left"/>
              <w:spacing w:before="20" w:after="20" w:line="220" w:lineRule="auto"/>
            </w:pPr>
            <w:r>
              <w:rPr>
                <w:sz w:val="15"/>
                <w:szCs w:val="15"/>
              </w:rPr>
              <w:t xml:space="preserve">0</w:t>
            </w:r>
          </w:p>
        </w:tc>
        <w:tc>
          <w:tcPr>
            <w:tcW w:w="750" w:type="dxa"/>
          </w:tcPr>
          <w:p>
            <w:pPr>
              <w:pStyle w:val="Compact"/>
              <w:jc w:val="left"/>
              <w:spacing w:before="20" w:after="20" w:line="220" w:lineRule="auto"/>
            </w:pPr>
            <w:r>
              <w:rPr>
                <w:sz w:val="15"/>
                <w:szCs w:val="15"/>
              </w:rPr>
              <w:t xml:space="preserve">0</w:t>
            </w:r>
          </w:p>
        </w:tc>
      </w:tr>
    </w:tbl>
    <w:p>
      <w:pPr>
        <w:pStyle w:val="BodyText"/>
      </w:pPr>
      <w:r>
        <w:t xml:space="preserve">Source: afs_cost_benchmark.xlsx, AFS cost base tab section B; each line links to a data_id in the Raw data tab or is a stated formula.</w:t>
      </w:r>
    </w:p>
    <w:bookmarkEnd w:id="25"/>
    <w:bookmarkStart w:id="26" w:name="X4c7988973ac651e363822130bc8906581b3f0b1"/>
    <w:p>
      <w:pPr>
        <w:pStyle w:val="Heading3"/>
      </w:pPr>
      <w:r>
        <w:t xml:space="preserve">3.2 Group note 8 allocation, intra-group flows, entities and reconciliation</w:t>
      </w:r>
    </w:p>
    <w:tbl>
      <w:tblPr>
        <w:tblStyle w:val="Table"/>
        <w:tblLook w:firstRow="1" w:lastRow="0" w:firstColumn="0" w:lastColumn="0" w:noHBand="0" w:noVBand="0" w:val="0020"/>
        <w:jc w:val="start"/>
        <w:tblW w:w="13700" w:type="dxa"/>
        <w:tblLayout w:type="fixed"/>
      </w:tblPr>
      <w:tblGrid>
        <w:gridCol w:w="5630"/>
        <w:gridCol w:w="5070"/>
        <w:gridCol w:w="750"/>
        <w:gridCol w:w="750"/>
        <w:gridCol w:w="750"/>
        <w:gridCol w:w="750"/>
      </w:tblGrid>
      <w:tr>
        <w:trPr>
          <w:tblHeader w:val="true"/>
        </w:trPr>
        <w:tc>
          <w:tcPr>
            <w:tcW w:w="5630" w:type="dxa"/>
          </w:tcPr>
          <w:p>
            <w:pPr>
              <w:pStyle w:val="Compact"/>
              <w:jc w:val="left"/>
              <w:spacing w:before="20" w:after="20" w:line="220" w:lineRule="auto"/>
            </w:pPr>
            <w:r>
              <w:rPr>
                <w:sz w:val="15"/>
                <w:szCs w:val="15"/>
              </w:rPr>
              <w:t xml:space="preserve">Line</w:t>
            </w:r>
          </w:p>
        </w:tc>
        <w:tc>
          <w:tcPr>
            <w:tcW w:w="5070" w:type="dxa"/>
          </w:tcPr>
          <w:p>
            <w:pPr>
              <w:pStyle w:val="Compact"/>
              <w:jc w:val="left"/>
              <w:spacing w:before="20" w:after="20" w:line="220" w:lineRule="auto"/>
            </w:pPr>
            <w:r>
              <w:rPr>
                <w:sz w:val="15"/>
                <w:szCs w:val="15"/>
              </w:rPr>
              <w:t xml:space="preserve">Basis</w:t>
            </w:r>
          </w:p>
        </w:tc>
        <w:tc>
          <w:tcPr>
            <w:tcW w:w="750" w:type="dxa"/>
          </w:tcPr>
          <w:p>
            <w:pPr>
              <w:pStyle w:val="Compact"/>
              <w:jc w:val="left"/>
              <w:spacing w:before="20" w:after="20" w:line="220" w:lineRule="auto"/>
            </w:pPr>
            <w:r>
              <w:rPr>
                <w:sz w:val="15"/>
                <w:szCs w:val="15"/>
              </w:rPr>
              <w:t xml:space="preserve">FY2023</w:t>
            </w:r>
          </w:p>
        </w:tc>
        <w:tc>
          <w:tcPr>
            <w:tcW w:w="750" w:type="dxa"/>
          </w:tcPr>
          <w:p>
            <w:pPr>
              <w:pStyle w:val="Compact"/>
              <w:jc w:val="left"/>
              <w:spacing w:before="20" w:after="20" w:line="220" w:lineRule="auto"/>
            </w:pPr>
            <w:r>
              <w:rPr>
                <w:sz w:val="15"/>
                <w:szCs w:val="15"/>
              </w:rPr>
              <w:t xml:space="preserve">FY2024</w:t>
            </w:r>
          </w:p>
        </w:tc>
        <w:tc>
          <w:tcPr>
            <w:tcW w:w="750" w:type="dxa"/>
          </w:tcPr>
          <w:p>
            <w:pPr>
              <w:pStyle w:val="Compact"/>
              <w:jc w:val="left"/>
              <w:spacing w:before="20" w:after="20" w:line="220" w:lineRule="auto"/>
            </w:pPr>
            <w:r>
              <w:rPr>
                <w:sz w:val="15"/>
                <w:szCs w:val="15"/>
              </w:rPr>
              <w:t xml:space="preserve">FY2025</w:t>
            </w:r>
          </w:p>
        </w:tc>
        <w:tc>
          <w:tcPr>
            <w:tcW w:w="750" w:type="dxa"/>
          </w:tcPr>
          <w:p>
            <w:pPr>
              <w:pStyle w:val="Compact"/>
              <w:jc w:val="left"/>
              <w:spacing w:before="20" w:after="20" w:line="220" w:lineRule="auto"/>
            </w:pPr>
            <w:r>
              <w:rPr>
                <w:sz w:val="15"/>
                <w:szCs w:val="15"/>
              </w:rPr>
              <w:t xml:space="preserve">1H2026</w:t>
            </w:r>
          </w:p>
        </w:tc>
      </w:tr>
      <w:tr>
        <w:tc>
          <w:tcPr>
            <w:tcW w:w="5630" w:type="dxa"/>
          </w:tcPr>
          <w:p>
            <w:pPr>
              <w:pStyle w:val="Compact"/>
              <w:jc w:val="left"/>
              <w:spacing w:before="20" w:after="20" w:line="220" w:lineRule="auto"/>
            </w:pPr>
            <w:r>
              <w:rPr>
                <w:sz w:val="15"/>
                <w:szCs w:val="15"/>
              </w:rPr>
              <w:t xml:space="preserve">Group life non-PAA: insurance service expenses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3,843</w:t>
            </w:r>
          </w:p>
        </w:tc>
        <w:tc>
          <w:tcPr>
            <w:tcW w:w="750" w:type="dxa"/>
          </w:tcPr>
          <w:p>
            <w:pPr>
              <w:pStyle w:val="Compact"/>
              <w:jc w:val="left"/>
              <w:spacing w:before="20" w:after="20" w:line="220" w:lineRule="auto"/>
            </w:pPr>
            <w:r>
              <w:rPr>
                <w:sz w:val="15"/>
                <w:szCs w:val="15"/>
              </w:rPr>
              <w:t xml:space="preserve">3,988</w:t>
            </w:r>
          </w:p>
        </w:tc>
        <w:tc>
          <w:tcPr>
            <w:tcW w:w="750" w:type="dxa"/>
          </w:tcPr>
          <w:p>
            <w:pPr>
              <w:pStyle w:val="Compact"/>
              <w:jc w:val="left"/>
              <w:spacing w:before="20" w:after="20" w:line="220" w:lineRule="auto"/>
            </w:pPr>
            <w:r>
              <w:rPr>
                <w:sz w:val="15"/>
                <w:szCs w:val="15"/>
              </w:rPr>
              <w:t xml:space="preserve">4,026</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life non-PAA: incurred claims and other attributable expenses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3,238</w:t>
            </w:r>
          </w:p>
        </w:tc>
        <w:tc>
          <w:tcPr>
            <w:tcW w:w="750" w:type="dxa"/>
          </w:tcPr>
          <w:p>
            <w:pPr>
              <w:pStyle w:val="Compact"/>
              <w:jc w:val="left"/>
              <w:spacing w:before="20" w:after="20" w:line="220" w:lineRule="auto"/>
            </w:pPr>
            <w:r>
              <w:rPr>
                <w:sz w:val="15"/>
                <w:szCs w:val="15"/>
              </w:rPr>
              <w:t xml:space="preserve">3,018</w:t>
            </w:r>
          </w:p>
        </w:tc>
        <w:tc>
          <w:tcPr>
            <w:tcW w:w="750" w:type="dxa"/>
          </w:tcPr>
          <w:p>
            <w:pPr>
              <w:pStyle w:val="Compact"/>
              <w:jc w:val="left"/>
              <w:spacing w:before="20" w:after="20" w:line="220" w:lineRule="auto"/>
            </w:pPr>
            <w:r>
              <w:rPr>
                <w:sz w:val="15"/>
                <w:szCs w:val="15"/>
              </w:rPr>
              <w:t xml:space="preserve">3,091</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life non-PAA: amortisation of acquisition cash flows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310</w:t>
            </w:r>
          </w:p>
        </w:tc>
        <w:tc>
          <w:tcPr>
            <w:tcW w:w="750" w:type="dxa"/>
          </w:tcPr>
          <w:p>
            <w:pPr>
              <w:pStyle w:val="Compact"/>
              <w:jc w:val="left"/>
              <w:spacing w:before="20" w:after="20" w:line="220" w:lineRule="auto"/>
            </w:pPr>
            <w:r>
              <w:rPr>
                <w:sz w:val="15"/>
                <w:szCs w:val="15"/>
              </w:rPr>
              <w:t xml:space="preserve">611</w:t>
            </w:r>
          </w:p>
        </w:tc>
        <w:tc>
          <w:tcPr>
            <w:tcW w:w="750" w:type="dxa"/>
          </w:tcPr>
          <w:p>
            <w:pPr>
              <w:pStyle w:val="Compact"/>
              <w:jc w:val="left"/>
              <w:spacing w:before="20" w:after="20" w:line="220" w:lineRule="auto"/>
            </w:pPr>
            <w:r>
              <w:rPr>
                <w:sz w:val="15"/>
                <w:szCs w:val="15"/>
              </w:rPr>
              <w:t xml:space="preserve">507</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life non-PAA: losses on onerous contracts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362</w:t>
            </w:r>
          </w:p>
        </w:tc>
        <w:tc>
          <w:tcPr>
            <w:tcW w:w="750" w:type="dxa"/>
          </w:tcPr>
          <w:p>
            <w:pPr>
              <w:pStyle w:val="Compact"/>
              <w:jc w:val="left"/>
              <w:spacing w:before="20" w:after="20" w:line="220" w:lineRule="auto"/>
            </w:pPr>
            <w:r>
              <w:rPr>
                <w:sz w:val="15"/>
                <w:szCs w:val="15"/>
              </w:rPr>
              <w:t xml:space="preserve">103</w:t>
            </w:r>
          </w:p>
        </w:tc>
        <w:tc>
          <w:tcPr>
            <w:tcW w:w="750" w:type="dxa"/>
          </w:tcPr>
          <w:p>
            <w:pPr>
              <w:pStyle w:val="Compact"/>
              <w:jc w:val="left"/>
              <w:spacing w:before="20" w:after="20" w:line="220" w:lineRule="auto"/>
            </w:pPr>
            <w:r>
              <w:rPr>
                <w:sz w:val="15"/>
                <w:szCs w:val="15"/>
              </w:rPr>
              <w:t xml:space="preserve">316</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life PAA: insurance service expenses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674</w:t>
            </w:r>
          </w:p>
        </w:tc>
        <w:tc>
          <w:tcPr>
            <w:tcW w:w="750" w:type="dxa"/>
          </w:tcPr>
          <w:p>
            <w:pPr>
              <w:pStyle w:val="Compact"/>
              <w:jc w:val="left"/>
              <w:spacing w:before="20" w:after="20" w:line="220" w:lineRule="auto"/>
            </w:pPr>
            <w:r>
              <w:rPr>
                <w:sz w:val="15"/>
                <w:szCs w:val="15"/>
              </w:rPr>
              <w:t xml:space="preserve">804</w:t>
            </w:r>
          </w:p>
        </w:tc>
        <w:tc>
          <w:tcPr>
            <w:tcW w:w="750" w:type="dxa"/>
          </w:tcPr>
          <w:p>
            <w:pPr>
              <w:pStyle w:val="Compact"/>
              <w:jc w:val="left"/>
              <w:spacing w:before="20" w:after="20" w:line="220" w:lineRule="auto"/>
            </w:pPr>
            <w:r>
              <w:rPr>
                <w:sz w:val="15"/>
                <w:szCs w:val="15"/>
              </w:rPr>
              <w:t xml:space="preserve">695</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life PAA: incurred claims and other attributable expenses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582</w:t>
            </w:r>
          </w:p>
        </w:tc>
        <w:tc>
          <w:tcPr>
            <w:tcW w:w="750" w:type="dxa"/>
          </w:tcPr>
          <w:p>
            <w:pPr>
              <w:pStyle w:val="Compact"/>
              <w:jc w:val="left"/>
              <w:spacing w:before="20" w:after="20" w:line="220" w:lineRule="auto"/>
            </w:pPr>
            <w:r>
              <w:rPr>
                <w:sz w:val="15"/>
                <w:szCs w:val="15"/>
              </w:rPr>
              <w:t xml:space="preserve">772</w:t>
            </w:r>
          </w:p>
        </w:tc>
        <w:tc>
          <w:tcPr>
            <w:tcW w:w="750" w:type="dxa"/>
          </w:tcPr>
          <w:p>
            <w:pPr>
              <w:pStyle w:val="Compact"/>
              <w:jc w:val="left"/>
              <w:spacing w:before="20" w:after="20" w:line="220" w:lineRule="auto"/>
            </w:pPr>
            <w:r>
              <w:rPr>
                <w:sz w:val="15"/>
                <w:szCs w:val="15"/>
              </w:rPr>
              <w:t xml:space="preserve">679</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non-life: insurance service expenses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4,396</w:t>
            </w:r>
          </w:p>
        </w:tc>
        <w:tc>
          <w:tcPr>
            <w:tcW w:w="750" w:type="dxa"/>
          </w:tcPr>
          <w:p>
            <w:pPr>
              <w:pStyle w:val="Compact"/>
              <w:jc w:val="left"/>
              <w:spacing w:before="20" w:after="20" w:line="220" w:lineRule="auto"/>
            </w:pPr>
            <w:r>
              <w:rPr>
                <w:sz w:val="15"/>
                <w:szCs w:val="15"/>
              </w:rPr>
              <w:t xml:space="preserve">4,452</w:t>
            </w:r>
          </w:p>
        </w:tc>
        <w:tc>
          <w:tcPr>
            <w:tcW w:w="750" w:type="dxa"/>
          </w:tcPr>
          <w:p>
            <w:pPr>
              <w:pStyle w:val="Compact"/>
              <w:jc w:val="left"/>
              <w:spacing w:before="20" w:after="20" w:line="220" w:lineRule="auto"/>
            </w:pPr>
            <w:r>
              <w:rPr>
                <w:sz w:val="15"/>
                <w:szCs w:val="15"/>
              </w:rPr>
              <w:t xml:space="preserve">4,238</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non-life: incurred claims and other attributable expenses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3,853</w:t>
            </w:r>
          </w:p>
        </w:tc>
        <w:tc>
          <w:tcPr>
            <w:tcW w:w="750" w:type="dxa"/>
          </w:tcPr>
          <w:p>
            <w:pPr>
              <w:pStyle w:val="Compact"/>
              <w:jc w:val="left"/>
              <w:spacing w:before="20" w:after="20" w:line="220" w:lineRule="auto"/>
            </w:pPr>
            <w:r>
              <w:rPr>
                <w:sz w:val="15"/>
                <w:szCs w:val="15"/>
              </w:rPr>
              <w:t xml:space="preserve">3,695</w:t>
            </w:r>
          </w:p>
        </w:tc>
        <w:tc>
          <w:tcPr>
            <w:tcW w:w="750" w:type="dxa"/>
          </w:tcPr>
          <w:p>
            <w:pPr>
              <w:pStyle w:val="Compact"/>
              <w:jc w:val="left"/>
              <w:spacing w:before="20" w:after="20" w:line="220" w:lineRule="auto"/>
            </w:pPr>
            <w:r>
              <w:rPr>
                <w:sz w:val="15"/>
                <w:szCs w:val="15"/>
              </w:rPr>
              <w:t xml:space="preserve">3,415</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non-life: amortisation of acquisition cash flows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566</w:t>
            </w:r>
          </w:p>
        </w:tc>
        <w:tc>
          <w:tcPr>
            <w:tcW w:w="750" w:type="dxa"/>
          </w:tcPr>
          <w:p>
            <w:pPr>
              <w:pStyle w:val="Compact"/>
              <w:jc w:val="left"/>
              <w:spacing w:before="20" w:after="20" w:line="220" w:lineRule="auto"/>
            </w:pPr>
            <w:r>
              <w:rPr>
                <w:sz w:val="15"/>
                <w:szCs w:val="15"/>
              </w:rPr>
              <w:t xml:space="preserve">771</w:t>
            </w:r>
          </w:p>
        </w:tc>
        <w:tc>
          <w:tcPr>
            <w:tcW w:w="750" w:type="dxa"/>
          </w:tcPr>
          <w:p>
            <w:pPr>
              <w:pStyle w:val="Compact"/>
              <w:jc w:val="left"/>
              <w:spacing w:before="20" w:after="20" w:line="220" w:lineRule="auto"/>
            </w:pPr>
            <w:r>
              <w:rPr>
                <w:sz w:val="15"/>
                <w:szCs w:val="15"/>
              </w:rPr>
              <w:t xml:space="preserve">710</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non-life: losses on onerous contracts</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2</w:t>
            </w:r>
          </w:p>
        </w:tc>
        <w:tc>
          <w:tcPr>
            <w:tcW w:w="750" w:type="dxa"/>
          </w:tcPr>
          <w:p>
            <w:pPr>
              <w:pStyle w:val="Compact"/>
              <w:jc w:val="left"/>
              <w:spacing w:before="20" w:after="20" w:line="220" w:lineRule="auto"/>
            </w:pPr>
            <w:r>
              <w:rPr>
                <w:sz w:val="15"/>
                <w:szCs w:val="15"/>
              </w:rPr>
              <w:t xml:space="preserve">1</w:t>
            </w:r>
          </w:p>
        </w:tc>
        <w:tc>
          <w:tcPr>
            <w:tcW w:w="750" w:type="dxa"/>
          </w:tcPr>
          <w:p>
            <w:pPr>
              <w:pStyle w:val="Compact"/>
              <w:jc w:val="left"/>
              <w:spacing w:before="20" w:after="20" w:line="220" w:lineRule="auto"/>
            </w:pPr>
            <w:r>
              <w:rPr>
                <w:sz w:val="15"/>
                <w:szCs w:val="15"/>
              </w:rPr>
              <w:t xml:space="preserve">102</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life: acquisition cash flows paid (cash)</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656</w:t>
            </w:r>
          </w:p>
        </w:tc>
        <w:tc>
          <w:tcPr>
            <w:tcW w:w="750" w:type="dxa"/>
          </w:tcPr>
          <w:p>
            <w:pPr>
              <w:pStyle w:val="Compact"/>
              <w:jc w:val="left"/>
              <w:spacing w:before="20" w:after="20" w:line="220" w:lineRule="auto"/>
            </w:pPr>
            <w:r>
              <w:rPr>
                <w:sz w:val="15"/>
                <w:szCs w:val="15"/>
              </w:rPr>
              <w:t xml:space="preserve">859</w:t>
            </w:r>
          </w:p>
        </w:tc>
        <w:tc>
          <w:tcPr>
            <w:tcW w:w="750" w:type="dxa"/>
          </w:tcPr>
          <w:p>
            <w:pPr>
              <w:pStyle w:val="Compact"/>
              <w:jc w:val="left"/>
              <w:spacing w:before="20" w:after="20" w:line="220" w:lineRule="auto"/>
            </w:pPr>
            <w:r>
              <w:rPr>
                <w:sz w:val="15"/>
                <w:szCs w:val="15"/>
              </w:rPr>
              <w:t xml:space="preserve">856</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Group non-life: acquisition cash flows paid (cash)</w:t>
            </w:r>
          </w:p>
        </w:tc>
        <w:tc>
          <w:tcPr>
            <w:tcW w:w="50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565</w:t>
            </w:r>
          </w:p>
        </w:tc>
        <w:tc>
          <w:tcPr>
            <w:tcW w:w="750" w:type="dxa"/>
          </w:tcPr>
          <w:p>
            <w:pPr>
              <w:pStyle w:val="Compact"/>
              <w:jc w:val="left"/>
              <w:spacing w:before="20" w:after="20" w:line="220" w:lineRule="auto"/>
            </w:pPr>
            <w:r>
              <w:rPr>
                <w:sz w:val="15"/>
                <w:szCs w:val="15"/>
              </w:rPr>
              <w:t xml:space="preserve">773</w:t>
            </w:r>
          </w:p>
        </w:tc>
        <w:tc>
          <w:tcPr>
            <w:tcW w:w="750" w:type="dxa"/>
          </w:tcPr>
          <w:p>
            <w:pPr>
              <w:pStyle w:val="Compact"/>
              <w:jc w:val="left"/>
              <w:spacing w:before="20" w:after="20" w:line="220" w:lineRule="auto"/>
            </w:pPr>
            <w:r>
              <w:rPr>
                <w:sz w:val="15"/>
                <w:szCs w:val="15"/>
              </w:rPr>
              <w:t xml:space="preserve">838</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Share of group life ISE sitting in Life Insurance SA</w:t>
            </w:r>
          </w:p>
        </w:tc>
        <w:tc>
          <w:tcPr>
            <w:tcW w:w="5070" w:type="dxa"/>
          </w:tcPr>
          <w:p>
            <w:pPr>
              <w:pStyle w:val="Compact"/>
              <w:jc w:val="left"/>
              <w:spacing w:before="20" w:after="20" w:line="220" w:lineRule="auto"/>
            </w:pPr>
            <w:r>
              <w:rPr>
                <w:sz w:val="15"/>
                <w:szCs w:val="15"/>
              </w:rPr>
              <w:t xml:space="preserve">Derived; Assumption† that component mix is the same in SA an</w:t>
            </w:r>
          </w:p>
        </w:tc>
        <w:tc>
          <w:tcPr>
            <w:tcW w:w="750" w:type="dxa"/>
          </w:tcPr>
          <w:p>
            <w:pPr>
              <w:pStyle w:val="Compact"/>
              <w:jc w:val="left"/>
              <w:spacing w:before="20" w:after="20" w:line="220" w:lineRule="auto"/>
            </w:pPr>
            <w:r>
              <w:rPr>
                <w:sz w:val="15"/>
                <w:szCs w:val="15"/>
              </w:rPr>
              <w:t xml:space="preserve">79.1%</w:t>
            </w:r>
          </w:p>
        </w:tc>
        <w:tc>
          <w:tcPr>
            <w:tcW w:w="750" w:type="dxa"/>
          </w:tcPr>
          <w:p>
            <w:pPr>
              <w:pStyle w:val="Compact"/>
              <w:jc w:val="left"/>
              <w:spacing w:before="20" w:after="20" w:line="220" w:lineRule="auto"/>
            </w:pPr>
            <w:r>
              <w:rPr>
                <w:sz w:val="15"/>
                <w:szCs w:val="15"/>
              </w:rPr>
              <w:t xml:space="preserve">80.7%</w:t>
            </w:r>
          </w:p>
        </w:tc>
        <w:tc>
          <w:tcPr>
            <w:tcW w:w="750" w:type="dxa"/>
          </w:tcPr>
          <w:p>
            <w:pPr>
              <w:pStyle w:val="Compact"/>
              <w:jc w:val="left"/>
              <w:spacing w:before="20" w:after="20" w:line="220" w:lineRule="auto"/>
            </w:pPr>
            <w:r>
              <w:rPr>
                <w:sz w:val="15"/>
                <w:szCs w:val="15"/>
              </w:rPr>
              <w:t xml:space="preserve">88.5%</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Share of group non-life ISE sitting in Non-Life Insurance SA</w:t>
            </w:r>
          </w:p>
        </w:tc>
        <w:tc>
          <w:tcPr>
            <w:tcW w:w="5070" w:type="dxa"/>
          </w:tcPr>
          <w:p>
            <w:pPr>
              <w:pStyle w:val="Compact"/>
              <w:jc w:val="left"/>
              <w:spacing w:before="20" w:after="20" w:line="220" w:lineRule="auto"/>
            </w:pPr>
            <w:r>
              <w:rPr>
                <w:sz w:val="15"/>
                <w:szCs w:val="15"/>
              </w:rPr>
              <w:t xml:space="preserve">Derived; Assumption† as above (Kenya non-life is medical-hea</w:t>
            </w:r>
          </w:p>
        </w:tc>
        <w:tc>
          <w:tcPr>
            <w:tcW w:w="750" w:type="dxa"/>
          </w:tcPr>
          <w:p>
            <w:pPr>
              <w:pStyle w:val="Compact"/>
              <w:jc w:val="left"/>
              <w:spacing w:before="20" w:after="20" w:line="220" w:lineRule="auto"/>
            </w:pPr>
            <w:r>
              <w:rPr>
                <w:sz w:val="15"/>
                <w:szCs w:val="15"/>
              </w:rPr>
              <w:t xml:space="preserve">72.5%</w:t>
            </w:r>
          </w:p>
        </w:tc>
        <w:tc>
          <w:tcPr>
            <w:tcW w:w="750" w:type="dxa"/>
          </w:tcPr>
          <w:p>
            <w:pPr>
              <w:pStyle w:val="Compact"/>
              <w:jc w:val="left"/>
              <w:spacing w:before="20" w:after="20" w:line="220" w:lineRule="auto"/>
            </w:pPr>
            <w:r>
              <w:rPr>
                <w:sz w:val="15"/>
                <w:szCs w:val="15"/>
              </w:rPr>
              <w:t xml:space="preserve">73.5%</w:t>
            </w:r>
          </w:p>
        </w:tc>
        <w:tc>
          <w:tcPr>
            <w:tcW w:w="750" w:type="dxa"/>
          </w:tcPr>
          <w:p>
            <w:pPr>
              <w:pStyle w:val="Compact"/>
              <w:jc w:val="left"/>
              <w:spacing w:before="20" w:after="20" w:line="220" w:lineRule="auto"/>
            </w:pPr>
            <w:r>
              <w:rPr>
                <w:sz w:val="15"/>
                <w:szCs w:val="15"/>
              </w:rPr>
              <w:t xml:space="preserve">75.1%</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SA life: amortisation of acquisition cash flows (allocated)</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245</w:t>
            </w:r>
          </w:p>
        </w:tc>
        <w:tc>
          <w:tcPr>
            <w:tcW w:w="750" w:type="dxa"/>
          </w:tcPr>
          <w:p>
            <w:pPr>
              <w:pStyle w:val="Compact"/>
              <w:jc w:val="left"/>
              <w:spacing w:before="20" w:after="20" w:line="220" w:lineRule="auto"/>
            </w:pPr>
            <w:r>
              <w:rPr>
                <w:sz w:val="15"/>
                <w:szCs w:val="15"/>
              </w:rPr>
              <w:t xml:space="preserve">493</w:t>
            </w:r>
          </w:p>
        </w:tc>
        <w:tc>
          <w:tcPr>
            <w:tcW w:w="750" w:type="dxa"/>
          </w:tcPr>
          <w:p>
            <w:pPr>
              <w:pStyle w:val="Compact"/>
              <w:jc w:val="left"/>
              <w:spacing w:before="20" w:after="20" w:line="220" w:lineRule="auto"/>
            </w:pPr>
            <w:r>
              <w:rPr>
                <w:sz w:val="15"/>
                <w:szCs w:val="15"/>
              </w:rPr>
              <w:t xml:space="preserve">449</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SA non-life: amortisation of acquisition cash flows (allocated)</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410</w:t>
            </w:r>
          </w:p>
        </w:tc>
        <w:tc>
          <w:tcPr>
            <w:tcW w:w="750" w:type="dxa"/>
          </w:tcPr>
          <w:p>
            <w:pPr>
              <w:pStyle w:val="Compact"/>
              <w:jc w:val="left"/>
              <w:spacing w:before="20" w:after="20" w:line="220" w:lineRule="auto"/>
            </w:pPr>
            <w:r>
              <w:rPr>
                <w:sz w:val="15"/>
                <w:szCs w:val="15"/>
              </w:rPr>
              <w:t xml:space="preserve">567</w:t>
            </w:r>
          </w:p>
        </w:tc>
        <w:tc>
          <w:tcPr>
            <w:tcW w:w="750" w:type="dxa"/>
          </w:tcPr>
          <w:p>
            <w:pPr>
              <w:pStyle w:val="Compact"/>
              <w:jc w:val="left"/>
              <w:spacing w:before="20" w:after="20" w:line="220" w:lineRule="auto"/>
            </w:pPr>
            <w:r>
              <w:rPr>
                <w:sz w:val="15"/>
                <w:szCs w:val="15"/>
              </w:rPr>
              <w:t xml:space="preserve">533</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SA: amortisation of acquisition cash flows (allocated, total)</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656</w:t>
            </w:r>
          </w:p>
        </w:tc>
        <w:tc>
          <w:tcPr>
            <w:tcW w:w="750" w:type="dxa"/>
          </w:tcPr>
          <w:p>
            <w:pPr>
              <w:pStyle w:val="Compact"/>
              <w:jc w:val="left"/>
              <w:spacing w:before="20" w:after="20" w:line="220" w:lineRule="auto"/>
            </w:pPr>
            <w:r>
              <w:rPr>
                <w:sz w:val="15"/>
                <w:szCs w:val="15"/>
              </w:rPr>
              <w:t xml:space="preserve">1,060</w:t>
            </w:r>
          </w:p>
        </w:tc>
        <w:tc>
          <w:tcPr>
            <w:tcW w:w="750" w:type="dxa"/>
          </w:tcPr>
          <w:p>
            <w:pPr>
              <w:pStyle w:val="Compact"/>
              <w:jc w:val="left"/>
              <w:spacing w:before="20" w:after="20" w:line="220" w:lineRule="auto"/>
            </w:pPr>
            <w:r>
              <w:rPr>
                <w:sz w:val="15"/>
                <w:szCs w:val="15"/>
              </w:rPr>
              <w:t xml:space="preserve">982</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SA: losses on onerous contracts (allocated)</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288</w:t>
            </w:r>
          </w:p>
        </w:tc>
        <w:tc>
          <w:tcPr>
            <w:tcW w:w="750" w:type="dxa"/>
          </w:tcPr>
          <w:p>
            <w:pPr>
              <w:pStyle w:val="Compact"/>
              <w:jc w:val="left"/>
              <w:spacing w:before="20" w:after="20" w:line="220" w:lineRule="auto"/>
            </w:pPr>
            <w:r>
              <w:rPr>
                <w:sz w:val="15"/>
                <w:szCs w:val="15"/>
              </w:rPr>
              <w:t xml:space="preserve">84</w:t>
            </w:r>
          </w:p>
        </w:tc>
        <w:tc>
          <w:tcPr>
            <w:tcW w:w="750" w:type="dxa"/>
          </w:tcPr>
          <w:p>
            <w:pPr>
              <w:pStyle w:val="Compact"/>
              <w:jc w:val="left"/>
              <w:spacing w:before="20" w:after="20" w:line="220" w:lineRule="auto"/>
            </w:pPr>
            <w:r>
              <w:rPr>
                <w:sz w:val="15"/>
                <w:szCs w:val="15"/>
              </w:rPr>
              <w:t xml:space="preserve">356</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SA: incurred claims and other attributable expenses (allocated)</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5,818</w:t>
            </w:r>
          </w:p>
        </w:tc>
        <w:tc>
          <w:tcPr>
            <w:tcW w:w="750" w:type="dxa"/>
          </w:tcPr>
          <w:p>
            <w:pPr>
              <w:pStyle w:val="Compact"/>
              <w:jc w:val="left"/>
              <w:spacing w:before="20" w:after="20" w:line="220" w:lineRule="auto"/>
            </w:pPr>
            <w:r>
              <w:rPr>
                <w:sz w:val="15"/>
                <w:szCs w:val="15"/>
              </w:rPr>
              <w:t xml:space="preserve">5,776</w:t>
            </w:r>
          </w:p>
        </w:tc>
        <w:tc>
          <w:tcPr>
            <w:tcW w:w="750" w:type="dxa"/>
          </w:tcPr>
          <w:p>
            <w:pPr>
              <w:pStyle w:val="Compact"/>
              <w:jc w:val="left"/>
              <w:spacing w:before="20" w:after="20" w:line="220" w:lineRule="auto"/>
            </w:pPr>
            <w:r>
              <w:rPr>
                <w:sz w:val="15"/>
                <w:szCs w:val="15"/>
              </w:rPr>
              <w:t xml:space="preserve">5,900</w:t>
            </w:r>
          </w:p>
        </w:tc>
        <w:tc>
          <w:tcPr>
            <w:tcW w:w="750" w:type="dxa"/>
          </w:tcPr>
          <w:p>
            <w:pPr>
              <w:pStyle w:val="Compact"/>
              <w:spacing w:before="20" w:after="20" w:line="220" w:lineRule="auto"/>
            </w:pPr>
          </w:p>
        </w:tc>
      </w:tr>
      <w:tr>
        <w:tc>
          <w:tcPr>
            <w:tcW w:w="5630" w:type="dxa"/>
          </w:tcPr>
          <w:p>
            <w:pPr>
              <w:pStyle w:val="Compact"/>
              <w:jc w:val="left"/>
              <w:spacing w:before="20" w:after="20" w:line="220" w:lineRule="auto"/>
            </w:pPr>
            <w:r>
              <w:rPr>
                <w:sz w:val="15"/>
                <w:szCs w:val="15"/>
              </w:rPr>
              <w:t xml:space="preserve">SA: acquisition cash flows paid (allocated, cash view)</w:t>
            </w:r>
          </w:p>
        </w:tc>
        <w:tc>
          <w:tcPr>
            <w:tcW w:w="507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929</w:t>
            </w:r>
          </w:p>
        </w:tc>
        <w:tc>
          <w:tcPr>
            <w:tcW w:w="750" w:type="dxa"/>
          </w:tcPr>
          <w:p>
            <w:pPr>
              <w:pStyle w:val="Compact"/>
              <w:jc w:val="left"/>
              <w:spacing w:before="20" w:after="20" w:line="220" w:lineRule="auto"/>
            </w:pPr>
            <w:r>
              <w:rPr>
                <w:sz w:val="15"/>
                <w:szCs w:val="15"/>
              </w:rPr>
              <w:t xml:space="preserve">1,262</w:t>
            </w:r>
          </w:p>
        </w:tc>
        <w:tc>
          <w:tcPr>
            <w:tcW w:w="750" w:type="dxa"/>
          </w:tcPr>
          <w:p>
            <w:pPr>
              <w:pStyle w:val="Compact"/>
              <w:jc w:val="left"/>
              <w:spacing w:before="20" w:after="20" w:line="220" w:lineRule="auto"/>
            </w:pPr>
            <w:r>
              <w:rPr>
                <w:sz w:val="15"/>
                <w:szCs w:val="15"/>
              </w:rPr>
              <w:t xml:space="preserve">1,387</w:t>
            </w:r>
          </w:p>
        </w:tc>
        <w:tc>
          <w:tcPr>
            <w:tcW w:w="750" w:type="dxa"/>
          </w:tcPr>
          <w:p>
            <w:pPr>
              <w:pStyle w:val="Compact"/>
              <w:spacing w:before="20" w:after="20" w:line="220" w:lineRule="auto"/>
            </w:pPr>
          </w:p>
        </w:tc>
      </w:tr>
    </w:tbl>
    <w:p>
      <w:pPr>
        <w:pStyle w:val="BodyText"/>
      </w:pPr>
      <w:r>
        <w:t xml:space="preserve">Source: afs_cost_benchmark.xlsx, AFS cost base tab section C; each line links to a data_id in the Raw data tab or is a stated formula.</w:t>
      </w:r>
    </w:p>
    <w:tbl>
      <w:tblPr>
        <w:tblStyle w:val="Table"/>
        <w:tblLook w:firstRow="1" w:lastRow="0" w:firstColumn="0" w:lastColumn="0" w:noHBand="0" w:noVBand="0" w:val="0020"/>
        <w:jc w:val="start"/>
        <w:tblW w:w="14569" w:type="dxa"/>
        <w:tblLayout w:type="fixed"/>
      </w:tblPr>
      <w:tblGrid>
        <w:gridCol w:w="6881"/>
        <w:gridCol w:w="4688"/>
        <w:gridCol w:w="750"/>
        <w:gridCol w:w="750"/>
        <w:gridCol w:w="750"/>
        <w:gridCol w:w="750"/>
      </w:tblGrid>
      <w:tr>
        <w:trPr>
          <w:tblHeader w:val="true"/>
        </w:trPr>
        <w:tc>
          <w:tcPr>
            <w:tcW w:w="6881" w:type="dxa"/>
          </w:tcPr>
          <w:p>
            <w:pPr>
              <w:pStyle w:val="Compact"/>
              <w:jc w:val="left"/>
              <w:spacing w:before="20" w:after="20" w:line="220" w:lineRule="auto"/>
            </w:pPr>
            <w:r>
              <w:rPr>
                <w:sz w:val="15"/>
                <w:szCs w:val="15"/>
              </w:rPr>
              <w:t xml:space="preserve">Line</w:t>
            </w:r>
          </w:p>
        </w:tc>
        <w:tc>
          <w:tcPr>
            <w:tcW w:w="4688" w:type="dxa"/>
          </w:tcPr>
          <w:p>
            <w:pPr>
              <w:pStyle w:val="Compact"/>
              <w:jc w:val="left"/>
              <w:spacing w:before="20" w:after="20" w:line="220" w:lineRule="auto"/>
            </w:pPr>
            <w:r>
              <w:rPr>
                <w:sz w:val="15"/>
                <w:szCs w:val="15"/>
              </w:rPr>
              <w:t xml:space="preserve">Basis</w:t>
            </w:r>
          </w:p>
        </w:tc>
        <w:tc>
          <w:tcPr>
            <w:tcW w:w="750" w:type="dxa"/>
          </w:tcPr>
          <w:p>
            <w:pPr>
              <w:pStyle w:val="Compact"/>
              <w:jc w:val="left"/>
              <w:spacing w:before="20" w:after="20" w:line="220" w:lineRule="auto"/>
            </w:pPr>
            <w:r>
              <w:rPr>
                <w:sz w:val="15"/>
                <w:szCs w:val="15"/>
              </w:rPr>
              <w:t xml:space="preserve">FY2023</w:t>
            </w:r>
          </w:p>
        </w:tc>
        <w:tc>
          <w:tcPr>
            <w:tcW w:w="750" w:type="dxa"/>
          </w:tcPr>
          <w:p>
            <w:pPr>
              <w:pStyle w:val="Compact"/>
              <w:jc w:val="left"/>
              <w:spacing w:before="20" w:after="20" w:line="220" w:lineRule="auto"/>
            </w:pPr>
            <w:r>
              <w:rPr>
                <w:sz w:val="15"/>
                <w:szCs w:val="15"/>
              </w:rPr>
              <w:t xml:space="preserve">FY2024</w:t>
            </w:r>
          </w:p>
        </w:tc>
        <w:tc>
          <w:tcPr>
            <w:tcW w:w="750" w:type="dxa"/>
          </w:tcPr>
          <w:p>
            <w:pPr>
              <w:pStyle w:val="Compact"/>
              <w:jc w:val="left"/>
              <w:spacing w:before="20" w:after="20" w:line="220" w:lineRule="auto"/>
            </w:pPr>
            <w:r>
              <w:rPr>
                <w:sz w:val="15"/>
                <w:szCs w:val="15"/>
              </w:rPr>
              <w:t xml:space="preserve">FY2025</w:t>
            </w:r>
          </w:p>
        </w:tc>
        <w:tc>
          <w:tcPr>
            <w:tcW w:w="750" w:type="dxa"/>
          </w:tcPr>
          <w:p>
            <w:pPr>
              <w:pStyle w:val="Compact"/>
              <w:jc w:val="left"/>
              <w:spacing w:before="20" w:after="20" w:line="220" w:lineRule="auto"/>
            </w:pPr>
            <w:r>
              <w:rPr>
                <w:sz w:val="15"/>
                <w:szCs w:val="15"/>
              </w:rPr>
              <w:t xml:space="preserve">1H2026</w:t>
            </w:r>
          </w:p>
        </w:tc>
      </w:tr>
      <w:tr>
        <w:tc>
          <w:tcPr>
            <w:tcW w:w="6881" w:type="dxa"/>
          </w:tcPr>
          <w:p>
            <w:pPr>
              <w:pStyle w:val="Compact"/>
              <w:jc w:val="left"/>
              <w:spacing w:before="20" w:after="20" w:line="220" w:lineRule="auto"/>
            </w:pPr>
            <w:r>
              <w:rPr>
                <w:sz w:val="15"/>
                <w:szCs w:val="15"/>
              </w:rPr>
              <w:t xml:space="preserve">Absa Bank Limited: insurance commission received (fee income)</w:t>
            </w:r>
          </w:p>
        </w:tc>
        <w:tc>
          <w:tcPr>
            <w:tcW w:w="4688" w:type="dxa"/>
          </w:tcPr>
          <w:p>
            <w:pPr>
              <w:pStyle w:val="Compact"/>
              <w:jc w:val="left"/>
              <w:spacing w:before="20" w:after="20" w:line="220" w:lineRule="auto"/>
            </w:pPr>
            <w:r>
              <w:rPr>
                <w:sz w:val="15"/>
                <w:szCs w:val="15"/>
              </w:rPr>
              <w:t xml:space="preserve">Fact; counterparty not named; allocated to PPB; treated as t</w:t>
            </w:r>
          </w:p>
        </w:tc>
        <w:tc>
          <w:tcPr>
            <w:tcW w:w="750" w:type="dxa"/>
          </w:tcPr>
          <w:p>
            <w:pPr>
              <w:pStyle w:val="Compact"/>
              <w:jc w:val="left"/>
              <w:spacing w:before="20" w:after="20" w:line="220" w:lineRule="auto"/>
            </w:pPr>
            <w:r>
              <w:rPr>
                <w:sz w:val="15"/>
                <w:szCs w:val="15"/>
              </w:rPr>
              <w:t xml:space="preserve">739</w:t>
            </w:r>
          </w:p>
        </w:tc>
        <w:tc>
          <w:tcPr>
            <w:tcW w:w="750" w:type="dxa"/>
          </w:tcPr>
          <w:p>
            <w:pPr>
              <w:pStyle w:val="Compact"/>
              <w:jc w:val="left"/>
              <w:spacing w:before="20" w:after="20" w:line="220" w:lineRule="auto"/>
            </w:pPr>
            <w:r>
              <w:rPr>
                <w:sz w:val="15"/>
                <w:szCs w:val="15"/>
              </w:rPr>
              <w:t xml:space="preserve">774</w:t>
            </w:r>
          </w:p>
        </w:tc>
        <w:tc>
          <w:tcPr>
            <w:tcW w:w="750" w:type="dxa"/>
          </w:tcPr>
          <w:p>
            <w:pPr>
              <w:pStyle w:val="Compact"/>
              <w:jc w:val="left"/>
              <w:spacing w:before="20" w:after="20" w:line="220" w:lineRule="auto"/>
            </w:pPr>
            <w:r>
              <w:rPr>
                <w:sz w:val="15"/>
                <w:szCs w:val="15"/>
              </w:rPr>
              <w:t xml:space="preserve">774</w:t>
            </w:r>
          </w:p>
        </w:tc>
        <w:tc>
          <w:tcPr>
            <w:tcW w:w="750" w:type="dxa"/>
          </w:tcPr>
          <w:p>
            <w:pPr>
              <w:pStyle w:val="Compact"/>
              <w:spacing w:before="20" w:after="20" w:line="220" w:lineRule="auto"/>
            </w:pPr>
          </w:p>
        </w:tc>
      </w:tr>
      <w:tr>
        <w:tc>
          <w:tcPr>
            <w:tcW w:w="6881" w:type="dxa"/>
          </w:tcPr>
          <w:p>
            <w:pPr>
              <w:pStyle w:val="Compact"/>
              <w:jc w:val="left"/>
              <w:spacing w:before="20" w:after="20" w:line="220" w:lineRule="auto"/>
            </w:pPr>
            <w:r>
              <w:rPr>
                <w:sz w:val="15"/>
                <w:szCs w:val="15"/>
              </w:rPr>
              <w:t xml:space="preserve">Absa Group: insurance commission received (includes Africa Regions bancassurance)</w:t>
            </w:r>
          </w:p>
        </w:tc>
        <w:tc>
          <w:tcPr>
            <w:tcW w:w="4688"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1,222</w:t>
            </w:r>
          </w:p>
        </w:tc>
        <w:tc>
          <w:tcPr>
            <w:tcW w:w="750" w:type="dxa"/>
          </w:tcPr>
          <w:p>
            <w:pPr>
              <w:pStyle w:val="Compact"/>
              <w:jc w:val="left"/>
              <w:spacing w:before="20" w:after="20" w:line="220" w:lineRule="auto"/>
            </w:pPr>
            <w:r>
              <w:rPr>
                <w:sz w:val="15"/>
                <w:szCs w:val="15"/>
              </w:rPr>
              <w:t xml:space="preserve">952</w:t>
            </w:r>
          </w:p>
        </w:tc>
        <w:tc>
          <w:tcPr>
            <w:tcW w:w="750" w:type="dxa"/>
          </w:tcPr>
          <w:p>
            <w:pPr>
              <w:pStyle w:val="Compact"/>
              <w:jc w:val="left"/>
              <w:spacing w:before="20" w:after="20" w:line="220" w:lineRule="auto"/>
            </w:pPr>
            <w:r>
              <w:rPr>
                <w:sz w:val="15"/>
                <w:szCs w:val="15"/>
              </w:rPr>
              <w:t xml:space="preserve">930</w:t>
            </w:r>
          </w:p>
        </w:tc>
        <w:tc>
          <w:tcPr>
            <w:tcW w:w="750" w:type="dxa"/>
          </w:tcPr>
          <w:p>
            <w:pPr>
              <w:pStyle w:val="Compact"/>
              <w:jc w:val="left"/>
              <w:spacing w:before="20" w:after="20" w:line="220" w:lineRule="auto"/>
            </w:pPr>
            <w:r>
              <w:rPr>
                <w:sz w:val="15"/>
                <w:szCs w:val="15"/>
              </w:rPr>
              <w:t xml:space="preserve">499</w:t>
            </w:r>
          </w:p>
        </w:tc>
      </w:tr>
      <w:tr>
        <w:tc>
          <w:tcPr>
            <w:tcW w:w="6881" w:type="dxa"/>
          </w:tcPr>
          <w:p>
            <w:pPr>
              <w:pStyle w:val="Compact"/>
              <w:jc w:val="left"/>
              <w:spacing w:before="20" w:after="20" w:line="220" w:lineRule="auto"/>
            </w:pPr>
            <w:r>
              <w:rPr>
                <w:sz w:val="15"/>
                <w:szCs w:val="15"/>
              </w:rPr>
              <w:t xml:space="preserve">Advice and Investments block: non-interest income (FY2023 Non-Banking Financial Services segment)</w:t>
            </w:r>
          </w:p>
        </w:tc>
        <w:tc>
          <w:tcPr>
            <w:tcW w:w="4688" w:type="dxa"/>
          </w:tcPr>
          <w:p>
            <w:pPr>
              <w:pStyle w:val="Compact"/>
              <w:jc w:val="left"/>
              <w:spacing w:before="20" w:after="20" w:line="220" w:lineRule="auto"/>
            </w:pPr>
            <w:r>
              <w:rPr>
                <w:sz w:val="15"/>
                <w:szCs w:val="15"/>
              </w:rPr>
              <w:t xml:space="preserve">Fact; FY2022 R983m; FY2024 basis includes PSC head office (A</w:t>
            </w:r>
          </w:p>
        </w:tc>
        <w:tc>
          <w:tcPr>
            <w:tcW w:w="750" w:type="dxa"/>
          </w:tcPr>
          <w:p>
            <w:pPr>
              <w:pStyle w:val="Compact"/>
              <w:jc w:val="left"/>
              <w:spacing w:before="20" w:after="20" w:line="220" w:lineRule="auto"/>
            </w:pPr>
            <w:r>
              <w:rPr>
                <w:sz w:val="15"/>
                <w:szCs w:val="15"/>
              </w:rPr>
              <w:t xml:space="preserve">1,104</w:t>
            </w:r>
          </w:p>
        </w:tc>
        <w:tc>
          <w:tcPr>
            <w:tcW w:w="750" w:type="dxa"/>
          </w:tcPr>
          <w:p>
            <w:pPr>
              <w:pStyle w:val="Compact"/>
              <w:spacing w:before="20" w:after="20" w:line="220" w:lineRule="auto"/>
            </w:pP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6881" w:type="dxa"/>
          </w:tcPr>
          <w:p>
            <w:pPr>
              <w:pStyle w:val="Compact"/>
              <w:jc w:val="left"/>
              <w:spacing w:before="20" w:after="20" w:line="220" w:lineRule="auto"/>
            </w:pPr>
            <w:r>
              <w:rPr>
                <w:sz w:val="15"/>
                <w:szCs w:val="15"/>
              </w:rPr>
              <w:t xml:space="preserve">Advice and Investments block: operating expenses (FY2023 Non-Banking Financial Services segment)</w:t>
            </w:r>
          </w:p>
        </w:tc>
        <w:tc>
          <w:tcPr>
            <w:tcW w:w="4688" w:type="dxa"/>
          </w:tcPr>
          <w:p>
            <w:pPr>
              <w:pStyle w:val="Compact"/>
              <w:jc w:val="left"/>
              <w:spacing w:before="20" w:after="20" w:line="220" w:lineRule="auto"/>
            </w:pPr>
            <w:r>
              <w:rPr>
                <w:sz w:val="15"/>
                <w:szCs w:val="15"/>
              </w:rPr>
              <w:t xml:space="preserve">Fact; FY2022 R1 871m; FY2024 R2 073m incl. PSC head office (</w:t>
            </w:r>
          </w:p>
        </w:tc>
        <w:tc>
          <w:tcPr>
            <w:tcW w:w="750" w:type="dxa"/>
          </w:tcPr>
          <w:p>
            <w:pPr>
              <w:pStyle w:val="Compact"/>
              <w:jc w:val="left"/>
              <w:spacing w:before="20" w:after="20" w:line="220" w:lineRule="auto"/>
            </w:pPr>
            <w:r>
              <w:rPr>
                <w:sz w:val="15"/>
                <w:szCs w:val="15"/>
              </w:rPr>
              <w:t xml:space="preserve">1,724</w:t>
            </w:r>
          </w:p>
        </w:tc>
        <w:tc>
          <w:tcPr>
            <w:tcW w:w="750" w:type="dxa"/>
          </w:tcPr>
          <w:p>
            <w:pPr>
              <w:pStyle w:val="Compact"/>
              <w:spacing w:before="20" w:after="20" w:line="220" w:lineRule="auto"/>
            </w:pP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6881" w:type="dxa"/>
          </w:tcPr>
          <w:p>
            <w:pPr>
              <w:pStyle w:val="Compact"/>
              <w:jc w:val="left"/>
              <w:spacing w:before="20" w:after="20" w:line="220" w:lineRule="auto"/>
            </w:pPr>
            <w:r>
              <w:rPr>
                <w:sz w:val="15"/>
                <w:szCs w:val="15"/>
              </w:rPr>
              <w:t xml:space="preserve">Acquisition cost ratio including bank fee (allocated amortisation / insurance revenue)</w:t>
            </w:r>
          </w:p>
        </w:tc>
        <w:tc>
          <w:tcPr>
            <w:tcW w:w="4688" w:type="dxa"/>
          </w:tcPr>
          <w:p>
            <w:pPr>
              <w:pStyle w:val="Compact"/>
              <w:jc w:val="left"/>
              <w:spacing w:before="20" w:after="20" w:line="220" w:lineRule="auto"/>
            </w:pPr>
            <w:r>
              <w:rPr>
                <w:sz w:val="15"/>
                <w:szCs w:val="15"/>
              </w:rPr>
              <w:t xml:space="preserve">Derived; IFRS 17 expense view</w:t>
            </w:r>
          </w:p>
        </w:tc>
        <w:tc>
          <w:tcPr>
            <w:tcW w:w="750" w:type="dxa"/>
          </w:tcPr>
          <w:p>
            <w:pPr>
              <w:pStyle w:val="Compact"/>
              <w:jc w:val="left"/>
              <w:spacing w:before="20" w:after="20" w:line="220" w:lineRule="auto"/>
            </w:pPr>
            <w:r>
              <w:rPr>
                <w:sz w:val="15"/>
                <w:szCs w:val="15"/>
              </w:rPr>
              <w:t xml:space="preserve">7.6%</w:t>
            </w:r>
          </w:p>
        </w:tc>
        <w:tc>
          <w:tcPr>
            <w:tcW w:w="750" w:type="dxa"/>
          </w:tcPr>
          <w:p>
            <w:pPr>
              <w:pStyle w:val="Compact"/>
              <w:jc w:val="left"/>
              <w:spacing w:before="20" w:after="20" w:line="220" w:lineRule="auto"/>
            </w:pPr>
            <w:r>
              <w:rPr>
                <w:sz w:val="15"/>
                <w:szCs w:val="15"/>
              </w:rPr>
              <w:t xml:space="preserve">12.0%</w:t>
            </w:r>
          </w:p>
        </w:tc>
        <w:tc>
          <w:tcPr>
            <w:tcW w:w="750" w:type="dxa"/>
          </w:tcPr>
          <w:p>
            <w:pPr>
              <w:pStyle w:val="Compact"/>
              <w:jc w:val="left"/>
              <w:spacing w:before="20" w:after="20" w:line="220" w:lineRule="auto"/>
            </w:pPr>
            <w:r>
              <w:rPr>
                <w:sz w:val="15"/>
                <w:szCs w:val="15"/>
              </w:rPr>
              <w:t xml:space="preserve">10.8%</w:t>
            </w:r>
          </w:p>
        </w:tc>
        <w:tc>
          <w:tcPr>
            <w:tcW w:w="750" w:type="dxa"/>
          </w:tcPr>
          <w:p>
            <w:pPr>
              <w:pStyle w:val="Compact"/>
              <w:spacing w:before="20" w:after="20" w:line="220" w:lineRule="auto"/>
            </w:pPr>
          </w:p>
        </w:tc>
      </w:tr>
      <w:tr>
        <w:tc>
          <w:tcPr>
            <w:tcW w:w="6881" w:type="dxa"/>
          </w:tcPr>
          <w:p>
            <w:pPr>
              <w:pStyle w:val="Compact"/>
              <w:jc w:val="left"/>
              <w:spacing w:before="20" w:after="20" w:line="220" w:lineRule="auto"/>
            </w:pPr>
            <w:r>
              <w:rPr>
                <w:sz w:val="15"/>
                <w:szCs w:val="15"/>
              </w:rPr>
              <w:t xml:space="preserve">Acquisition cost ratio, cash view (allocated acquisition cash flows paid / insurance revenue)</w:t>
            </w:r>
          </w:p>
        </w:tc>
        <w:tc>
          <w:tcPr>
            <w:tcW w:w="4688" w:type="dxa"/>
          </w:tcPr>
          <w:p>
            <w:pPr>
              <w:pStyle w:val="Compact"/>
              <w:jc w:val="left"/>
              <w:spacing w:before="20" w:after="20" w:line="220" w:lineRule="auto"/>
            </w:pPr>
            <w:r>
              <w:rPr>
                <w:sz w:val="15"/>
                <w:szCs w:val="15"/>
              </w:rPr>
              <w:t xml:space="preserve">Derived; cash view</w:t>
            </w:r>
          </w:p>
        </w:tc>
        <w:tc>
          <w:tcPr>
            <w:tcW w:w="750" w:type="dxa"/>
          </w:tcPr>
          <w:p>
            <w:pPr>
              <w:pStyle w:val="Compact"/>
              <w:jc w:val="left"/>
              <w:spacing w:before="20" w:after="20" w:line="220" w:lineRule="auto"/>
            </w:pPr>
            <w:r>
              <w:rPr>
                <w:sz w:val="15"/>
                <w:szCs w:val="15"/>
              </w:rPr>
              <w:t xml:space="preserve">10.7%</w:t>
            </w:r>
          </w:p>
        </w:tc>
        <w:tc>
          <w:tcPr>
            <w:tcW w:w="750" w:type="dxa"/>
          </w:tcPr>
          <w:p>
            <w:pPr>
              <w:pStyle w:val="Compact"/>
              <w:jc w:val="left"/>
              <w:spacing w:before="20" w:after="20" w:line="220" w:lineRule="auto"/>
            </w:pPr>
            <w:r>
              <w:rPr>
                <w:sz w:val="15"/>
                <w:szCs w:val="15"/>
              </w:rPr>
              <w:t xml:space="preserve">14.3%</w:t>
            </w:r>
          </w:p>
        </w:tc>
        <w:tc>
          <w:tcPr>
            <w:tcW w:w="750" w:type="dxa"/>
          </w:tcPr>
          <w:p>
            <w:pPr>
              <w:pStyle w:val="Compact"/>
              <w:jc w:val="left"/>
              <w:spacing w:before="20" w:after="20" w:line="220" w:lineRule="auto"/>
            </w:pPr>
            <w:r>
              <w:rPr>
                <w:sz w:val="15"/>
                <w:szCs w:val="15"/>
              </w:rPr>
              <w:t xml:space="preserve">15.3%</w:t>
            </w:r>
          </w:p>
        </w:tc>
        <w:tc>
          <w:tcPr>
            <w:tcW w:w="750" w:type="dxa"/>
          </w:tcPr>
          <w:p>
            <w:pPr>
              <w:pStyle w:val="Compact"/>
              <w:spacing w:before="20" w:after="20" w:line="220" w:lineRule="auto"/>
            </w:pPr>
          </w:p>
        </w:tc>
      </w:tr>
      <w:tr>
        <w:tc>
          <w:tcPr>
            <w:tcW w:w="6881" w:type="dxa"/>
          </w:tcPr>
          <w:p>
            <w:pPr>
              <w:pStyle w:val="Compact"/>
              <w:jc w:val="left"/>
              <w:spacing w:before="20" w:after="20" w:line="220" w:lineRule="auto"/>
            </w:pPr>
            <w:r>
              <w:rPr>
                <w:sz w:val="15"/>
                <w:szCs w:val="15"/>
              </w:rPr>
              <w:t xml:space="preserve">Acquisition cost ratio excluding bank fee (cash view)</w:t>
            </w:r>
          </w:p>
        </w:tc>
        <w:tc>
          <w:tcPr>
            <w:tcW w:w="4688" w:type="dxa"/>
          </w:tcPr>
          <w:p>
            <w:pPr>
              <w:pStyle w:val="Compact"/>
              <w:jc w:val="left"/>
              <w:spacing w:before="20" w:after="20" w:line="220" w:lineRule="auto"/>
            </w:pPr>
            <w:r>
              <w:rPr>
                <w:sz w:val="15"/>
                <w:szCs w:val="15"/>
              </w:rPr>
              <w:t xml:space="preserve">Derived; Assumption† that the bank commission is wholly from</w:t>
            </w:r>
          </w:p>
        </w:tc>
        <w:tc>
          <w:tcPr>
            <w:tcW w:w="750" w:type="dxa"/>
          </w:tcPr>
          <w:p>
            <w:pPr>
              <w:pStyle w:val="Compact"/>
              <w:jc w:val="left"/>
              <w:spacing w:before="20" w:after="20" w:line="220" w:lineRule="auto"/>
            </w:pPr>
            <w:r>
              <w:rPr>
                <w:sz w:val="15"/>
                <w:szCs w:val="15"/>
              </w:rPr>
              <w:t xml:space="preserve">2.2%</w:t>
            </w:r>
          </w:p>
        </w:tc>
        <w:tc>
          <w:tcPr>
            <w:tcW w:w="750" w:type="dxa"/>
          </w:tcPr>
          <w:p>
            <w:pPr>
              <w:pStyle w:val="Compact"/>
              <w:jc w:val="left"/>
              <w:spacing w:before="20" w:after="20" w:line="220" w:lineRule="auto"/>
            </w:pPr>
            <w:r>
              <w:rPr>
                <w:sz w:val="15"/>
                <w:szCs w:val="15"/>
              </w:rPr>
              <w:t xml:space="preserve">5.5%</w:t>
            </w:r>
          </w:p>
        </w:tc>
        <w:tc>
          <w:tcPr>
            <w:tcW w:w="750" w:type="dxa"/>
          </w:tcPr>
          <w:p>
            <w:pPr>
              <w:pStyle w:val="Compact"/>
              <w:jc w:val="left"/>
              <w:spacing w:before="20" w:after="20" w:line="220" w:lineRule="auto"/>
            </w:pPr>
            <w:r>
              <w:rPr>
                <w:sz w:val="15"/>
                <w:szCs w:val="15"/>
              </w:rPr>
              <w:t xml:space="preserve">6.7%</w:t>
            </w:r>
          </w:p>
        </w:tc>
        <w:tc>
          <w:tcPr>
            <w:tcW w:w="750" w:type="dxa"/>
          </w:tcPr>
          <w:p>
            <w:pPr>
              <w:pStyle w:val="Compact"/>
              <w:spacing w:before="20" w:after="20" w:line="220" w:lineRule="auto"/>
            </w:pPr>
          </w:p>
        </w:tc>
      </w:tr>
      <w:tr>
        <w:tc>
          <w:tcPr>
            <w:tcW w:w="6881" w:type="dxa"/>
          </w:tcPr>
          <w:p>
            <w:pPr>
              <w:pStyle w:val="Compact"/>
              <w:jc w:val="left"/>
              <w:spacing w:before="20" w:after="20" w:line="220" w:lineRule="auto"/>
            </w:pPr>
            <w:r>
              <w:rPr>
                <w:sz w:val="15"/>
                <w:szCs w:val="15"/>
              </w:rPr>
              <w:t xml:space="preserve">Bank fee as share of cash acquisition flows</w:t>
            </w:r>
          </w:p>
        </w:tc>
        <w:tc>
          <w:tcPr>
            <w:tcW w:w="4688"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79.6%</w:t>
            </w:r>
          </w:p>
        </w:tc>
        <w:tc>
          <w:tcPr>
            <w:tcW w:w="750" w:type="dxa"/>
          </w:tcPr>
          <w:p>
            <w:pPr>
              <w:pStyle w:val="Compact"/>
              <w:jc w:val="left"/>
              <w:spacing w:before="20" w:after="20" w:line="220" w:lineRule="auto"/>
            </w:pPr>
            <w:r>
              <w:rPr>
                <w:sz w:val="15"/>
                <w:szCs w:val="15"/>
              </w:rPr>
              <w:t xml:space="preserve">61.3%</w:t>
            </w:r>
          </w:p>
        </w:tc>
        <w:tc>
          <w:tcPr>
            <w:tcW w:w="750" w:type="dxa"/>
          </w:tcPr>
          <w:p>
            <w:pPr>
              <w:pStyle w:val="Compact"/>
              <w:jc w:val="left"/>
              <w:spacing w:before="20" w:after="20" w:line="220" w:lineRule="auto"/>
            </w:pPr>
            <w:r>
              <w:rPr>
                <w:sz w:val="15"/>
                <w:szCs w:val="15"/>
              </w:rPr>
              <w:t xml:space="preserve">55.8%</w:t>
            </w:r>
          </w:p>
        </w:tc>
        <w:tc>
          <w:tcPr>
            <w:tcW w:w="750" w:type="dxa"/>
          </w:tcPr>
          <w:p>
            <w:pPr>
              <w:pStyle w:val="Compact"/>
              <w:spacing w:before="20" w:after="20" w:line="220" w:lineRule="auto"/>
            </w:pPr>
          </w:p>
        </w:tc>
      </w:tr>
      <w:tr>
        <w:tc>
          <w:tcPr>
            <w:tcW w:w="6881" w:type="dxa"/>
          </w:tcPr>
          <w:p>
            <w:pPr>
              <w:pStyle w:val="Compact"/>
              <w:jc w:val="left"/>
              <w:spacing w:before="20" w:after="20" w:line="220" w:lineRule="auto"/>
            </w:pPr>
            <w:r>
              <w:rPr>
                <w:sz w:val="15"/>
                <w:szCs w:val="15"/>
              </w:rPr>
              <w:t xml:space="preserve">Non-attributable opex ratio including group recharges (as reported)</w:t>
            </w:r>
          </w:p>
        </w:tc>
        <w:tc>
          <w:tcPr>
            <w:tcW w:w="4688"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6.8%</w:t>
            </w:r>
          </w:p>
        </w:tc>
        <w:tc>
          <w:tcPr>
            <w:tcW w:w="750" w:type="dxa"/>
          </w:tcPr>
          <w:p>
            <w:pPr>
              <w:pStyle w:val="Compact"/>
              <w:jc w:val="left"/>
              <w:spacing w:before="20" w:after="20" w:line="220" w:lineRule="auto"/>
            </w:pPr>
            <w:r>
              <w:rPr>
                <w:sz w:val="15"/>
                <w:szCs w:val="15"/>
              </w:rPr>
              <w:t xml:space="preserve">11.2%</w:t>
            </w:r>
          </w:p>
        </w:tc>
        <w:tc>
          <w:tcPr>
            <w:tcW w:w="750" w:type="dxa"/>
          </w:tcPr>
          <w:p>
            <w:pPr>
              <w:pStyle w:val="Compact"/>
              <w:jc w:val="left"/>
              <w:spacing w:before="20" w:after="20" w:line="220" w:lineRule="auto"/>
            </w:pPr>
            <w:r>
              <w:rPr>
                <w:sz w:val="15"/>
                <w:szCs w:val="15"/>
              </w:rPr>
              <w:t xml:space="preserve">11.5%</w:t>
            </w:r>
          </w:p>
        </w:tc>
        <w:tc>
          <w:tcPr>
            <w:tcW w:w="750" w:type="dxa"/>
          </w:tcPr>
          <w:p>
            <w:pPr>
              <w:pStyle w:val="Compact"/>
              <w:spacing w:before="20" w:after="20" w:line="220" w:lineRule="auto"/>
            </w:pPr>
          </w:p>
        </w:tc>
      </w:tr>
    </w:tbl>
    <w:p>
      <w:pPr>
        <w:pStyle w:val="BodyText"/>
      </w:pPr>
      <w:r>
        <w:t xml:space="preserve">Source: afs_cost_benchmark.xlsx, AFS cost base tab section D; each line links to a data_id in the Raw data tab or is a stated formula.</w:t>
      </w:r>
    </w:p>
    <w:tbl>
      <w:tblPr>
        <w:tblStyle w:val="Table"/>
        <w:tblLook w:firstRow="1" w:lastRow="0" w:firstColumn="0" w:lastColumn="0" w:noHBand="0" w:noVBand="0" w:val="0020"/>
        <w:jc w:val="start"/>
        <w:tblW w:w="14340" w:type="dxa"/>
        <w:tblLayout w:type="fixed"/>
      </w:tblPr>
      <w:tblGrid>
        <w:gridCol w:w="7470"/>
        <w:gridCol w:w="3870"/>
        <w:gridCol w:w="750"/>
        <w:gridCol w:w="750"/>
        <w:gridCol w:w="750"/>
        <w:gridCol w:w="750"/>
      </w:tblGrid>
      <w:tr>
        <w:trPr>
          <w:tblHeader w:val="true"/>
        </w:trPr>
        <w:tc>
          <w:tcPr>
            <w:tcW w:w="7470" w:type="dxa"/>
          </w:tcPr>
          <w:p>
            <w:pPr>
              <w:pStyle w:val="Compact"/>
              <w:jc w:val="left"/>
              <w:spacing w:before="20" w:after="20" w:line="220" w:lineRule="auto"/>
            </w:pPr>
            <w:r>
              <w:rPr>
                <w:sz w:val="15"/>
                <w:szCs w:val="15"/>
              </w:rPr>
              <w:t xml:space="preserve">Line</w:t>
            </w:r>
          </w:p>
        </w:tc>
        <w:tc>
          <w:tcPr>
            <w:tcW w:w="3870" w:type="dxa"/>
          </w:tcPr>
          <w:p>
            <w:pPr>
              <w:pStyle w:val="Compact"/>
              <w:jc w:val="left"/>
              <w:spacing w:before="20" w:after="20" w:line="220" w:lineRule="auto"/>
            </w:pPr>
            <w:r>
              <w:rPr>
                <w:sz w:val="15"/>
                <w:szCs w:val="15"/>
              </w:rPr>
              <w:t xml:space="preserve">Basis</w:t>
            </w:r>
          </w:p>
        </w:tc>
        <w:tc>
          <w:tcPr>
            <w:tcW w:w="750" w:type="dxa"/>
          </w:tcPr>
          <w:p>
            <w:pPr>
              <w:pStyle w:val="Compact"/>
              <w:jc w:val="left"/>
              <w:spacing w:before="20" w:after="20" w:line="220" w:lineRule="auto"/>
            </w:pPr>
            <w:r>
              <w:rPr>
                <w:sz w:val="15"/>
                <w:szCs w:val="15"/>
              </w:rPr>
              <w:t xml:space="preserve">FY2023</w:t>
            </w:r>
          </w:p>
        </w:tc>
        <w:tc>
          <w:tcPr>
            <w:tcW w:w="750" w:type="dxa"/>
          </w:tcPr>
          <w:p>
            <w:pPr>
              <w:pStyle w:val="Compact"/>
              <w:jc w:val="left"/>
              <w:spacing w:before="20" w:after="20" w:line="220" w:lineRule="auto"/>
            </w:pPr>
            <w:r>
              <w:rPr>
                <w:sz w:val="15"/>
                <w:szCs w:val="15"/>
              </w:rPr>
              <w:t xml:space="preserve">FY2024</w:t>
            </w:r>
          </w:p>
        </w:tc>
        <w:tc>
          <w:tcPr>
            <w:tcW w:w="750" w:type="dxa"/>
          </w:tcPr>
          <w:p>
            <w:pPr>
              <w:pStyle w:val="Compact"/>
              <w:jc w:val="left"/>
              <w:spacing w:before="20" w:after="20" w:line="220" w:lineRule="auto"/>
            </w:pPr>
            <w:r>
              <w:rPr>
                <w:sz w:val="15"/>
                <w:szCs w:val="15"/>
              </w:rPr>
              <w:t xml:space="preserve">FY2025</w:t>
            </w:r>
          </w:p>
        </w:tc>
        <w:tc>
          <w:tcPr>
            <w:tcW w:w="750" w:type="dxa"/>
          </w:tcPr>
          <w:p>
            <w:pPr>
              <w:pStyle w:val="Compact"/>
              <w:jc w:val="left"/>
              <w:spacing w:before="20" w:after="20" w:line="220" w:lineRule="auto"/>
            </w:pPr>
            <w:r>
              <w:rPr>
                <w:sz w:val="15"/>
                <w:szCs w:val="15"/>
              </w:rPr>
              <w:t xml:space="preserve">1H2026</w:t>
            </w:r>
          </w:p>
        </w:tc>
      </w:tr>
      <w:tr>
        <w:tc>
          <w:tcPr>
            <w:tcW w:w="7470" w:type="dxa"/>
          </w:tcPr>
          <w:p>
            <w:pPr>
              <w:pStyle w:val="Compact"/>
              <w:jc w:val="left"/>
              <w:spacing w:before="20" w:after="20" w:line="220" w:lineRule="auto"/>
            </w:pPr>
            <w:r>
              <w:rPr>
                <w:sz w:val="15"/>
                <w:szCs w:val="15"/>
              </w:rPr>
              <w:t xml:space="preserve">Absa Life Limited: insurance revenue</w:t>
            </w:r>
          </w:p>
        </w:tc>
        <w:tc>
          <w:tcPr>
            <w:tcW w:w="3870" w:type="dxa"/>
          </w:tcPr>
          <w:p>
            <w:pPr>
              <w:pStyle w:val="Compact"/>
              <w:jc w:val="left"/>
              <w:spacing w:before="20" w:after="20" w:line="220" w:lineRule="auto"/>
            </w:pPr>
            <w:r>
              <w:rPr>
                <w:sz w:val="15"/>
                <w:szCs w:val="15"/>
              </w:rPr>
              <w:t xml:space="preserve">Fact; KPMG survey, IFRS 17</w:t>
            </w:r>
          </w:p>
        </w:tc>
        <w:tc>
          <w:tcPr>
            <w:tcW w:w="750" w:type="dxa"/>
          </w:tcPr>
          <w:p>
            <w:pPr>
              <w:pStyle w:val="Compact"/>
              <w:jc w:val="left"/>
              <w:spacing w:before="20" w:after="20" w:line="220" w:lineRule="auto"/>
            </w:pPr>
            <w:r>
              <w:rPr>
                <w:sz w:val="15"/>
                <w:szCs w:val="15"/>
              </w:rPr>
              <w:t xml:space="preserve">4,775</w:t>
            </w:r>
          </w:p>
        </w:tc>
        <w:tc>
          <w:tcPr>
            <w:tcW w:w="750" w:type="dxa"/>
          </w:tcPr>
          <w:p>
            <w:pPr>
              <w:pStyle w:val="Compact"/>
              <w:jc w:val="left"/>
              <w:spacing w:before="20" w:after="20" w:line="220" w:lineRule="auto"/>
            </w:pPr>
            <w:r>
              <w:rPr>
                <w:sz w:val="15"/>
                <w:szCs w:val="15"/>
              </w:rPr>
              <w:t xml:space="preserve">4,944</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Life Limited: insurance service expenses</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3,423</w:t>
            </w:r>
          </w:p>
        </w:tc>
        <w:tc>
          <w:tcPr>
            <w:tcW w:w="750" w:type="dxa"/>
          </w:tcPr>
          <w:p>
            <w:pPr>
              <w:pStyle w:val="Compact"/>
              <w:jc w:val="left"/>
              <w:spacing w:before="20" w:after="20" w:line="220" w:lineRule="auto"/>
            </w:pPr>
            <w:r>
              <w:rPr>
                <w:sz w:val="15"/>
                <w:szCs w:val="15"/>
              </w:rPr>
              <w:t xml:space="preserve">3,701</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Life Limited: administration, management and other expenses (non-attributable)</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244</w:t>
            </w:r>
          </w:p>
        </w:tc>
        <w:tc>
          <w:tcPr>
            <w:tcW w:w="750" w:type="dxa"/>
          </w:tcPr>
          <w:p>
            <w:pPr>
              <w:pStyle w:val="Compact"/>
              <w:jc w:val="left"/>
              <w:spacing w:before="20" w:after="20" w:line="220" w:lineRule="auto"/>
            </w:pPr>
            <w:r>
              <w:rPr>
                <w:sz w:val="15"/>
                <w:szCs w:val="15"/>
              </w:rPr>
              <w:t xml:space="preserve">293</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Life Limited: profit after tax</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945</w:t>
            </w:r>
          </w:p>
        </w:tc>
        <w:tc>
          <w:tcPr>
            <w:tcW w:w="750" w:type="dxa"/>
          </w:tcPr>
          <w:p>
            <w:pPr>
              <w:pStyle w:val="Compact"/>
              <w:jc w:val="left"/>
              <w:spacing w:before="20" w:after="20" w:line="220" w:lineRule="auto"/>
            </w:pPr>
            <w:r>
              <w:rPr>
                <w:sz w:val="15"/>
                <w:szCs w:val="15"/>
              </w:rPr>
              <w:t xml:space="preserve">949</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Life Limited: total shareholders’ funds</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1,424</w:t>
            </w:r>
          </w:p>
        </w:tc>
        <w:tc>
          <w:tcPr>
            <w:tcW w:w="750" w:type="dxa"/>
          </w:tcPr>
          <w:p>
            <w:pPr>
              <w:pStyle w:val="Compact"/>
              <w:jc w:val="left"/>
              <w:spacing w:before="20" w:after="20" w:line="220" w:lineRule="auto"/>
            </w:pPr>
            <w:r>
              <w:rPr>
                <w:sz w:val="15"/>
                <w:szCs w:val="15"/>
              </w:rPr>
              <w:t xml:space="preserve">1,825</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Insurance Company Limited: insurance revenue</w:t>
            </w:r>
          </w:p>
        </w:tc>
        <w:tc>
          <w:tcPr>
            <w:tcW w:w="3870" w:type="dxa"/>
          </w:tcPr>
          <w:p>
            <w:pPr>
              <w:pStyle w:val="Compact"/>
              <w:jc w:val="left"/>
              <w:spacing w:before="20" w:after="20" w:line="220" w:lineRule="auto"/>
            </w:pPr>
            <w:r>
              <w:rPr>
                <w:sz w:val="15"/>
                <w:szCs w:val="15"/>
              </w:rPr>
              <w:t xml:space="preserve">Fact; KPMG survey, IFRS 17</w:t>
            </w:r>
          </w:p>
        </w:tc>
        <w:tc>
          <w:tcPr>
            <w:tcW w:w="750" w:type="dxa"/>
          </w:tcPr>
          <w:p>
            <w:pPr>
              <w:pStyle w:val="Compact"/>
              <w:jc w:val="left"/>
              <w:spacing w:before="20" w:after="20" w:line="220" w:lineRule="auto"/>
            </w:pPr>
            <w:r>
              <w:rPr>
                <w:sz w:val="15"/>
                <w:szCs w:val="15"/>
              </w:rPr>
              <w:t xml:space="preserve">3,727</w:t>
            </w:r>
          </w:p>
        </w:tc>
        <w:tc>
          <w:tcPr>
            <w:tcW w:w="750" w:type="dxa"/>
          </w:tcPr>
          <w:p>
            <w:pPr>
              <w:pStyle w:val="Compact"/>
              <w:jc w:val="left"/>
              <w:spacing w:before="20" w:after="20" w:line="220" w:lineRule="auto"/>
            </w:pPr>
            <w:r>
              <w:rPr>
                <w:sz w:val="15"/>
                <w:szCs w:val="15"/>
              </w:rPr>
              <w:t xml:space="preserve">3,987</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Insurance Company Limited: insurance service expenses</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3,189</w:t>
            </w:r>
          </w:p>
        </w:tc>
        <w:tc>
          <w:tcPr>
            <w:tcW w:w="750" w:type="dxa"/>
          </w:tcPr>
          <w:p>
            <w:pPr>
              <w:pStyle w:val="Compact"/>
              <w:jc w:val="left"/>
              <w:spacing w:before="20" w:after="20" w:line="220" w:lineRule="auto"/>
            </w:pPr>
            <w:r>
              <w:rPr>
                <w:sz w:val="15"/>
                <w:szCs w:val="15"/>
              </w:rPr>
              <w:t xml:space="preserve">3,269</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Insurance Company Limited: administration, management and other expenses (non-attributable)</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432</w:t>
            </w:r>
          </w:p>
        </w:tc>
        <w:tc>
          <w:tcPr>
            <w:tcW w:w="750" w:type="dxa"/>
          </w:tcPr>
          <w:p>
            <w:pPr>
              <w:pStyle w:val="Compact"/>
              <w:jc w:val="left"/>
              <w:spacing w:before="20" w:after="20" w:line="220" w:lineRule="auto"/>
            </w:pPr>
            <w:r>
              <w:rPr>
                <w:sz w:val="15"/>
                <w:szCs w:val="15"/>
              </w:rPr>
              <w:t xml:space="preserve">472</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Insurance Company Limited: profit after tax</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202</w:t>
            </w:r>
          </w:p>
        </w:tc>
        <w:tc>
          <w:tcPr>
            <w:tcW w:w="750" w:type="dxa"/>
          </w:tcPr>
          <w:p>
            <w:pPr>
              <w:pStyle w:val="Compact"/>
              <w:jc w:val="left"/>
              <w:spacing w:before="20" w:after="20" w:line="220" w:lineRule="auto"/>
            </w:pPr>
            <w:r>
              <w:rPr>
                <w:sz w:val="15"/>
                <w:szCs w:val="15"/>
              </w:rPr>
              <w:t xml:space="preserve">312</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Insurance Company Limited: total shareholders’ funds</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1,650</w:t>
            </w:r>
          </w:p>
        </w:tc>
        <w:tc>
          <w:tcPr>
            <w:tcW w:w="750" w:type="dxa"/>
          </w:tcPr>
          <w:p>
            <w:pPr>
              <w:pStyle w:val="Compact"/>
              <w:jc w:val="left"/>
              <w:spacing w:before="20" w:after="20" w:line="220" w:lineRule="auto"/>
            </w:pPr>
            <w:r>
              <w:rPr>
                <w:sz w:val="15"/>
                <w:szCs w:val="15"/>
              </w:rPr>
              <w:t xml:space="preserve">1,828</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Absa Life: SAM cover ratio</w:t>
            </w:r>
          </w:p>
        </w:tc>
        <w:tc>
          <w:tcPr>
            <w:tcW w:w="3870" w:type="dxa"/>
          </w:tcPr>
          <w:p>
            <w:pPr>
              <w:pStyle w:val="Compact"/>
              <w:jc w:val="left"/>
              <w:spacing w:before="20" w:after="20" w:line="220" w:lineRule="auto"/>
            </w:pPr>
            <w:r>
              <w:rPr>
                <w:sz w:val="15"/>
                <w:szCs w:val="15"/>
              </w:rPr>
              <w:t xml:space="preserve">Fact; unaudited, before foreseeable dividends</w:t>
            </w:r>
          </w:p>
        </w:tc>
        <w:tc>
          <w:tcPr>
            <w:tcW w:w="750" w:type="dxa"/>
          </w:tcPr>
          <w:p>
            <w:pPr>
              <w:pStyle w:val="Compact"/>
              <w:jc w:val="left"/>
              <w:spacing w:before="20" w:after="20" w:line="220" w:lineRule="auto"/>
            </w:pPr>
            <w:r>
              <w:rPr>
                <w:sz w:val="15"/>
                <w:szCs w:val="15"/>
              </w:rPr>
              <w:t xml:space="preserve">142.0%</w:t>
            </w:r>
          </w:p>
        </w:tc>
        <w:tc>
          <w:tcPr>
            <w:tcW w:w="750" w:type="dxa"/>
          </w:tcPr>
          <w:p>
            <w:pPr>
              <w:pStyle w:val="Compact"/>
              <w:jc w:val="left"/>
              <w:spacing w:before="20" w:after="20" w:line="220" w:lineRule="auto"/>
            </w:pPr>
            <w:r>
              <w:rPr>
                <w:sz w:val="15"/>
                <w:szCs w:val="15"/>
              </w:rPr>
              <w:t xml:space="preserve">142.0%</w:t>
            </w:r>
          </w:p>
        </w:tc>
        <w:tc>
          <w:tcPr>
            <w:tcW w:w="750" w:type="dxa"/>
          </w:tcPr>
          <w:p>
            <w:pPr>
              <w:pStyle w:val="Compact"/>
              <w:jc w:val="left"/>
              <w:spacing w:before="20" w:after="20" w:line="220" w:lineRule="auto"/>
            </w:pPr>
            <w:r>
              <w:rPr>
                <w:sz w:val="15"/>
                <w:szCs w:val="15"/>
              </w:rPr>
              <w:t xml:space="preserve">151.0%</w:t>
            </w: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AIC: SAM cover ratio</w:t>
            </w:r>
          </w:p>
        </w:tc>
        <w:tc>
          <w:tcPr>
            <w:tcW w:w="3870" w:type="dxa"/>
          </w:tcPr>
          <w:p>
            <w:pPr>
              <w:pStyle w:val="Compact"/>
              <w:jc w:val="left"/>
              <w:spacing w:before="20" w:after="20" w:line="220" w:lineRule="auto"/>
            </w:pPr>
            <w:r>
              <w:rPr>
                <w:sz w:val="15"/>
                <w:szCs w:val="15"/>
              </w:rPr>
              <w:t xml:space="preserve">Fact; unaudited, before foreseeable dividends</w:t>
            </w:r>
          </w:p>
        </w:tc>
        <w:tc>
          <w:tcPr>
            <w:tcW w:w="750" w:type="dxa"/>
          </w:tcPr>
          <w:p>
            <w:pPr>
              <w:pStyle w:val="Compact"/>
              <w:jc w:val="left"/>
              <w:spacing w:before="20" w:after="20" w:line="220" w:lineRule="auto"/>
            </w:pPr>
            <w:r>
              <w:rPr>
                <w:sz w:val="15"/>
                <w:szCs w:val="15"/>
              </w:rPr>
              <w:t xml:space="preserve">161.0%</w:t>
            </w:r>
          </w:p>
        </w:tc>
        <w:tc>
          <w:tcPr>
            <w:tcW w:w="750" w:type="dxa"/>
          </w:tcPr>
          <w:p>
            <w:pPr>
              <w:pStyle w:val="Compact"/>
              <w:jc w:val="left"/>
              <w:spacing w:before="20" w:after="20" w:line="220" w:lineRule="auto"/>
            </w:pPr>
            <w:r>
              <w:rPr>
                <w:sz w:val="15"/>
                <w:szCs w:val="15"/>
              </w:rPr>
              <w:t xml:space="preserve">152.0%</w:t>
            </w:r>
          </w:p>
        </w:tc>
        <w:tc>
          <w:tcPr>
            <w:tcW w:w="750" w:type="dxa"/>
          </w:tcPr>
          <w:p>
            <w:pPr>
              <w:pStyle w:val="Compact"/>
              <w:jc w:val="left"/>
              <w:spacing w:before="20" w:after="20" w:line="220" w:lineRule="auto"/>
            </w:pPr>
            <w:r>
              <w:rPr>
                <w:sz w:val="15"/>
                <w:szCs w:val="15"/>
              </w:rPr>
              <w:t xml:space="preserve">181.0%</w:t>
            </w: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ARTIC: SAM cover ratio</w:t>
            </w:r>
          </w:p>
        </w:tc>
        <w:tc>
          <w:tcPr>
            <w:tcW w:w="3870" w:type="dxa"/>
          </w:tcPr>
          <w:p>
            <w:pPr>
              <w:pStyle w:val="Compact"/>
              <w:jc w:val="left"/>
              <w:spacing w:before="20" w:after="20" w:line="220" w:lineRule="auto"/>
            </w:pPr>
            <w:r>
              <w:rPr>
                <w:sz w:val="15"/>
                <w:szCs w:val="15"/>
              </w:rPr>
              <w:t xml:space="preserve">Fact; unaudited, before foreseeable dividends</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157.0%</w:t>
            </w:r>
          </w:p>
        </w:tc>
        <w:tc>
          <w:tcPr>
            <w:tcW w:w="750" w:type="dxa"/>
          </w:tcPr>
          <w:p>
            <w:pPr>
              <w:pStyle w:val="Compact"/>
              <w:jc w:val="left"/>
              <w:spacing w:before="20" w:after="20" w:line="220" w:lineRule="auto"/>
            </w:pPr>
            <w:r>
              <w:rPr>
                <w:sz w:val="15"/>
                <w:szCs w:val="15"/>
              </w:rPr>
              <w:t xml:space="preserve">2.11</w:t>
            </w: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AFS insurance group: SAM cover ratio</w:t>
            </w:r>
          </w:p>
        </w:tc>
        <w:tc>
          <w:tcPr>
            <w:tcW w:w="3870" w:type="dxa"/>
          </w:tcPr>
          <w:p>
            <w:pPr>
              <w:pStyle w:val="Compact"/>
              <w:jc w:val="left"/>
              <w:spacing w:before="20" w:after="20" w:line="220" w:lineRule="auto"/>
            </w:pPr>
            <w:r>
              <w:rPr>
                <w:sz w:val="15"/>
                <w:szCs w:val="15"/>
              </w:rPr>
              <w:t xml:space="preserve">Fact; unaudited, before foreseeable dividends</w:t>
            </w:r>
          </w:p>
        </w:tc>
        <w:tc>
          <w:tcPr>
            <w:tcW w:w="750" w:type="dxa"/>
          </w:tcPr>
          <w:p>
            <w:pPr>
              <w:pStyle w:val="Compact"/>
              <w:jc w:val="left"/>
              <w:spacing w:before="20" w:after="20" w:line="220" w:lineRule="auto"/>
            </w:pPr>
            <w:r>
              <w:rPr>
                <w:sz w:val="15"/>
                <w:szCs w:val="15"/>
              </w:rPr>
              <w:t xml:space="preserve">136.0%</w:t>
            </w:r>
          </w:p>
        </w:tc>
        <w:tc>
          <w:tcPr>
            <w:tcW w:w="750" w:type="dxa"/>
          </w:tcPr>
          <w:p>
            <w:pPr>
              <w:pStyle w:val="Compact"/>
              <w:jc w:val="left"/>
              <w:spacing w:before="20" w:after="20" w:line="220" w:lineRule="auto"/>
            </w:pPr>
            <w:r>
              <w:rPr>
                <w:sz w:val="15"/>
                <w:szCs w:val="15"/>
              </w:rPr>
              <w:t xml:space="preserve">133.0%</w:t>
            </w:r>
          </w:p>
        </w:tc>
        <w:tc>
          <w:tcPr>
            <w:tcW w:w="750" w:type="dxa"/>
          </w:tcPr>
          <w:p>
            <w:pPr>
              <w:pStyle w:val="Compact"/>
              <w:jc w:val="left"/>
              <w:spacing w:before="20" w:after="20" w:line="220" w:lineRule="auto"/>
            </w:pPr>
            <w:r>
              <w:rPr>
                <w:sz w:val="15"/>
                <w:szCs w:val="15"/>
              </w:rPr>
              <w:t xml:space="preserve">149.0%</w:t>
            </w: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Insurance SA: total equity (segment)</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5,188</w:t>
            </w:r>
          </w:p>
        </w:tc>
        <w:tc>
          <w:tcPr>
            <w:tcW w:w="750" w:type="dxa"/>
          </w:tcPr>
          <w:p>
            <w:pPr>
              <w:pStyle w:val="Compact"/>
              <w:jc w:val="left"/>
              <w:spacing w:before="20" w:after="20" w:line="220" w:lineRule="auto"/>
            </w:pPr>
            <w:r>
              <w:rPr>
                <w:sz w:val="15"/>
                <w:szCs w:val="15"/>
              </w:rPr>
              <w:t xml:space="preserve">5,540</w:t>
            </w:r>
          </w:p>
        </w:tc>
        <w:tc>
          <w:tcPr>
            <w:tcW w:w="750" w:type="dxa"/>
          </w:tcPr>
          <w:p>
            <w:pPr>
              <w:pStyle w:val="Compact"/>
              <w:jc w:val="left"/>
              <w:spacing w:before="20" w:after="20" w:line="220" w:lineRule="auto"/>
            </w:pPr>
            <w:r>
              <w:rPr>
                <w:sz w:val="15"/>
                <w:szCs w:val="15"/>
              </w:rPr>
              <w:t xml:space="preserve">5,405</w:t>
            </w:r>
          </w:p>
        </w:tc>
      </w:tr>
      <w:tr>
        <w:tc>
          <w:tcPr>
            <w:tcW w:w="7470" w:type="dxa"/>
          </w:tcPr>
          <w:p>
            <w:pPr>
              <w:pStyle w:val="Compact"/>
              <w:jc w:val="left"/>
              <w:spacing w:before="20" w:after="20" w:line="220" w:lineRule="auto"/>
            </w:pPr>
            <w:r>
              <w:rPr>
                <w:sz w:val="15"/>
                <w:szCs w:val="15"/>
              </w:rPr>
              <w:t xml:space="preserve">Insurance SA: shareholder funds (assets)</w:t>
            </w:r>
          </w:p>
        </w:tc>
        <w:tc>
          <w:tcPr>
            <w:tcW w:w="387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3,077</w:t>
            </w:r>
          </w:p>
        </w:tc>
        <w:tc>
          <w:tcPr>
            <w:tcW w:w="750" w:type="dxa"/>
          </w:tcPr>
          <w:p>
            <w:pPr>
              <w:pStyle w:val="Compact"/>
              <w:jc w:val="left"/>
              <w:spacing w:before="20" w:after="20" w:line="220" w:lineRule="auto"/>
            </w:pPr>
            <w:r>
              <w:rPr>
                <w:sz w:val="15"/>
                <w:szCs w:val="15"/>
              </w:rPr>
              <w:t xml:space="preserve">3,294</w:t>
            </w: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Reconciliation FY2024: KPMG entity revenue (Absa Life + AIC) less Insurance SA revenue</w:t>
            </w:r>
          </w:p>
        </w:tc>
        <w:tc>
          <w:tcPr>
            <w:tcW w:w="3870" w:type="dxa"/>
          </w:tcPr>
          <w:p>
            <w:pPr>
              <w:pStyle w:val="Compact"/>
              <w:jc w:val="left"/>
              <w:spacing w:before="20" w:after="20" w:line="220" w:lineRule="auto"/>
            </w:pPr>
            <w:r>
              <w:rPr>
                <w:sz w:val="15"/>
                <w:szCs w:val="15"/>
              </w:rPr>
              <w:t xml:space="preserve">Derived</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82</w:t>
            </w:r>
          </w:p>
        </w:tc>
        <w:tc>
          <w:tcPr>
            <w:tcW w:w="750" w:type="dxa"/>
          </w:tcPr>
          <w:p>
            <w:pPr>
              <w:pStyle w:val="Compact"/>
              <w:spacing w:before="20" w:after="20" w:line="220" w:lineRule="auto"/>
            </w:pPr>
          </w:p>
        </w:tc>
        <w:tc>
          <w:tcPr>
            <w:tcW w:w="750" w:type="dxa"/>
          </w:tcPr>
          <w:p>
            <w:pPr>
              <w:pStyle w:val="Compact"/>
              <w:spacing w:before="20" w:after="20" w:line="220" w:lineRule="auto"/>
            </w:pPr>
          </w:p>
        </w:tc>
      </w:tr>
      <w:tr>
        <w:tc>
          <w:tcPr>
            <w:tcW w:w="7470" w:type="dxa"/>
          </w:tcPr>
          <w:p>
            <w:pPr>
              <w:pStyle w:val="Compact"/>
              <w:jc w:val="left"/>
              <w:spacing w:before="20" w:after="20" w:line="220" w:lineRule="auto"/>
            </w:pPr>
            <w:r>
              <w:rPr>
                <w:sz w:val="15"/>
                <w:szCs w:val="15"/>
              </w:rPr>
              <w:t xml:space="preserve">Reconciliation FY2024: KPMG entity non-attributable opex less Insurance SA other opex</w:t>
            </w:r>
          </w:p>
        </w:tc>
        <w:tc>
          <w:tcPr>
            <w:tcW w:w="3870" w:type="dxa"/>
          </w:tcPr>
          <w:p>
            <w:pPr>
              <w:pStyle w:val="Compact"/>
              <w:jc w:val="left"/>
              <w:spacing w:before="20" w:after="20" w:line="220" w:lineRule="auto"/>
            </w:pPr>
            <w:r>
              <w:rPr>
                <w:sz w:val="15"/>
                <w:szCs w:val="15"/>
              </w:rPr>
              <w:t xml:space="preserve">Derived</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-225</w:t>
            </w:r>
          </w:p>
        </w:tc>
        <w:tc>
          <w:tcPr>
            <w:tcW w:w="750" w:type="dxa"/>
          </w:tcPr>
          <w:p>
            <w:pPr>
              <w:pStyle w:val="Compact"/>
              <w:spacing w:before="20" w:after="20" w:line="220" w:lineRule="auto"/>
            </w:pPr>
          </w:p>
        </w:tc>
        <w:tc>
          <w:tcPr>
            <w:tcW w:w="750" w:type="dxa"/>
          </w:tcPr>
          <w:p>
            <w:pPr>
              <w:pStyle w:val="Compact"/>
              <w:spacing w:before="20" w:after="20" w:line="220" w:lineRule="auto"/>
            </w:pPr>
          </w:p>
        </w:tc>
      </w:tr>
    </w:tbl>
    <w:p>
      <w:pPr>
        <w:pStyle w:val="BodyText"/>
      </w:pPr>
      <w:r>
        <w:t xml:space="preserve">Source: afs_cost_benchmark.xlsx, AFS cost base tab section E; each line links to a data_id in the Raw data tab or is a stated formula.</w:t>
      </w:r>
    </w:p>
    <w:tbl>
      <w:tblPr>
        <w:tblStyle w:val="Table"/>
        <w:tblLook w:firstRow="1" w:lastRow="0" w:firstColumn="0" w:lastColumn="0" w:noHBand="0" w:noVBand="0" w:val="0020"/>
        <w:jc w:val="start"/>
        <w:tblW w:w="9300" w:type="dxa"/>
        <w:tblLayout w:type="fixed"/>
      </w:tblPr>
      <w:tblGrid>
        <w:gridCol w:w="5470"/>
        <w:gridCol w:w="830"/>
        <w:gridCol w:w="750"/>
        <w:gridCol w:w="750"/>
        <w:gridCol w:w="750"/>
        <w:gridCol w:w="750"/>
      </w:tblGrid>
      <w:tr>
        <w:trPr>
          <w:tblHeader w:val="true"/>
        </w:trPr>
        <w:tc>
          <w:tcPr>
            <w:tcW w:w="5470" w:type="dxa"/>
          </w:tcPr>
          <w:p>
            <w:pPr>
              <w:pStyle w:val="Compact"/>
              <w:jc w:val="left"/>
              <w:spacing w:before="20" w:after="20" w:line="220" w:lineRule="auto"/>
            </w:pPr>
            <w:r>
              <w:rPr>
                <w:sz w:val="15"/>
                <w:szCs w:val="15"/>
              </w:rPr>
              <w:t xml:space="preserve">Line</w:t>
            </w:r>
          </w:p>
        </w:tc>
        <w:tc>
          <w:tcPr>
            <w:tcW w:w="830" w:type="dxa"/>
          </w:tcPr>
          <w:p>
            <w:pPr>
              <w:pStyle w:val="Compact"/>
              <w:jc w:val="left"/>
              <w:spacing w:before="20" w:after="20" w:line="220" w:lineRule="auto"/>
            </w:pPr>
            <w:r>
              <w:rPr>
                <w:sz w:val="15"/>
                <w:szCs w:val="15"/>
              </w:rPr>
              <w:t xml:space="preserve">Basis</w:t>
            </w:r>
          </w:p>
        </w:tc>
        <w:tc>
          <w:tcPr>
            <w:tcW w:w="750" w:type="dxa"/>
          </w:tcPr>
          <w:p>
            <w:pPr>
              <w:pStyle w:val="Compact"/>
              <w:jc w:val="left"/>
              <w:spacing w:before="20" w:after="20" w:line="220" w:lineRule="auto"/>
            </w:pPr>
            <w:r>
              <w:rPr>
                <w:sz w:val="15"/>
                <w:szCs w:val="15"/>
              </w:rPr>
              <w:t xml:space="preserve">FY2023</w:t>
            </w:r>
          </w:p>
        </w:tc>
        <w:tc>
          <w:tcPr>
            <w:tcW w:w="750" w:type="dxa"/>
          </w:tcPr>
          <w:p>
            <w:pPr>
              <w:pStyle w:val="Compact"/>
              <w:jc w:val="left"/>
              <w:spacing w:before="20" w:after="20" w:line="220" w:lineRule="auto"/>
            </w:pPr>
            <w:r>
              <w:rPr>
                <w:sz w:val="15"/>
                <w:szCs w:val="15"/>
              </w:rPr>
              <w:t xml:space="preserve">FY2024</w:t>
            </w:r>
          </w:p>
        </w:tc>
        <w:tc>
          <w:tcPr>
            <w:tcW w:w="750" w:type="dxa"/>
          </w:tcPr>
          <w:p>
            <w:pPr>
              <w:pStyle w:val="Compact"/>
              <w:jc w:val="left"/>
              <w:spacing w:before="20" w:after="20" w:line="220" w:lineRule="auto"/>
            </w:pPr>
            <w:r>
              <w:rPr>
                <w:sz w:val="15"/>
                <w:szCs w:val="15"/>
              </w:rPr>
              <w:t xml:space="preserve">FY2025</w:t>
            </w:r>
          </w:p>
        </w:tc>
        <w:tc>
          <w:tcPr>
            <w:tcW w:w="750" w:type="dxa"/>
          </w:tcPr>
          <w:p>
            <w:pPr>
              <w:pStyle w:val="Compact"/>
              <w:jc w:val="left"/>
              <w:spacing w:before="20" w:after="20" w:line="220" w:lineRule="auto"/>
            </w:pPr>
            <w:r>
              <w:rPr>
                <w:sz w:val="15"/>
                <w:szCs w:val="15"/>
              </w:rPr>
              <w:t xml:space="preserve">1H2026</w:t>
            </w:r>
          </w:p>
        </w:tc>
      </w:tr>
      <w:tr>
        <w:tc>
          <w:tcPr>
            <w:tcW w:w="5470" w:type="dxa"/>
          </w:tcPr>
          <w:p>
            <w:pPr>
              <w:pStyle w:val="Compact"/>
              <w:jc w:val="left"/>
              <w:spacing w:before="20" w:after="20" w:line="220" w:lineRule="auto"/>
            </w:pPr>
            <w:r>
              <w:rPr>
                <w:sz w:val="15"/>
                <w:szCs w:val="15"/>
              </w:rPr>
              <w:t xml:space="preserve">Group insurance revenue (SA + Africa Regions)</w:t>
            </w:r>
          </w:p>
        </w:tc>
        <w:tc>
          <w:tcPr>
            <w:tcW w:w="83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11,585</w:t>
            </w:r>
          </w:p>
        </w:tc>
        <w:tc>
          <w:tcPr>
            <w:tcW w:w="750" w:type="dxa"/>
          </w:tcPr>
          <w:p>
            <w:pPr>
              <w:pStyle w:val="Compact"/>
              <w:jc w:val="left"/>
              <w:spacing w:before="20" w:after="20" w:line="220" w:lineRule="auto"/>
            </w:pPr>
            <w:r>
              <w:rPr>
                <w:sz w:val="15"/>
                <w:szCs w:val="15"/>
              </w:rPr>
              <w:t xml:space="preserve">11,852</w:t>
            </w:r>
          </w:p>
        </w:tc>
        <w:tc>
          <w:tcPr>
            <w:tcW w:w="750" w:type="dxa"/>
          </w:tcPr>
          <w:p>
            <w:pPr>
              <w:pStyle w:val="Compact"/>
              <w:jc w:val="left"/>
              <w:spacing w:before="20" w:after="20" w:line="220" w:lineRule="auto"/>
            </w:pPr>
            <w:r>
              <w:rPr>
                <w:sz w:val="15"/>
                <w:szCs w:val="15"/>
              </w:rPr>
              <w:t xml:space="preserve">11,678</w:t>
            </w:r>
          </w:p>
        </w:tc>
        <w:tc>
          <w:tcPr>
            <w:tcW w:w="750" w:type="dxa"/>
          </w:tcPr>
          <w:p>
            <w:pPr>
              <w:pStyle w:val="Compact"/>
              <w:jc w:val="left"/>
              <w:spacing w:before="20" w:after="20" w:line="220" w:lineRule="auto"/>
            </w:pPr>
            <w:r>
              <w:rPr>
                <w:sz w:val="15"/>
                <w:szCs w:val="15"/>
              </w:rPr>
              <w:t xml:space="preserve">5,667</w:t>
            </w:r>
          </w:p>
        </w:tc>
      </w:tr>
      <w:tr>
        <w:tc>
          <w:tcPr>
            <w:tcW w:w="5470" w:type="dxa"/>
          </w:tcPr>
          <w:p>
            <w:pPr>
              <w:pStyle w:val="Compact"/>
              <w:jc w:val="left"/>
              <w:spacing w:before="20" w:after="20" w:line="220" w:lineRule="auto"/>
            </w:pPr>
            <w:r>
              <w:rPr>
                <w:sz w:val="15"/>
                <w:szCs w:val="15"/>
              </w:rPr>
              <w:t xml:space="preserve">Less: Africa Regions segment insurance revenue</w:t>
            </w:r>
          </w:p>
        </w:tc>
        <w:tc>
          <w:tcPr>
            <w:tcW w:w="83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2,720</w:t>
            </w:r>
          </w:p>
        </w:tc>
        <w:tc>
          <w:tcPr>
            <w:tcW w:w="750" w:type="dxa"/>
          </w:tcPr>
          <w:p>
            <w:pPr>
              <w:pStyle w:val="Compact"/>
              <w:jc w:val="left"/>
              <w:spacing w:before="20" w:after="20" w:line="220" w:lineRule="auto"/>
            </w:pPr>
            <w:r>
              <w:rPr>
                <w:sz w:val="15"/>
                <w:szCs w:val="15"/>
              </w:rPr>
              <w:t xml:space="preserve">2,690</w:t>
            </w:r>
          </w:p>
        </w:tc>
        <w:tc>
          <w:tcPr>
            <w:tcW w:w="750" w:type="dxa"/>
          </w:tcPr>
          <w:p>
            <w:pPr>
              <w:pStyle w:val="Compact"/>
              <w:jc w:val="left"/>
              <w:spacing w:before="20" w:after="20" w:line="220" w:lineRule="auto"/>
            </w:pPr>
            <w:r>
              <w:rPr>
                <w:sz w:val="15"/>
                <w:szCs w:val="15"/>
              </w:rPr>
              <w:t xml:space="preserve">2,130</w:t>
            </w:r>
          </w:p>
        </w:tc>
        <w:tc>
          <w:tcPr>
            <w:tcW w:w="750" w:type="dxa"/>
          </w:tcPr>
          <w:p>
            <w:pPr>
              <w:pStyle w:val="Compact"/>
              <w:spacing w:before="20" w:after="20" w:line="220" w:lineRule="auto"/>
            </w:pPr>
          </w:p>
        </w:tc>
      </w:tr>
      <w:tr>
        <w:tc>
          <w:tcPr>
            <w:tcW w:w="5470" w:type="dxa"/>
          </w:tcPr>
          <w:p>
            <w:pPr>
              <w:pStyle w:val="Compact"/>
              <w:jc w:val="left"/>
              <w:spacing w:before="20" w:after="20" w:line="220" w:lineRule="auto"/>
            </w:pPr>
            <w:r>
              <w:rPr>
                <w:sz w:val="15"/>
                <w:szCs w:val="15"/>
              </w:rPr>
              <w:t xml:space="preserve">PPB segment insurance revenue (FY2023: Product Solutions Cluster)</w:t>
            </w:r>
          </w:p>
        </w:tc>
        <w:tc>
          <w:tcPr>
            <w:tcW w:w="830" w:type="dxa"/>
          </w:tcPr>
          <w:p>
            <w:pPr>
              <w:pStyle w:val="Compact"/>
              <w:jc w:val="left"/>
              <w:spacing w:before="20" w:after="20" w:line="220" w:lineRule="auto"/>
            </w:pPr>
            <w:r>
              <w:rPr>
                <w:sz w:val="15"/>
                <w:szCs w:val="15"/>
              </w:rPr>
              <w:t xml:space="preserve">Fact</w:t>
            </w:r>
          </w:p>
        </w:tc>
        <w:tc>
          <w:tcPr>
            <w:tcW w:w="750" w:type="dxa"/>
          </w:tcPr>
          <w:p>
            <w:pPr>
              <w:pStyle w:val="Compact"/>
              <w:jc w:val="left"/>
              <w:spacing w:before="20" w:after="20" w:line="220" w:lineRule="auto"/>
            </w:pPr>
            <w:r>
              <w:rPr>
                <w:sz w:val="15"/>
                <w:szCs w:val="15"/>
              </w:rPr>
              <w:t xml:space="preserve">8,393</w:t>
            </w:r>
          </w:p>
        </w:tc>
        <w:tc>
          <w:tcPr>
            <w:tcW w:w="750" w:type="dxa"/>
          </w:tcPr>
          <w:p>
            <w:pPr>
              <w:pStyle w:val="Compact"/>
              <w:jc w:val="left"/>
              <w:spacing w:before="20" w:after="20" w:line="220" w:lineRule="auto"/>
            </w:pPr>
            <w:r>
              <w:rPr>
                <w:sz w:val="15"/>
                <w:szCs w:val="15"/>
              </w:rPr>
              <w:t xml:space="preserve">9,074</w:t>
            </w:r>
          </w:p>
        </w:tc>
        <w:tc>
          <w:tcPr>
            <w:tcW w:w="750" w:type="dxa"/>
          </w:tcPr>
          <w:p>
            <w:pPr>
              <w:pStyle w:val="Compact"/>
              <w:jc w:val="left"/>
              <w:spacing w:before="20" w:after="20" w:line="220" w:lineRule="auto"/>
            </w:pPr>
            <w:r>
              <w:rPr>
                <w:sz w:val="15"/>
                <w:szCs w:val="15"/>
              </w:rPr>
              <w:t xml:space="preserve">9,460</w:t>
            </w:r>
          </w:p>
        </w:tc>
        <w:tc>
          <w:tcPr>
            <w:tcW w:w="750" w:type="dxa"/>
          </w:tcPr>
          <w:p>
            <w:pPr>
              <w:pStyle w:val="Compact"/>
              <w:spacing w:before="20" w:after="20" w:line="220" w:lineRule="auto"/>
            </w:pPr>
          </w:p>
        </w:tc>
      </w:tr>
      <w:tr>
        <w:tc>
          <w:tcPr>
            <w:tcW w:w="5470" w:type="dxa"/>
          </w:tcPr>
          <w:p>
            <w:pPr>
              <w:pStyle w:val="Compact"/>
              <w:jc w:val="left"/>
              <w:spacing w:before="20" w:after="20" w:line="220" w:lineRule="auto"/>
            </w:pPr>
            <w:r>
              <w:rPr>
                <w:sz w:val="15"/>
                <w:szCs w:val="15"/>
              </w:rPr>
              <w:t xml:space="preserve">Business Banking segment insurance revenue</w:t>
            </w:r>
          </w:p>
        </w:tc>
        <w:tc>
          <w:tcPr>
            <w:tcW w:w="83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43</w:t>
            </w:r>
          </w:p>
        </w:tc>
        <w:tc>
          <w:tcPr>
            <w:tcW w:w="750" w:type="dxa"/>
          </w:tcPr>
          <w:p>
            <w:pPr>
              <w:pStyle w:val="Compact"/>
              <w:jc w:val="left"/>
              <w:spacing w:before="20" w:after="20" w:line="220" w:lineRule="auto"/>
            </w:pPr>
            <w:r>
              <w:rPr>
                <w:sz w:val="15"/>
                <w:szCs w:val="15"/>
              </w:rPr>
              <w:t xml:space="preserve">34</w:t>
            </w:r>
          </w:p>
        </w:tc>
        <w:tc>
          <w:tcPr>
            <w:tcW w:w="750" w:type="dxa"/>
          </w:tcPr>
          <w:p>
            <w:pPr>
              <w:pStyle w:val="Compact"/>
              <w:spacing w:before="20" w:after="20" w:line="220" w:lineRule="auto"/>
            </w:pPr>
          </w:p>
        </w:tc>
      </w:tr>
      <w:tr>
        <w:tc>
          <w:tcPr>
            <w:tcW w:w="5470" w:type="dxa"/>
          </w:tcPr>
          <w:p>
            <w:pPr>
              <w:pStyle w:val="Compact"/>
              <w:jc w:val="left"/>
              <w:spacing w:before="20" w:after="20" w:line="220" w:lineRule="auto"/>
            </w:pPr>
            <w:r>
              <w:rPr>
                <w:sz w:val="15"/>
                <w:szCs w:val="15"/>
              </w:rPr>
              <w:t xml:space="preserve">CIB segment insurance revenue</w:t>
            </w:r>
          </w:p>
        </w:tc>
        <w:tc>
          <w:tcPr>
            <w:tcW w:w="830" w:type="dxa"/>
          </w:tcPr>
          <w:p>
            <w:pPr>
              <w:pStyle w:val="Compact"/>
              <w:jc w:val="left"/>
              <w:spacing w:before="20" w:after="20" w:line="220" w:lineRule="auto"/>
            </w:pPr>
            <w:r>
              <w:rPr>
                <w:sz w:val="15"/>
                <w:szCs w:val="15"/>
              </w:rPr>
              <w:t xml:space="preserve">Fact</w:t>
            </w:r>
          </w:p>
        </w:tc>
        <w:tc>
          <w:tcPr>
            <w:tcW w:w="750" w:type="dxa"/>
          </w:tcPr>
          <w:p>
            <w:pPr>
              <w:pStyle w:val="Compact"/>
              <w:spacing w:before="20" w:after="20" w:line="220" w:lineRule="auto"/>
            </w:pPr>
          </w:p>
        </w:tc>
        <w:tc>
          <w:tcPr>
            <w:tcW w:w="750" w:type="dxa"/>
          </w:tcPr>
          <w:p>
            <w:pPr>
              <w:pStyle w:val="Compact"/>
              <w:jc w:val="left"/>
              <w:spacing w:before="20" w:after="20" w:line="220" w:lineRule="auto"/>
            </w:pPr>
            <w:r>
              <w:rPr>
                <w:sz w:val="15"/>
                <w:szCs w:val="15"/>
              </w:rPr>
              <w:t xml:space="preserve">45</w:t>
            </w:r>
          </w:p>
        </w:tc>
        <w:tc>
          <w:tcPr>
            <w:tcW w:w="750" w:type="dxa"/>
          </w:tcPr>
          <w:p>
            <w:pPr>
              <w:pStyle w:val="Compact"/>
              <w:jc w:val="left"/>
              <w:spacing w:before="20" w:after="20" w:line="220" w:lineRule="auto"/>
            </w:pPr>
            <w:r>
              <w:rPr>
                <w:sz w:val="15"/>
                <w:szCs w:val="15"/>
              </w:rPr>
              <w:t xml:space="preserve">54</w:t>
            </w:r>
          </w:p>
        </w:tc>
        <w:tc>
          <w:tcPr>
            <w:tcW w:w="750" w:type="dxa"/>
          </w:tcPr>
          <w:p>
            <w:pPr>
              <w:pStyle w:val="Compact"/>
              <w:spacing w:before="20" w:after="20" w:line="220" w:lineRule="auto"/>
            </w:pPr>
          </w:p>
        </w:tc>
      </w:tr>
      <w:tr>
        <w:tc>
          <w:tcPr>
            <w:tcW w:w="5470" w:type="dxa"/>
          </w:tcPr>
          <w:p>
            <w:pPr>
              <w:pStyle w:val="Compact"/>
              <w:jc w:val="left"/>
              <w:spacing w:before="20" w:after="20" w:line="220" w:lineRule="auto"/>
            </w:pPr>
            <w:r>
              <w:rPr>
                <w:sz w:val="15"/>
                <w:szCs w:val="15"/>
              </w:rPr>
              <w:t xml:space="preserve">South Africa insurance revenue (Group less Africa Regions)</w:t>
            </w:r>
          </w:p>
        </w:tc>
        <w:tc>
          <w:tcPr>
            <w:tcW w:w="83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8,865</w:t>
            </w:r>
          </w:p>
        </w:tc>
        <w:tc>
          <w:tcPr>
            <w:tcW w:w="750" w:type="dxa"/>
          </w:tcPr>
          <w:p>
            <w:pPr>
              <w:pStyle w:val="Compact"/>
              <w:jc w:val="left"/>
              <w:spacing w:before="20" w:after="20" w:line="220" w:lineRule="auto"/>
            </w:pPr>
            <w:r>
              <w:rPr>
                <w:sz w:val="15"/>
                <w:szCs w:val="15"/>
              </w:rPr>
              <w:t xml:space="preserve">9,162</w:t>
            </w:r>
          </w:p>
        </w:tc>
        <w:tc>
          <w:tcPr>
            <w:tcW w:w="750" w:type="dxa"/>
          </w:tcPr>
          <w:p>
            <w:pPr>
              <w:pStyle w:val="Compact"/>
              <w:jc w:val="left"/>
              <w:spacing w:before="20" w:after="20" w:line="220" w:lineRule="auto"/>
            </w:pPr>
            <w:r>
              <w:rPr>
                <w:sz w:val="15"/>
                <w:szCs w:val="15"/>
              </w:rPr>
              <w:t xml:space="preserve">9,548</w:t>
            </w:r>
          </w:p>
        </w:tc>
        <w:tc>
          <w:tcPr>
            <w:tcW w:w="750" w:type="dxa"/>
          </w:tcPr>
          <w:p>
            <w:pPr>
              <w:pStyle w:val="Compact"/>
              <w:spacing w:before="20" w:after="20" w:line="220" w:lineRule="auto"/>
            </w:pPr>
          </w:p>
        </w:tc>
      </w:tr>
      <w:tr>
        <w:tc>
          <w:tcPr>
            <w:tcW w:w="5470" w:type="dxa"/>
          </w:tcPr>
          <w:p>
            <w:pPr>
              <w:pStyle w:val="Compact"/>
              <w:jc w:val="left"/>
              <w:spacing w:before="20" w:after="20" w:line="220" w:lineRule="auto"/>
            </w:pPr>
            <w:r>
              <w:rPr>
                <w:sz w:val="15"/>
                <w:szCs w:val="15"/>
              </w:rPr>
              <w:t xml:space="preserve">Gap: South Africa insurance revenue less Insurance SA revenue</w:t>
            </w:r>
          </w:p>
        </w:tc>
        <w:tc>
          <w:tcPr>
            <w:tcW w:w="830" w:type="dxa"/>
          </w:tcPr>
          <w:p>
            <w:pPr>
              <w:pStyle w:val="Compact"/>
              <w:jc w:val="left"/>
              <w:spacing w:before="20" w:after="20" w:line="220" w:lineRule="auto"/>
            </w:pPr>
            <w:r>
              <w:rPr>
                <w:sz w:val="15"/>
                <w:szCs w:val="15"/>
              </w:rPr>
              <w:t xml:space="preserve">Derived</w:t>
            </w:r>
          </w:p>
        </w:tc>
        <w:tc>
          <w:tcPr>
            <w:tcW w:w="750" w:type="dxa"/>
          </w:tcPr>
          <w:p>
            <w:pPr>
              <w:pStyle w:val="Compact"/>
              <w:jc w:val="left"/>
              <w:spacing w:before="20" w:after="20" w:line="220" w:lineRule="auto"/>
            </w:pPr>
            <w:r>
              <w:rPr>
                <w:sz w:val="15"/>
                <w:szCs w:val="15"/>
              </w:rPr>
              <w:t xml:space="preserve">187</w:t>
            </w:r>
          </w:p>
        </w:tc>
        <w:tc>
          <w:tcPr>
            <w:tcW w:w="750" w:type="dxa"/>
          </w:tcPr>
          <w:p>
            <w:pPr>
              <w:pStyle w:val="Compact"/>
              <w:jc w:val="left"/>
              <w:spacing w:before="20" w:after="20" w:line="220" w:lineRule="auto"/>
            </w:pPr>
            <w:r>
              <w:rPr>
                <w:sz w:val="15"/>
                <w:szCs w:val="15"/>
              </w:rPr>
              <w:t xml:space="preserve">313</w:t>
            </w:r>
          </w:p>
        </w:tc>
        <w:tc>
          <w:tcPr>
            <w:tcW w:w="750" w:type="dxa"/>
          </w:tcPr>
          <w:p>
            <w:pPr>
              <w:pStyle w:val="Compact"/>
              <w:jc w:val="left"/>
              <w:spacing w:before="20" w:after="20" w:line="220" w:lineRule="auto"/>
            </w:pPr>
            <w:r>
              <w:rPr>
                <w:sz w:val="15"/>
                <w:szCs w:val="15"/>
              </w:rPr>
              <w:t xml:space="preserve">469</w:t>
            </w:r>
          </w:p>
        </w:tc>
        <w:tc>
          <w:tcPr>
            <w:tcW w:w="750" w:type="dxa"/>
          </w:tcPr>
          <w:p>
            <w:pPr>
              <w:pStyle w:val="Compact"/>
              <w:spacing w:before="20" w:after="20" w:line="220" w:lineRule="auto"/>
            </w:pPr>
          </w:p>
        </w:tc>
      </w:tr>
    </w:tbl>
    <w:p>
      <w:pPr>
        <w:pStyle w:val="BodyText"/>
      </w:pPr>
      <w:r>
        <w:t xml:space="preserve">Source: afs_cost_benchmark.xlsx, AFS cost base tab section F; each line links to a data_id in the Raw data tab or is a stated formula.</w:t>
      </w:r>
    </w:p>
    <w:bookmarkEnd w:id="26"/>
    <w:bookmarkStart w:id="27" w:name="X7a42f87fc62c802c5da27573782067334ea5543"/>
    <w:p>
      <w:pPr>
        <w:pStyle w:val="Heading3"/>
      </w:pPr>
      <w:r>
        <w:t xml:space="preserve">3.3 Mapping to the cost pools and the addressable base</w:t>
      </w:r>
    </w:p>
    <w:tbl>
      <w:tblPr>
        <w:tblStyle w:val="Table"/>
        <w:tblLook w:firstRow="1" w:lastRow="0" w:firstColumn="0" w:lastColumn="0" w:noHBand="0" w:noVBand="0" w:val="0020"/>
        <w:jc w:val="start"/>
        <w:tblW w:w="14569" w:type="dxa"/>
        <w:tblLayout w:type="fixed"/>
      </w:tblPr>
      <w:tblGrid>
        <w:gridCol w:w="5785"/>
        <w:gridCol w:w="3748"/>
        <w:gridCol w:w="670"/>
        <w:gridCol w:w="670"/>
        <w:gridCol w:w="670"/>
        <w:gridCol w:w="3026"/>
      </w:tblGrid>
      <w:tr>
        <w:trPr>
          <w:tblHeader w:val="true"/>
        </w:trPr>
        <w:tc>
          <w:tcPr>
            <w:tcW w:w="5785" w:type="dxa"/>
          </w:tcPr>
          <w:p>
            <w:pPr>
              <w:pStyle w:val="Compact"/>
              <w:jc w:val="left"/>
              <w:spacing w:before="20" w:after="20" w:line="220" w:lineRule="auto"/>
            </w:pPr>
            <w:r>
              <w:rPr>
                <w:sz w:val="15"/>
                <w:szCs w:val="15"/>
              </w:rPr>
              <w:t xml:space="preserve">Line</w:t>
            </w:r>
          </w:p>
        </w:tc>
        <w:tc>
          <w:tcPr>
            <w:tcW w:w="3748" w:type="dxa"/>
          </w:tcPr>
          <w:p>
            <w:pPr>
              <w:pStyle w:val="Compact"/>
              <w:jc w:val="left"/>
              <w:spacing w:before="20" w:after="20" w:line="220" w:lineRule="auto"/>
            </w:pPr>
            <w:r>
              <w:rPr>
                <w:sz w:val="15"/>
                <w:szCs w:val="15"/>
              </w:rPr>
              <w:t xml:space="preserve">Basis</w:t>
            </w:r>
          </w:p>
        </w:tc>
        <w:tc>
          <w:tcPr>
            <w:tcW w:w="670" w:type="dxa"/>
          </w:tcPr>
          <w:p>
            <w:pPr>
              <w:pStyle w:val="Compact"/>
              <w:jc w:val="left"/>
              <w:spacing w:before="20" w:after="20" w:line="220" w:lineRule="auto"/>
            </w:pPr>
            <w:r>
              <w:rPr>
                <w:sz w:val="15"/>
                <w:szCs w:val="15"/>
              </w:rPr>
              <w:t xml:space="preserve">Low</w:t>
            </w:r>
          </w:p>
        </w:tc>
        <w:tc>
          <w:tcPr>
            <w:tcW w:w="670" w:type="dxa"/>
          </w:tcPr>
          <w:p>
            <w:pPr>
              <w:pStyle w:val="Compact"/>
              <w:jc w:val="left"/>
              <w:spacing w:before="20" w:after="20" w:line="220" w:lineRule="auto"/>
            </w:pPr>
            <w:r>
              <w:rPr>
                <w:sz w:val="15"/>
                <w:szCs w:val="15"/>
              </w:rPr>
              <w:t xml:space="preserve">Base</w:t>
            </w:r>
          </w:p>
        </w:tc>
        <w:tc>
          <w:tcPr>
            <w:tcW w:w="670" w:type="dxa"/>
          </w:tcPr>
          <w:p>
            <w:pPr>
              <w:pStyle w:val="Compact"/>
              <w:jc w:val="left"/>
              <w:spacing w:before="20" w:after="20" w:line="220" w:lineRule="auto"/>
            </w:pPr>
            <w:r>
              <w:rPr>
                <w:sz w:val="15"/>
                <w:szCs w:val="15"/>
              </w:rPr>
              <w:t xml:space="preserve">High</w:t>
            </w:r>
          </w:p>
        </w:tc>
        <w:tc>
          <w:tcPr>
            <w:tcW w:w="3026" w:type="dxa"/>
          </w:tcPr>
          <w:p>
            <w:pPr>
              <w:pStyle w:val="Compact"/>
              <w:jc w:val="left"/>
              <w:spacing w:before="20" w:after="20" w:line="220" w:lineRule="auto"/>
            </w:pPr>
            <w:r>
              <w:rPr>
                <w:sz w:val="15"/>
                <w:szCs w:val="15"/>
              </w:rPr>
              <w:t xml:space="preserve">Tree cell</w:t>
            </w:r>
          </w:p>
        </w:tc>
      </w:tr>
      <w:tr>
        <w:tc>
          <w:tcPr>
            <w:tcW w:w="5785" w:type="dxa"/>
          </w:tcPr>
          <w:p>
            <w:pPr>
              <w:pStyle w:val="Compact"/>
              <w:jc w:val="left"/>
              <w:spacing w:before="20" w:after="20" w:line="220" w:lineRule="auto"/>
            </w:pPr>
            <w:r>
              <w:rPr>
                <w:sz w:val="15"/>
                <w:szCs w:val="15"/>
              </w:rPr>
              <w:t xml:space="preserve">Insurance revenue (reference)</w:t>
            </w:r>
          </w:p>
        </w:tc>
        <w:tc>
          <w:tcPr>
            <w:tcW w:w="3748" w:type="dxa"/>
          </w:tcPr>
          <w:p>
            <w:pPr>
              <w:pStyle w:val="Compact"/>
              <w:jc w:val="left"/>
              <w:spacing w:before="20" w:after="20" w:line="220" w:lineRule="auto"/>
            </w:pPr>
            <w:r>
              <w:rPr>
                <w:sz w:val="15"/>
                <w:szCs w:val="15"/>
              </w:rPr>
              <w:t xml:space="preserve">Fact</w:t>
            </w:r>
          </w:p>
        </w:tc>
        <w:tc>
          <w:tcPr>
            <w:tcW w:w="670" w:type="dxa"/>
          </w:tcPr>
          <w:p>
            <w:pPr>
              <w:pStyle w:val="Compact"/>
              <w:jc w:val="left"/>
              <w:spacing w:before="20" w:after="20" w:line="220" w:lineRule="auto"/>
            </w:pPr>
            <w:r>
              <w:rPr>
                <w:sz w:val="15"/>
                <w:szCs w:val="15"/>
              </w:rPr>
              <w:t xml:space="preserve">9,079</w:t>
            </w:r>
          </w:p>
        </w:tc>
        <w:tc>
          <w:tcPr>
            <w:tcW w:w="670" w:type="dxa"/>
          </w:tcPr>
          <w:p>
            <w:pPr>
              <w:pStyle w:val="Compact"/>
              <w:jc w:val="left"/>
              <w:spacing w:before="20" w:after="20" w:line="220" w:lineRule="auto"/>
            </w:pPr>
            <w:r>
              <w:rPr>
                <w:sz w:val="15"/>
                <w:szCs w:val="15"/>
              </w:rPr>
              <w:t xml:space="preserve">9,079</w:t>
            </w:r>
          </w:p>
        </w:tc>
        <w:tc>
          <w:tcPr>
            <w:tcW w:w="670" w:type="dxa"/>
          </w:tcPr>
          <w:p>
            <w:pPr>
              <w:pStyle w:val="Compact"/>
              <w:jc w:val="left"/>
              <w:spacing w:before="20" w:after="20" w:line="220" w:lineRule="auto"/>
            </w:pPr>
            <w:r>
              <w:rPr>
                <w:sz w:val="15"/>
                <w:szCs w:val="15"/>
              </w:rPr>
              <w:t xml:space="preserve">9,079</w:t>
            </w:r>
          </w:p>
        </w:tc>
        <w:tc>
          <w:tcPr>
            <w:tcW w:w="3026" w:type="dxa"/>
          </w:tcPr>
          <w:p>
            <w:pPr>
              <w:pStyle w:val="Compact"/>
              <w:jc w:val="left"/>
              <w:spacing w:before="20" w:after="20" w:line="220" w:lineRule="auto"/>
            </w:pPr>
            <w:r>
              <w:rPr>
                <w:sz w:val="15"/>
                <w:szCs w:val="15"/>
              </w:rPr>
              <w:t xml:space="preserve">n/a</w:t>
            </w:r>
          </w:p>
        </w:tc>
      </w:tr>
      <w:tr>
        <w:tc>
          <w:tcPr>
            <w:tcW w:w="5785" w:type="dxa"/>
          </w:tcPr>
          <w:p>
            <w:pPr>
              <w:pStyle w:val="Compact"/>
              <w:jc w:val="left"/>
              <w:spacing w:before="20" w:after="20" w:line="220" w:lineRule="auto"/>
            </w:pPr>
            <w:r>
              <w:rPr>
                <w:sz w:val="15"/>
                <w:szCs w:val="15"/>
              </w:rPr>
              <w:t xml:space="preserve">Pool 1: claims and benefits, net (incurred claims less attributable expense estimate, plus onerous losses, plus net reinsurance cost)</w:t>
            </w:r>
          </w:p>
        </w:tc>
        <w:tc>
          <w:tcPr>
            <w:tcW w:w="3748" w:type="dxa"/>
          </w:tcPr>
          <w:p>
            <w:pPr>
              <w:pStyle w:val="Compact"/>
              <w:jc w:val="left"/>
              <w:spacing w:before="20" w:after="20" w:line="220" w:lineRule="auto"/>
            </w:pPr>
            <w:r>
              <w:rPr>
                <w:sz w:val="15"/>
                <w:szCs w:val="15"/>
              </w:rPr>
              <w:t xml:space="preserve">Derived; Assumption† for attributable expense carve-out</w:t>
            </w:r>
          </w:p>
        </w:tc>
        <w:tc>
          <w:tcPr>
            <w:tcW w:w="670" w:type="dxa"/>
          </w:tcPr>
          <w:p>
            <w:pPr>
              <w:pStyle w:val="Compact"/>
              <w:jc w:val="left"/>
              <w:spacing w:before="20" w:after="20" w:line="220" w:lineRule="auto"/>
            </w:pPr>
            <w:r>
              <w:rPr>
                <w:sz w:val="15"/>
                <w:szCs w:val="15"/>
              </w:rPr>
              <w:t xml:space="preserve">5,456</w:t>
            </w:r>
          </w:p>
        </w:tc>
        <w:tc>
          <w:tcPr>
            <w:tcW w:w="670" w:type="dxa"/>
          </w:tcPr>
          <w:p>
            <w:pPr>
              <w:pStyle w:val="Compact"/>
              <w:jc w:val="left"/>
              <w:spacing w:before="20" w:after="20" w:line="220" w:lineRule="auto"/>
            </w:pPr>
            <w:r>
              <w:rPr>
                <w:sz w:val="15"/>
                <w:szCs w:val="15"/>
              </w:rPr>
              <w:t xml:space="preserve">5,729</w:t>
            </w:r>
          </w:p>
        </w:tc>
        <w:tc>
          <w:tcPr>
            <w:tcW w:w="670" w:type="dxa"/>
          </w:tcPr>
          <w:p>
            <w:pPr>
              <w:pStyle w:val="Compact"/>
              <w:jc w:val="left"/>
              <w:spacing w:before="20" w:after="20" w:line="220" w:lineRule="auto"/>
            </w:pPr>
            <w:r>
              <w:rPr>
                <w:sz w:val="15"/>
                <w:szCs w:val="15"/>
              </w:rPr>
              <w:t xml:space="preserve">6,092</w:t>
            </w:r>
          </w:p>
        </w:tc>
        <w:tc>
          <w:tcPr>
            <w:tcW w:w="3026" w:type="dxa"/>
          </w:tcPr>
          <w:p>
            <w:pPr>
              <w:pStyle w:val="Compact"/>
              <w:jc w:val="left"/>
              <w:spacing w:before="20" w:after="20" w:line="220" w:lineRule="auto"/>
            </w:pPr>
            <w:r>
              <w:rPr>
                <w:sz w:val="15"/>
                <w:szCs w:val="15"/>
              </w:rPr>
              <w:t xml:space="preserve">Pool 1 x Claims</w:t>
            </w:r>
          </w:p>
        </w:tc>
      </w:tr>
      <w:tr>
        <w:tc>
          <w:tcPr>
            <w:tcW w:w="5785" w:type="dxa"/>
          </w:tcPr>
          <w:p>
            <w:pPr>
              <w:pStyle w:val="Compact"/>
              <w:jc w:val="left"/>
              <w:spacing w:before="20" w:after="20" w:line="220" w:lineRule="auto"/>
            </w:pPr>
            <w:r>
              <w:rPr>
                <w:sz w:val="15"/>
                <w:szCs w:val="15"/>
              </w:rPr>
              <w:t xml:space="preserve">Pool 2: acquisition cost, expense view (allocated amortisation of acquisition cash flows)</w:t>
            </w:r>
          </w:p>
        </w:tc>
        <w:tc>
          <w:tcPr>
            <w:tcW w:w="3748" w:type="dxa"/>
          </w:tcPr>
          <w:p>
            <w:pPr>
              <w:pStyle w:val="Compact"/>
              <w:jc w:val="left"/>
              <w:spacing w:before="20" w:after="20" w:line="220" w:lineRule="auto"/>
            </w:pPr>
            <w:r>
              <w:rPr>
                <w:sz w:val="15"/>
                <w:szCs w:val="15"/>
              </w:rPr>
              <w:t xml:space="preserve">Derived</w:t>
            </w:r>
          </w:p>
        </w:tc>
        <w:tc>
          <w:tcPr>
            <w:tcW w:w="670" w:type="dxa"/>
          </w:tcPr>
          <w:p>
            <w:pPr>
              <w:pStyle w:val="Compact"/>
              <w:jc w:val="left"/>
              <w:spacing w:before="20" w:after="20" w:line="220" w:lineRule="auto"/>
            </w:pPr>
            <w:r>
              <w:rPr>
                <w:sz w:val="15"/>
                <w:szCs w:val="15"/>
              </w:rPr>
              <w:t xml:space="preserve">982</w:t>
            </w:r>
          </w:p>
        </w:tc>
        <w:tc>
          <w:tcPr>
            <w:tcW w:w="670" w:type="dxa"/>
          </w:tcPr>
          <w:p>
            <w:pPr>
              <w:pStyle w:val="Compact"/>
              <w:jc w:val="left"/>
              <w:spacing w:before="20" w:after="20" w:line="220" w:lineRule="auto"/>
            </w:pPr>
            <w:r>
              <w:rPr>
                <w:sz w:val="15"/>
                <w:szCs w:val="15"/>
              </w:rPr>
              <w:t xml:space="preserve">982</w:t>
            </w:r>
          </w:p>
        </w:tc>
        <w:tc>
          <w:tcPr>
            <w:tcW w:w="670" w:type="dxa"/>
          </w:tcPr>
          <w:p>
            <w:pPr>
              <w:pStyle w:val="Compact"/>
              <w:jc w:val="left"/>
              <w:spacing w:before="20" w:after="20" w:line="220" w:lineRule="auto"/>
            </w:pPr>
            <w:r>
              <w:rPr>
                <w:sz w:val="15"/>
                <w:szCs w:val="15"/>
              </w:rPr>
              <w:t xml:space="preserve">982</w:t>
            </w:r>
          </w:p>
        </w:tc>
        <w:tc>
          <w:tcPr>
            <w:tcW w:w="3026" w:type="dxa"/>
          </w:tcPr>
          <w:p>
            <w:pPr>
              <w:pStyle w:val="Compact"/>
              <w:jc w:val="left"/>
              <w:spacing w:before="20" w:after="20" w:line="220" w:lineRule="auto"/>
            </w:pPr>
            <w:r>
              <w:rPr>
                <w:sz w:val="15"/>
                <w:szCs w:val="15"/>
              </w:rPr>
              <w:t xml:space="preserve">Pool 2 x Distribution</w:t>
            </w:r>
          </w:p>
        </w:tc>
      </w:tr>
      <w:tr>
        <w:tc>
          <w:tcPr>
            <w:tcW w:w="5785" w:type="dxa"/>
          </w:tcPr>
          <w:p>
            <w:pPr>
              <w:pStyle w:val="Compact"/>
              <w:jc w:val="left"/>
              <w:spacing w:before="20" w:after="20" w:line="220" w:lineRule="auto"/>
            </w:pPr>
            <w:r>
              <w:rPr>
                <w:sz w:val="15"/>
                <w:szCs w:val="15"/>
              </w:rPr>
              <w:t xml:space="preserve">Pool 2: acquisition cost, cash view (allocated acquisition cash flows paid)</w:t>
            </w:r>
          </w:p>
        </w:tc>
        <w:tc>
          <w:tcPr>
            <w:tcW w:w="3748" w:type="dxa"/>
          </w:tcPr>
          <w:p>
            <w:pPr>
              <w:pStyle w:val="Compact"/>
              <w:jc w:val="left"/>
              <w:spacing w:before="20" w:after="20" w:line="220" w:lineRule="auto"/>
            </w:pPr>
            <w:r>
              <w:rPr>
                <w:sz w:val="15"/>
                <w:szCs w:val="15"/>
              </w:rPr>
              <w:t xml:space="preserve">Derived</w:t>
            </w:r>
          </w:p>
        </w:tc>
        <w:tc>
          <w:tcPr>
            <w:tcW w:w="670" w:type="dxa"/>
          </w:tcPr>
          <w:p>
            <w:pPr>
              <w:pStyle w:val="Compact"/>
              <w:jc w:val="left"/>
              <w:spacing w:before="20" w:after="20" w:line="220" w:lineRule="auto"/>
            </w:pPr>
            <w:r>
              <w:rPr>
                <w:sz w:val="15"/>
                <w:szCs w:val="15"/>
              </w:rPr>
              <w:t xml:space="preserve">1,387</w:t>
            </w:r>
          </w:p>
        </w:tc>
        <w:tc>
          <w:tcPr>
            <w:tcW w:w="670" w:type="dxa"/>
          </w:tcPr>
          <w:p>
            <w:pPr>
              <w:pStyle w:val="Compact"/>
              <w:jc w:val="left"/>
              <w:spacing w:before="20" w:after="20" w:line="220" w:lineRule="auto"/>
            </w:pPr>
            <w:r>
              <w:rPr>
                <w:sz w:val="15"/>
                <w:szCs w:val="15"/>
              </w:rPr>
              <w:t xml:space="preserve">1,387</w:t>
            </w:r>
          </w:p>
        </w:tc>
        <w:tc>
          <w:tcPr>
            <w:tcW w:w="670" w:type="dxa"/>
          </w:tcPr>
          <w:p>
            <w:pPr>
              <w:pStyle w:val="Compact"/>
              <w:jc w:val="left"/>
              <w:spacing w:before="20" w:after="20" w:line="220" w:lineRule="auto"/>
            </w:pPr>
            <w:r>
              <w:rPr>
                <w:sz w:val="15"/>
                <w:szCs w:val="15"/>
              </w:rPr>
              <w:t xml:space="preserve">1,387</w:t>
            </w:r>
          </w:p>
        </w:tc>
        <w:tc>
          <w:tcPr>
            <w:tcW w:w="3026" w:type="dxa"/>
          </w:tcPr>
          <w:p>
            <w:pPr>
              <w:pStyle w:val="Compact"/>
              <w:jc w:val="left"/>
              <w:spacing w:before="20" w:after="20" w:line="220" w:lineRule="auto"/>
            </w:pPr>
            <w:r>
              <w:rPr>
                <w:sz w:val="15"/>
                <w:szCs w:val="15"/>
              </w:rPr>
              <w:t xml:space="preserve">Pool 2 x Distribution</w:t>
            </w:r>
          </w:p>
        </w:tc>
      </w:tr>
      <w:tr>
        <w:tc>
          <w:tcPr>
            <w:tcW w:w="5785" w:type="dxa"/>
          </w:tcPr>
          <w:p>
            <w:pPr>
              <w:pStyle w:val="Compact"/>
              <w:jc w:val="left"/>
              <w:spacing w:before="20" w:after="20" w:line="220" w:lineRule="auto"/>
            </w:pPr>
            <w:r>
              <w:rPr>
                <w:sz w:val="15"/>
                <w:szCs w:val="15"/>
              </w:rPr>
              <w:t xml:space="preserve">of which fee to Absa Bank (intra-group)</w:t>
            </w:r>
          </w:p>
        </w:tc>
        <w:tc>
          <w:tcPr>
            <w:tcW w:w="3748" w:type="dxa"/>
          </w:tcPr>
          <w:p>
            <w:pPr>
              <w:pStyle w:val="Compact"/>
              <w:jc w:val="left"/>
              <w:spacing w:before="20" w:after="20" w:line="220" w:lineRule="auto"/>
            </w:pPr>
            <w:r>
              <w:rPr>
                <w:sz w:val="15"/>
                <w:szCs w:val="15"/>
              </w:rPr>
              <w:t xml:space="preserve">Fact; Assumption† on counterparty</w:t>
            </w:r>
          </w:p>
        </w:tc>
        <w:tc>
          <w:tcPr>
            <w:tcW w:w="670" w:type="dxa"/>
          </w:tcPr>
          <w:p>
            <w:pPr>
              <w:pStyle w:val="Compact"/>
              <w:jc w:val="left"/>
              <w:spacing w:before="20" w:after="20" w:line="220" w:lineRule="auto"/>
            </w:pPr>
            <w:r>
              <w:rPr>
                <w:sz w:val="15"/>
                <w:szCs w:val="15"/>
              </w:rPr>
              <w:t xml:space="preserve">774</w:t>
            </w:r>
          </w:p>
        </w:tc>
        <w:tc>
          <w:tcPr>
            <w:tcW w:w="670" w:type="dxa"/>
          </w:tcPr>
          <w:p>
            <w:pPr>
              <w:pStyle w:val="Compact"/>
              <w:jc w:val="left"/>
              <w:spacing w:before="20" w:after="20" w:line="220" w:lineRule="auto"/>
            </w:pPr>
            <w:r>
              <w:rPr>
                <w:sz w:val="15"/>
                <w:szCs w:val="15"/>
              </w:rPr>
              <w:t xml:space="preserve">774</w:t>
            </w:r>
          </w:p>
        </w:tc>
        <w:tc>
          <w:tcPr>
            <w:tcW w:w="670" w:type="dxa"/>
          </w:tcPr>
          <w:p>
            <w:pPr>
              <w:pStyle w:val="Compact"/>
              <w:jc w:val="left"/>
              <w:spacing w:before="20" w:after="20" w:line="220" w:lineRule="auto"/>
            </w:pPr>
            <w:r>
              <w:rPr>
                <w:sz w:val="15"/>
                <w:szCs w:val="15"/>
              </w:rPr>
              <w:t xml:space="preserve">774</w:t>
            </w:r>
          </w:p>
        </w:tc>
        <w:tc>
          <w:tcPr>
            <w:tcW w:w="3026" w:type="dxa"/>
          </w:tcPr>
          <w:p>
            <w:pPr>
              <w:pStyle w:val="Compact"/>
              <w:jc w:val="left"/>
              <w:spacing w:before="20" w:after="20" w:line="220" w:lineRule="auto"/>
            </w:pPr>
            <w:r>
              <w:rPr>
                <w:sz w:val="15"/>
                <w:szCs w:val="15"/>
              </w:rPr>
              <w:t xml:space="preserve">Pool 2 x Distribution</w:t>
            </w:r>
          </w:p>
        </w:tc>
      </w:tr>
      <w:tr>
        <w:tc>
          <w:tcPr>
            <w:tcW w:w="5785" w:type="dxa"/>
          </w:tcPr>
          <w:p>
            <w:pPr>
              <w:pStyle w:val="Compact"/>
              <w:jc w:val="left"/>
              <w:spacing w:before="20" w:after="20" w:line="220" w:lineRule="auto"/>
            </w:pPr>
            <w:r>
              <w:rPr>
                <w:sz w:val="15"/>
                <w:szCs w:val="15"/>
              </w:rPr>
              <w:t xml:space="preserve">of which other commission and adviser remuneration (cash view)</w:t>
            </w:r>
          </w:p>
        </w:tc>
        <w:tc>
          <w:tcPr>
            <w:tcW w:w="3748" w:type="dxa"/>
          </w:tcPr>
          <w:p>
            <w:pPr>
              <w:pStyle w:val="Compact"/>
              <w:jc w:val="left"/>
              <w:spacing w:before="20" w:after="20" w:line="220" w:lineRule="auto"/>
            </w:pPr>
            <w:r>
              <w:rPr>
                <w:sz w:val="15"/>
                <w:szCs w:val="15"/>
              </w:rPr>
              <w:t xml:space="preserve">Derived</w:t>
            </w:r>
          </w:p>
        </w:tc>
        <w:tc>
          <w:tcPr>
            <w:tcW w:w="670" w:type="dxa"/>
          </w:tcPr>
          <w:p>
            <w:pPr>
              <w:pStyle w:val="Compact"/>
              <w:jc w:val="left"/>
              <w:spacing w:before="20" w:after="20" w:line="220" w:lineRule="auto"/>
            </w:pPr>
            <w:r>
              <w:rPr>
                <w:sz w:val="15"/>
                <w:szCs w:val="15"/>
              </w:rPr>
              <w:t xml:space="preserve">613</w:t>
            </w:r>
          </w:p>
        </w:tc>
        <w:tc>
          <w:tcPr>
            <w:tcW w:w="670" w:type="dxa"/>
          </w:tcPr>
          <w:p>
            <w:pPr>
              <w:pStyle w:val="Compact"/>
              <w:jc w:val="left"/>
              <w:spacing w:before="20" w:after="20" w:line="220" w:lineRule="auto"/>
            </w:pPr>
            <w:r>
              <w:rPr>
                <w:sz w:val="15"/>
                <w:szCs w:val="15"/>
              </w:rPr>
              <w:t xml:space="preserve">613</w:t>
            </w:r>
          </w:p>
        </w:tc>
        <w:tc>
          <w:tcPr>
            <w:tcW w:w="670" w:type="dxa"/>
          </w:tcPr>
          <w:p>
            <w:pPr>
              <w:pStyle w:val="Compact"/>
              <w:jc w:val="left"/>
              <w:spacing w:before="20" w:after="20" w:line="220" w:lineRule="auto"/>
            </w:pPr>
            <w:r>
              <w:rPr>
                <w:sz w:val="15"/>
                <w:szCs w:val="15"/>
              </w:rPr>
              <w:t xml:space="preserve">613</w:t>
            </w:r>
          </w:p>
        </w:tc>
        <w:tc>
          <w:tcPr>
            <w:tcW w:w="3026" w:type="dxa"/>
          </w:tcPr>
          <w:p>
            <w:pPr>
              <w:pStyle w:val="Compact"/>
              <w:jc w:val="left"/>
              <w:spacing w:before="20" w:after="20" w:line="220" w:lineRule="auto"/>
            </w:pPr>
            <w:r>
              <w:rPr>
                <w:sz w:val="15"/>
                <w:szCs w:val="15"/>
              </w:rPr>
              <w:t xml:space="preserve">Pool 2 x Distribution</w:t>
            </w:r>
          </w:p>
        </w:tc>
      </w:tr>
      <w:tr>
        <w:tc>
          <w:tcPr>
            <w:tcW w:w="5785" w:type="dxa"/>
          </w:tcPr>
          <w:p>
            <w:pPr>
              <w:pStyle w:val="Compact"/>
              <w:jc w:val="left"/>
              <w:spacing w:before="20" w:after="20" w:line="220" w:lineRule="auto"/>
            </w:pPr>
            <w:r>
              <w:rPr>
                <w:sz w:val="15"/>
                <w:szCs w:val="15"/>
              </w:rPr>
              <w:t xml:space="preserve">Pool 3a: operating expense, non-attributable (as reported)</w:t>
            </w:r>
          </w:p>
        </w:tc>
        <w:tc>
          <w:tcPr>
            <w:tcW w:w="3748" w:type="dxa"/>
          </w:tcPr>
          <w:p>
            <w:pPr>
              <w:pStyle w:val="Compact"/>
              <w:jc w:val="left"/>
              <w:spacing w:before="20" w:after="20" w:line="220" w:lineRule="auto"/>
            </w:pPr>
            <w:r>
              <w:rPr>
                <w:sz w:val="15"/>
                <w:szCs w:val="15"/>
              </w:rPr>
              <w:t xml:space="preserve">Fact</w:t>
            </w:r>
          </w:p>
        </w:tc>
        <w:tc>
          <w:tcPr>
            <w:tcW w:w="670" w:type="dxa"/>
          </w:tcPr>
          <w:p>
            <w:pPr>
              <w:pStyle w:val="Compact"/>
              <w:jc w:val="left"/>
              <w:spacing w:before="20" w:after="20" w:line="220" w:lineRule="auto"/>
            </w:pPr>
            <w:r>
              <w:rPr>
                <w:sz w:val="15"/>
                <w:szCs w:val="15"/>
              </w:rPr>
              <w:t xml:space="preserve">1,042</w:t>
            </w:r>
          </w:p>
        </w:tc>
        <w:tc>
          <w:tcPr>
            <w:tcW w:w="670" w:type="dxa"/>
          </w:tcPr>
          <w:p>
            <w:pPr>
              <w:pStyle w:val="Compact"/>
              <w:jc w:val="left"/>
              <w:spacing w:before="20" w:after="20" w:line="220" w:lineRule="auto"/>
            </w:pPr>
            <w:r>
              <w:rPr>
                <w:sz w:val="15"/>
                <w:szCs w:val="15"/>
              </w:rPr>
              <w:t xml:space="preserve">1,042</w:t>
            </w:r>
          </w:p>
        </w:tc>
        <w:tc>
          <w:tcPr>
            <w:tcW w:w="670" w:type="dxa"/>
          </w:tcPr>
          <w:p>
            <w:pPr>
              <w:pStyle w:val="Compact"/>
              <w:jc w:val="left"/>
              <w:spacing w:before="20" w:after="20" w:line="220" w:lineRule="auto"/>
            </w:pPr>
            <w:r>
              <w:rPr>
                <w:sz w:val="15"/>
                <w:szCs w:val="15"/>
              </w:rPr>
              <w:t xml:space="preserve">1,042</w:t>
            </w:r>
          </w:p>
        </w:tc>
        <w:tc>
          <w:tcPr>
            <w:tcW w:w="3026" w:type="dxa"/>
          </w:tcPr>
          <w:p>
            <w:pPr>
              <w:pStyle w:val="Compact"/>
              <w:jc w:val="left"/>
              <w:spacing w:before="20" w:after="20" w:line="220" w:lineRule="auto"/>
            </w:pPr>
            <w:r>
              <w:rPr>
                <w:sz w:val="15"/>
                <w:szCs w:val="15"/>
              </w:rPr>
              <w:t xml:space="preserve">Pool 3 x all functions</w:t>
            </w:r>
          </w:p>
        </w:tc>
      </w:tr>
      <w:tr>
        <w:tc>
          <w:tcPr>
            <w:tcW w:w="5785" w:type="dxa"/>
          </w:tcPr>
          <w:p>
            <w:pPr>
              <w:pStyle w:val="Compact"/>
              <w:jc w:val="left"/>
              <w:spacing w:before="20" w:after="20" w:line="220" w:lineRule="auto"/>
            </w:pPr>
            <w:r>
              <w:rPr>
                <w:sz w:val="15"/>
                <w:szCs w:val="15"/>
              </w:rPr>
              <w:t xml:space="preserve">Pool 3b: operating expense, attributable (estimate inside insurance service expenses)</w:t>
            </w:r>
          </w:p>
        </w:tc>
        <w:tc>
          <w:tcPr>
            <w:tcW w:w="3748" w:type="dxa"/>
          </w:tcPr>
          <w:p>
            <w:pPr>
              <w:pStyle w:val="Compact"/>
              <w:jc w:val="left"/>
              <w:spacing w:before="20" w:after="20" w:line="220" w:lineRule="auto"/>
            </w:pPr>
            <w:r>
              <w:rPr>
                <w:sz w:val="15"/>
                <w:szCs w:val="15"/>
              </w:rPr>
              <w:t xml:space="preserve">Assumption†</w:t>
            </w:r>
          </w:p>
        </w:tc>
        <w:tc>
          <w:tcPr>
            <w:tcW w:w="670" w:type="dxa"/>
          </w:tcPr>
          <w:p>
            <w:pPr>
              <w:pStyle w:val="Compact"/>
              <w:jc w:val="left"/>
              <w:spacing w:before="20" w:after="20" w:line="220" w:lineRule="auto"/>
            </w:pPr>
            <w:r>
              <w:rPr>
                <w:sz w:val="15"/>
                <w:szCs w:val="15"/>
              </w:rPr>
              <w:t xml:space="preserve">363</w:t>
            </w:r>
          </w:p>
        </w:tc>
        <w:tc>
          <w:tcPr>
            <w:tcW w:w="670" w:type="dxa"/>
          </w:tcPr>
          <w:p>
            <w:pPr>
              <w:pStyle w:val="Compact"/>
              <w:jc w:val="left"/>
              <w:spacing w:before="20" w:after="20" w:line="220" w:lineRule="auto"/>
            </w:pPr>
            <w:r>
              <w:rPr>
                <w:sz w:val="15"/>
                <w:szCs w:val="15"/>
              </w:rPr>
              <w:t xml:space="preserve">726</w:t>
            </w:r>
          </w:p>
        </w:tc>
        <w:tc>
          <w:tcPr>
            <w:tcW w:w="670" w:type="dxa"/>
          </w:tcPr>
          <w:p>
            <w:pPr>
              <w:pStyle w:val="Compact"/>
              <w:jc w:val="left"/>
              <w:spacing w:before="20" w:after="20" w:line="220" w:lineRule="auto"/>
            </w:pPr>
            <w:r>
              <w:rPr>
                <w:sz w:val="15"/>
                <w:szCs w:val="15"/>
              </w:rPr>
              <w:t xml:space="preserve">999</w:t>
            </w:r>
          </w:p>
        </w:tc>
        <w:tc>
          <w:tcPr>
            <w:tcW w:w="3026" w:type="dxa"/>
          </w:tcPr>
          <w:p>
            <w:pPr>
              <w:pStyle w:val="Compact"/>
              <w:jc w:val="left"/>
              <w:spacing w:before="20" w:after="20" w:line="220" w:lineRule="auto"/>
            </w:pPr>
            <w:r>
              <w:rPr>
                <w:sz w:val="15"/>
                <w:szCs w:val="15"/>
              </w:rPr>
              <w:t xml:space="preserve">Pool 3 x Policy admin, Claims, Underwriting</w:t>
            </w:r>
          </w:p>
        </w:tc>
      </w:tr>
      <w:tr>
        <w:tc>
          <w:tcPr>
            <w:tcW w:w="5785" w:type="dxa"/>
          </w:tcPr>
          <w:p>
            <w:pPr>
              <w:pStyle w:val="Compact"/>
              <w:jc w:val="left"/>
              <w:spacing w:before="20" w:after="20" w:line="220" w:lineRule="auto"/>
            </w:pPr>
            <w:r>
              <w:rPr>
                <w:sz w:val="15"/>
                <w:szCs w:val="15"/>
              </w:rPr>
              <w:t xml:space="preserve">Pool 3c: intermediary and investments block operating expenses (AIFA, AIMS, Trust, Stockbrokers)</w:t>
            </w:r>
          </w:p>
        </w:tc>
        <w:tc>
          <w:tcPr>
            <w:tcW w:w="3748" w:type="dxa"/>
          </w:tcPr>
          <w:p>
            <w:pPr>
              <w:pStyle w:val="Compact"/>
              <w:jc w:val="left"/>
              <w:spacing w:before="20" w:after="20" w:line="220" w:lineRule="auto"/>
            </w:pPr>
            <w:r>
              <w:rPr>
                <w:sz w:val="15"/>
                <w:szCs w:val="15"/>
              </w:rPr>
              <w:t xml:space="preserve">Assumption† anchored on FY2023 fact</w:t>
            </w:r>
          </w:p>
        </w:tc>
        <w:tc>
          <w:tcPr>
            <w:tcW w:w="670" w:type="dxa"/>
          </w:tcPr>
          <w:p>
            <w:pPr>
              <w:pStyle w:val="Compact"/>
              <w:jc w:val="left"/>
              <w:spacing w:before="20" w:after="20" w:line="220" w:lineRule="auto"/>
            </w:pPr>
            <w:r>
              <w:rPr>
                <w:sz w:val="15"/>
                <w:szCs w:val="15"/>
              </w:rPr>
              <w:t xml:space="preserve">1,500</w:t>
            </w:r>
          </w:p>
        </w:tc>
        <w:tc>
          <w:tcPr>
            <w:tcW w:w="670" w:type="dxa"/>
          </w:tcPr>
          <w:p>
            <w:pPr>
              <w:pStyle w:val="Compact"/>
              <w:jc w:val="left"/>
              <w:spacing w:before="20" w:after="20" w:line="220" w:lineRule="auto"/>
            </w:pPr>
            <w:r>
              <w:rPr>
                <w:sz w:val="15"/>
                <w:szCs w:val="15"/>
              </w:rPr>
              <w:t xml:space="preserve">1,724</w:t>
            </w:r>
          </w:p>
        </w:tc>
        <w:tc>
          <w:tcPr>
            <w:tcW w:w="670" w:type="dxa"/>
          </w:tcPr>
          <w:p>
            <w:pPr>
              <w:pStyle w:val="Compact"/>
              <w:jc w:val="left"/>
              <w:spacing w:before="20" w:after="20" w:line="220" w:lineRule="auto"/>
            </w:pPr>
            <w:r>
              <w:rPr>
                <w:sz w:val="15"/>
                <w:szCs w:val="15"/>
              </w:rPr>
              <w:t xml:space="preserve">1,900</w:t>
            </w:r>
          </w:p>
        </w:tc>
        <w:tc>
          <w:tcPr>
            <w:tcW w:w="3026" w:type="dxa"/>
          </w:tcPr>
          <w:p>
            <w:pPr>
              <w:pStyle w:val="Compact"/>
              <w:jc w:val="left"/>
              <w:spacing w:before="20" w:after="20" w:line="220" w:lineRule="auto"/>
            </w:pPr>
            <w:r>
              <w:rPr>
                <w:sz w:val="15"/>
                <w:szCs w:val="15"/>
              </w:rPr>
              <w:t xml:space="preserve">Pool 3 x Distribution, Investments</w:t>
            </w:r>
          </w:p>
        </w:tc>
      </w:tr>
      <w:tr>
        <w:tc>
          <w:tcPr>
            <w:tcW w:w="5785" w:type="dxa"/>
          </w:tcPr>
          <w:p>
            <w:pPr>
              <w:pStyle w:val="Compact"/>
              <w:jc w:val="left"/>
              <w:spacing w:before="20" w:after="20" w:line="220" w:lineRule="auto"/>
            </w:pPr>
            <w:r>
              <w:rPr>
                <w:sz w:val="15"/>
                <w:szCs w:val="15"/>
              </w:rPr>
              <w:t xml:space="preserve">Pool 3: operating expense, total</w:t>
            </w:r>
          </w:p>
        </w:tc>
        <w:tc>
          <w:tcPr>
            <w:tcW w:w="3748" w:type="dxa"/>
          </w:tcPr>
          <w:p>
            <w:pPr>
              <w:pStyle w:val="Compact"/>
              <w:jc w:val="left"/>
              <w:spacing w:before="20" w:after="20" w:line="220" w:lineRule="auto"/>
            </w:pPr>
            <w:r>
              <w:rPr>
                <w:sz w:val="15"/>
                <w:szCs w:val="15"/>
              </w:rPr>
              <w:t xml:space="preserve">Derived</w:t>
            </w:r>
          </w:p>
        </w:tc>
        <w:tc>
          <w:tcPr>
            <w:tcW w:w="670" w:type="dxa"/>
          </w:tcPr>
          <w:p>
            <w:pPr>
              <w:pStyle w:val="Compact"/>
              <w:jc w:val="left"/>
              <w:spacing w:before="20" w:after="20" w:line="220" w:lineRule="auto"/>
            </w:pPr>
            <w:r>
              <w:rPr>
                <w:sz w:val="15"/>
                <w:szCs w:val="15"/>
              </w:rPr>
              <w:t xml:space="preserve">2,905</w:t>
            </w:r>
          </w:p>
        </w:tc>
        <w:tc>
          <w:tcPr>
            <w:tcW w:w="670" w:type="dxa"/>
          </w:tcPr>
          <w:p>
            <w:pPr>
              <w:pStyle w:val="Compact"/>
              <w:jc w:val="left"/>
              <w:spacing w:before="20" w:after="20" w:line="220" w:lineRule="auto"/>
            </w:pPr>
            <w:r>
              <w:rPr>
                <w:sz w:val="15"/>
                <w:szCs w:val="15"/>
              </w:rPr>
              <w:t xml:space="preserve">3,492</w:t>
            </w:r>
          </w:p>
        </w:tc>
        <w:tc>
          <w:tcPr>
            <w:tcW w:w="670" w:type="dxa"/>
          </w:tcPr>
          <w:p>
            <w:pPr>
              <w:pStyle w:val="Compact"/>
              <w:jc w:val="left"/>
              <w:spacing w:before="20" w:after="20" w:line="220" w:lineRule="auto"/>
            </w:pPr>
            <w:r>
              <w:rPr>
                <w:sz w:val="15"/>
                <w:szCs w:val="15"/>
              </w:rPr>
              <w:t xml:space="preserve">3,941</w:t>
            </w:r>
          </w:p>
        </w:tc>
        <w:tc>
          <w:tcPr>
            <w:tcW w:w="3026" w:type="dxa"/>
          </w:tcPr>
          <w:p>
            <w:pPr>
              <w:pStyle w:val="Compact"/>
              <w:jc w:val="left"/>
              <w:spacing w:before="20" w:after="20" w:line="220" w:lineRule="auto"/>
            </w:pPr>
            <w:r>
              <w:rPr>
                <w:sz w:val="15"/>
                <w:szCs w:val="15"/>
              </w:rPr>
              <w:t xml:space="preserve">Pool 3</w:t>
            </w:r>
          </w:p>
        </w:tc>
      </w:tr>
      <w:tr>
        <w:tc>
          <w:tcPr>
            <w:tcW w:w="5785" w:type="dxa"/>
          </w:tcPr>
          <w:p>
            <w:pPr>
              <w:pStyle w:val="Compact"/>
              <w:jc w:val="left"/>
              <w:spacing w:before="20" w:after="20" w:line="220" w:lineRule="auto"/>
            </w:pPr>
            <w:r>
              <w:rPr>
                <w:sz w:val="15"/>
                <w:szCs w:val="15"/>
              </w:rPr>
              <w:t xml:space="preserve">Pool 4: investment management cost on shareholder funds</w:t>
            </w:r>
          </w:p>
        </w:tc>
        <w:tc>
          <w:tcPr>
            <w:tcW w:w="3748" w:type="dxa"/>
          </w:tcPr>
          <w:p>
            <w:pPr>
              <w:pStyle w:val="Compact"/>
              <w:jc w:val="left"/>
              <w:spacing w:before="20" w:after="20" w:line="220" w:lineRule="auto"/>
            </w:pPr>
            <w:r>
              <w:rPr>
                <w:sz w:val="15"/>
                <w:szCs w:val="15"/>
              </w:rPr>
              <w:t xml:space="preserve">Assumption†</w:t>
            </w:r>
          </w:p>
        </w:tc>
        <w:tc>
          <w:tcPr>
            <w:tcW w:w="670" w:type="dxa"/>
          </w:tcPr>
          <w:p>
            <w:pPr>
              <w:pStyle w:val="Compact"/>
              <w:jc w:val="left"/>
              <w:spacing w:before="20" w:after="20" w:line="220" w:lineRule="auto"/>
            </w:pPr>
            <w:r>
              <w:rPr>
                <w:sz w:val="15"/>
                <w:szCs w:val="15"/>
              </w:rPr>
              <w:t xml:space="preserve">7</w:t>
            </w:r>
          </w:p>
        </w:tc>
        <w:tc>
          <w:tcPr>
            <w:tcW w:w="670" w:type="dxa"/>
          </w:tcPr>
          <w:p>
            <w:pPr>
              <w:pStyle w:val="Compact"/>
              <w:jc w:val="left"/>
              <w:spacing w:before="20" w:after="20" w:line="220" w:lineRule="auto"/>
            </w:pPr>
            <w:r>
              <w:rPr>
                <w:sz w:val="15"/>
                <w:szCs w:val="15"/>
              </w:rPr>
              <w:t xml:space="preserve">10</w:t>
            </w:r>
          </w:p>
        </w:tc>
        <w:tc>
          <w:tcPr>
            <w:tcW w:w="670" w:type="dxa"/>
          </w:tcPr>
          <w:p>
            <w:pPr>
              <w:pStyle w:val="Compact"/>
              <w:jc w:val="left"/>
              <w:spacing w:before="20" w:after="20" w:line="220" w:lineRule="auto"/>
            </w:pPr>
            <w:r>
              <w:rPr>
                <w:sz w:val="15"/>
                <w:szCs w:val="15"/>
              </w:rPr>
              <w:t xml:space="preserve">13</w:t>
            </w:r>
          </w:p>
        </w:tc>
        <w:tc>
          <w:tcPr>
            <w:tcW w:w="3026" w:type="dxa"/>
          </w:tcPr>
          <w:p>
            <w:pPr>
              <w:pStyle w:val="Compact"/>
              <w:jc w:val="left"/>
              <w:spacing w:before="20" w:after="20" w:line="220" w:lineRule="auto"/>
            </w:pPr>
            <w:r>
              <w:rPr>
                <w:sz w:val="15"/>
                <w:szCs w:val="15"/>
              </w:rPr>
              <w:t xml:space="preserve">Pool 4 x Investments</w:t>
            </w:r>
          </w:p>
        </w:tc>
      </w:tr>
      <w:tr>
        <w:tc>
          <w:tcPr>
            <w:tcW w:w="5785" w:type="dxa"/>
          </w:tcPr>
          <w:p>
            <w:pPr>
              <w:pStyle w:val="Compact"/>
              <w:jc w:val="left"/>
              <w:spacing w:before="20" w:after="20" w:line="220" w:lineRule="auto"/>
            </w:pPr>
            <w:r>
              <w:rPr>
                <w:sz w:val="15"/>
                <w:szCs w:val="15"/>
              </w:rPr>
              <w:t xml:space="preserve">Pool 5a: cost of capital (economic charge on segment equity)</w:t>
            </w:r>
          </w:p>
        </w:tc>
        <w:tc>
          <w:tcPr>
            <w:tcW w:w="3748" w:type="dxa"/>
          </w:tcPr>
          <w:p>
            <w:pPr>
              <w:pStyle w:val="Compact"/>
              <w:jc w:val="left"/>
              <w:spacing w:before="20" w:after="20" w:line="220" w:lineRule="auto"/>
            </w:pPr>
            <w:r>
              <w:rPr>
                <w:sz w:val="15"/>
                <w:szCs w:val="15"/>
              </w:rPr>
              <w:t xml:space="preserve">Derived; economic, not accounting</w:t>
            </w:r>
          </w:p>
        </w:tc>
        <w:tc>
          <w:tcPr>
            <w:tcW w:w="670" w:type="dxa"/>
          </w:tcPr>
          <w:p>
            <w:pPr>
              <w:pStyle w:val="Compact"/>
              <w:jc w:val="left"/>
              <w:spacing w:before="20" w:after="20" w:line="220" w:lineRule="auto"/>
            </w:pPr>
            <w:r>
              <w:rPr>
                <w:sz w:val="15"/>
                <w:szCs w:val="15"/>
              </w:rPr>
              <w:t xml:space="preserve">803</w:t>
            </w:r>
          </w:p>
        </w:tc>
        <w:tc>
          <w:tcPr>
            <w:tcW w:w="670" w:type="dxa"/>
          </w:tcPr>
          <w:p>
            <w:pPr>
              <w:pStyle w:val="Compact"/>
              <w:jc w:val="left"/>
              <w:spacing w:before="20" w:after="20" w:line="220" w:lineRule="auto"/>
            </w:pPr>
            <w:r>
              <w:rPr>
                <w:sz w:val="15"/>
                <w:szCs w:val="15"/>
              </w:rPr>
              <w:t xml:space="preserve">837</w:t>
            </w:r>
          </w:p>
        </w:tc>
        <w:tc>
          <w:tcPr>
            <w:tcW w:w="670" w:type="dxa"/>
          </w:tcPr>
          <w:p>
            <w:pPr>
              <w:pStyle w:val="Compact"/>
              <w:jc w:val="left"/>
              <w:spacing w:before="20" w:after="20" w:line="220" w:lineRule="auto"/>
            </w:pPr>
            <w:r>
              <w:rPr>
                <w:sz w:val="15"/>
                <w:szCs w:val="15"/>
              </w:rPr>
              <w:t xml:space="preserve">886</w:t>
            </w:r>
          </w:p>
        </w:tc>
        <w:tc>
          <w:tcPr>
            <w:tcW w:w="3026" w:type="dxa"/>
          </w:tcPr>
          <w:p>
            <w:pPr>
              <w:pStyle w:val="Compact"/>
              <w:jc w:val="left"/>
              <w:spacing w:before="20" w:after="20" w:line="220" w:lineRule="auto"/>
            </w:pPr>
            <w:r>
              <w:rPr>
                <w:sz w:val="15"/>
                <w:szCs w:val="15"/>
              </w:rPr>
              <w:t xml:space="preserve">Pool 5 x Finance and risk</w:t>
            </w:r>
          </w:p>
        </w:tc>
      </w:tr>
      <w:tr>
        <w:tc>
          <w:tcPr>
            <w:tcW w:w="5785" w:type="dxa"/>
          </w:tcPr>
          <w:p>
            <w:pPr>
              <w:pStyle w:val="Compact"/>
              <w:jc w:val="left"/>
              <w:spacing w:before="20" w:after="20" w:line="220" w:lineRule="auto"/>
            </w:pPr>
            <w:r>
              <w:rPr>
                <w:sz w:val="15"/>
                <w:szCs w:val="15"/>
              </w:rPr>
              <w:t xml:space="preserve">Pool 5b: trapped capital charge (own funds above target cover x cost of equity)</w:t>
            </w:r>
          </w:p>
        </w:tc>
        <w:tc>
          <w:tcPr>
            <w:tcW w:w="3748" w:type="dxa"/>
          </w:tcPr>
          <w:p>
            <w:pPr>
              <w:pStyle w:val="Compact"/>
              <w:jc w:val="left"/>
              <w:spacing w:before="20" w:after="20" w:line="220" w:lineRule="auto"/>
            </w:pPr>
            <w:r>
              <w:rPr>
                <w:sz w:val="15"/>
                <w:szCs w:val="15"/>
              </w:rPr>
              <w:t xml:space="preserve">Derived; Assumption† on target cover and own funds proxy</w:t>
            </w:r>
          </w:p>
        </w:tc>
        <w:tc>
          <w:tcPr>
            <w:tcW w:w="670" w:type="dxa"/>
          </w:tcPr>
          <w:p>
            <w:pPr>
              <w:pStyle w:val="Compact"/>
              <w:jc w:val="left"/>
              <w:spacing w:before="20" w:after="20" w:line="220" w:lineRule="auto"/>
            </w:pPr>
            <w:r>
              <w:rPr>
                <w:sz w:val="15"/>
                <w:szCs w:val="15"/>
              </w:rPr>
              <w:t xml:space="preserve">0</w:t>
            </w:r>
          </w:p>
        </w:tc>
        <w:tc>
          <w:tcPr>
            <w:tcW w:w="670" w:type="dxa"/>
          </w:tcPr>
          <w:p>
            <w:pPr>
              <w:pStyle w:val="Compact"/>
              <w:jc w:val="left"/>
              <w:spacing w:before="20" w:after="20" w:line="220" w:lineRule="auto"/>
            </w:pPr>
            <w:r>
              <w:rPr>
                <w:sz w:val="15"/>
                <w:szCs w:val="15"/>
              </w:rPr>
              <w:t xml:space="preserve">79</w:t>
            </w:r>
          </w:p>
        </w:tc>
        <w:tc>
          <w:tcPr>
            <w:tcW w:w="670" w:type="dxa"/>
          </w:tcPr>
          <w:p>
            <w:pPr>
              <w:pStyle w:val="Compact"/>
              <w:jc w:val="left"/>
              <w:spacing w:before="20" w:after="20" w:line="220" w:lineRule="auto"/>
            </w:pPr>
            <w:r>
              <w:rPr>
                <w:sz w:val="15"/>
                <w:szCs w:val="15"/>
              </w:rPr>
              <w:t xml:space="preserve">129</w:t>
            </w:r>
          </w:p>
        </w:tc>
        <w:tc>
          <w:tcPr>
            <w:tcW w:w="3026" w:type="dxa"/>
          </w:tcPr>
          <w:p>
            <w:pPr>
              <w:pStyle w:val="Compact"/>
              <w:jc w:val="left"/>
              <w:spacing w:before="20" w:after="20" w:line="220" w:lineRule="auto"/>
            </w:pPr>
            <w:r>
              <w:rPr>
                <w:sz w:val="15"/>
                <w:szCs w:val="15"/>
              </w:rPr>
              <w:t xml:space="preserve">Pool 5 x Finance and risk</w:t>
            </w:r>
          </w:p>
        </w:tc>
      </w:tr>
      <w:tr>
        <w:tc>
          <w:tcPr>
            <w:tcW w:w="5785" w:type="dxa"/>
          </w:tcPr>
          <w:p>
            <w:pPr>
              <w:pStyle w:val="Compact"/>
              <w:jc w:val="left"/>
              <w:spacing w:before="20" w:after="20" w:line="220" w:lineRule="auto"/>
            </w:pPr>
            <w:r>
              <w:rPr>
                <w:sz w:val="15"/>
                <w:szCs w:val="15"/>
              </w:rPr>
              <w:t xml:space="preserve">Pool 5c: avoidable licence cost (one licence: ARTIC into AIC, or similar)</w:t>
            </w:r>
          </w:p>
        </w:tc>
        <w:tc>
          <w:tcPr>
            <w:tcW w:w="3748" w:type="dxa"/>
          </w:tcPr>
          <w:p>
            <w:pPr>
              <w:pStyle w:val="Compact"/>
              <w:jc w:val="left"/>
              <w:spacing w:before="20" w:after="20" w:line="220" w:lineRule="auto"/>
            </w:pPr>
            <w:r>
              <w:rPr>
                <w:sz w:val="15"/>
                <w:szCs w:val="15"/>
              </w:rPr>
              <w:t xml:space="preserve">Assumption†</w:t>
            </w:r>
          </w:p>
        </w:tc>
        <w:tc>
          <w:tcPr>
            <w:tcW w:w="670" w:type="dxa"/>
          </w:tcPr>
          <w:p>
            <w:pPr>
              <w:pStyle w:val="Compact"/>
              <w:jc w:val="left"/>
              <w:spacing w:before="20" w:after="20" w:line="220" w:lineRule="auto"/>
            </w:pPr>
            <w:r>
              <w:rPr>
                <w:sz w:val="15"/>
                <w:szCs w:val="15"/>
              </w:rPr>
              <w:t xml:space="preserve">10</w:t>
            </w:r>
          </w:p>
        </w:tc>
        <w:tc>
          <w:tcPr>
            <w:tcW w:w="670" w:type="dxa"/>
          </w:tcPr>
          <w:p>
            <w:pPr>
              <w:pStyle w:val="Compact"/>
              <w:jc w:val="left"/>
              <w:spacing w:before="20" w:after="20" w:line="220" w:lineRule="auto"/>
            </w:pPr>
            <w:r>
              <w:rPr>
                <w:sz w:val="15"/>
                <w:szCs w:val="15"/>
              </w:rPr>
              <w:t xml:space="preserve">20</w:t>
            </w:r>
          </w:p>
        </w:tc>
        <w:tc>
          <w:tcPr>
            <w:tcW w:w="670" w:type="dxa"/>
          </w:tcPr>
          <w:p>
            <w:pPr>
              <w:pStyle w:val="Compact"/>
              <w:jc w:val="left"/>
              <w:spacing w:before="20" w:after="20" w:line="220" w:lineRule="auto"/>
            </w:pPr>
            <w:r>
              <w:rPr>
                <w:sz w:val="15"/>
                <w:szCs w:val="15"/>
              </w:rPr>
              <w:t xml:space="preserve">40</w:t>
            </w:r>
          </w:p>
        </w:tc>
        <w:tc>
          <w:tcPr>
            <w:tcW w:w="3026" w:type="dxa"/>
          </w:tcPr>
          <w:p>
            <w:pPr>
              <w:pStyle w:val="Compact"/>
              <w:jc w:val="left"/>
              <w:spacing w:before="20" w:after="20" w:line="220" w:lineRule="auto"/>
            </w:pPr>
            <w:r>
              <w:rPr>
                <w:sz w:val="15"/>
                <w:szCs w:val="15"/>
              </w:rPr>
              <w:t xml:space="preserve">Pool 5 x Governance</w:t>
            </w:r>
          </w:p>
        </w:tc>
      </w:tr>
    </w:tbl>
    <w:p>
      <w:pPr>
        <w:pStyle w:val="BodyText"/>
      </w:pPr>
      <w:r>
        <w:t xml:space="preserve">Source: afs_cost_benchmark.xlsx, AFS cost base tab section H and Normalisation tab assumptions.</w:t>
      </w:r>
    </w:p>
    <w:tbl>
      <w:tblPr>
        <w:tblStyle w:val="Table"/>
        <w:tblLook w:firstRow="1" w:lastRow="0" w:firstColumn="0" w:lastColumn="0" w:noHBand="0" w:noVBand="0" w:val="0020"/>
        <w:jc w:val="start"/>
        <w:tblW w:w="14569" w:type="dxa"/>
        <w:tblLayout w:type="fixed"/>
      </w:tblPr>
      <w:tblGrid>
        <w:gridCol w:w="6467"/>
        <w:gridCol w:w="3215"/>
        <w:gridCol w:w="670"/>
        <w:gridCol w:w="670"/>
        <w:gridCol w:w="670"/>
        <w:gridCol w:w="2877"/>
      </w:tblGrid>
      <w:tr>
        <w:trPr>
          <w:tblHeader w:val="true"/>
        </w:trPr>
        <w:tc>
          <w:tcPr>
            <w:tcW w:w="6467" w:type="dxa"/>
          </w:tcPr>
          <w:p>
            <w:pPr>
              <w:pStyle w:val="Compact"/>
              <w:jc w:val="left"/>
              <w:spacing w:before="20" w:after="20" w:line="220" w:lineRule="auto"/>
            </w:pPr>
            <w:r>
              <w:rPr>
                <w:sz w:val="15"/>
                <w:szCs w:val="15"/>
              </w:rPr>
              <w:t xml:space="preserve">Line</w:t>
            </w:r>
          </w:p>
        </w:tc>
        <w:tc>
          <w:tcPr>
            <w:tcW w:w="3215" w:type="dxa"/>
          </w:tcPr>
          <w:p>
            <w:pPr>
              <w:pStyle w:val="Compact"/>
              <w:jc w:val="left"/>
              <w:spacing w:before="20" w:after="20" w:line="220" w:lineRule="auto"/>
            </w:pPr>
            <w:r>
              <w:rPr>
                <w:sz w:val="15"/>
                <w:szCs w:val="15"/>
              </w:rPr>
              <w:t xml:space="preserve">Basis</w:t>
            </w:r>
          </w:p>
        </w:tc>
        <w:tc>
          <w:tcPr>
            <w:tcW w:w="670" w:type="dxa"/>
          </w:tcPr>
          <w:p>
            <w:pPr>
              <w:pStyle w:val="Compact"/>
              <w:jc w:val="left"/>
              <w:spacing w:before="20" w:after="20" w:line="220" w:lineRule="auto"/>
            </w:pPr>
            <w:r>
              <w:rPr>
                <w:sz w:val="15"/>
                <w:szCs w:val="15"/>
              </w:rPr>
              <w:t xml:space="preserve">Low</w:t>
            </w:r>
          </w:p>
        </w:tc>
        <w:tc>
          <w:tcPr>
            <w:tcW w:w="670" w:type="dxa"/>
          </w:tcPr>
          <w:p>
            <w:pPr>
              <w:pStyle w:val="Compact"/>
              <w:jc w:val="left"/>
              <w:spacing w:before="20" w:after="20" w:line="220" w:lineRule="auto"/>
            </w:pPr>
            <w:r>
              <w:rPr>
                <w:sz w:val="15"/>
                <w:szCs w:val="15"/>
              </w:rPr>
              <w:t xml:space="preserve">Base</w:t>
            </w:r>
          </w:p>
        </w:tc>
        <w:tc>
          <w:tcPr>
            <w:tcW w:w="670" w:type="dxa"/>
          </w:tcPr>
          <w:p>
            <w:pPr>
              <w:pStyle w:val="Compact"/>
              <w:jc w:val="left"/>
              <w:spacing w:before="20" w:after="20" w:line="220" w:lineRule="auto"/>
            </w:pPr>
            <w:r>
              <w:rPr>
                <w:sz w:val="15"/>
                <w:szCs w:val="15"/>
              </w:rPr>
              <w:t xml:space="preserve">High</w:t>
            </w:r>
          </w:p>
        </w:tc>
        <w:tc>
          <w:tcPr>
            <w:tcW w:w="2877" w:type="dxa"/>
          </w:tcPr>
          <w:p>
            <w:pPr>
              <w:pStyle w:val="Compact"/>
              <w:jc w:val="left"/>
              <w:spacing w:before="20" w:after="20" w:line="220" w:lineRule="auto"/>
            </w:pPr>
            <w:r>
              <w:rPr>
                <w:sz w:val="15"/>
                <w:szCs w:val="15"/>
              </w:rPr>
              <w:t xml:space="preserve">Tree cell</w:t>
            </w:r>
          </w:p>
        </w:tc>
      </w:tr>
      <w:tr>
        <w:tc>
          <w:tcPr>
            <w:tcW w:w="6467" w:type="dxa"/>
          </w:tcPr>
          <w:p>
            <w:pPr>
              <w:pStyle w:val="Compact"/>
              <w:jc w:val="left"/>
              <w:spacing w:before="20" w:after="20" w:line="220" w:lineRule="auto"/>
            </w:pPr>
            <w:r>
              <w:rPr>
                <w:sz w:val="15"/>
                <w:szCs w:val="15"/>
              </w:rPr>
              <w:t xml:space="preserve">Addressable accounting cost base: pool 3 total + pool 2 excluding bank fee + pool 4</w:t>
            </w:r>
          </w:p>
        </w:tc>
        <w:tc>
          <w:tcPr>
            <w:tcW w:w="3215" w:type="dxa"/>
          </w:tcPr>
          <w:p>
            <w:pPr>
              <w:pStyle w:val="Compact"/>
              <w:jc w:val="left"/>
              <w:spacing w:before="20" w:after="20" w:line="220" w:lineRule="auto"/>
            </w:pPr>
            <w:r>
              <w:rPr>
                <w:sz w:val="15"/>
                <w:szCs w:val="15"/>
              </w:rPr>
              <w:t xml:space="preserve">Derived</w:t>
            </w:r>
          </w:p>
        </w:tc>
        <w:tc>
          <w:tcPr>
            <w:tcW w:w="670" w:type="dxa"/>
          </w:tcPr>
          <w:p>
            <w:pPr>
              <w:pStyle w:val="Compact"/>
              <w:jc w:val="left"/>
              <w:spacing w:before="20" w:after="20" w:line="220" w:lineRule="auto"/>
            </w:pPr>
            <w:r>
              <w:rPr>
                <w:sz w:val="15"/>
                <w:szCs w:val="15"/>
              </w:rPr>
              <w:t xml:space="preserve">3,524</w:t>
            </w:r>
          </w:p>
        </w:tc>
        <w:tc>
          <w:tcPr>
            <w:tcW w:w="670" w:type="dxa"/>
          </w:tcPr>
          <w:p>
            <w:pPr>
              <w:pStyle w:val="Compact"/>
              <w:jc w:val="left"/>
              <w:spacing w:before="20" w:after="20" w:line="220" w:lineRule="auto"/>
            </w:pPr>
            <w:r>
              <w:rPr>
                <w:sz w:val="15"/>
                <w:szCs w:val="15"/>
              </w:rPr>
              <w:t xml:space="preserve">4,115</w:t>
            </w:r>
          </w:p>
        </w:tc>
        <w:tc>
          <w:tcPr>
            <w:tcW w:w="670" w:type="dxa"/>
          </w:tcPr>
          <w:p>
            <w:pPr>
              <w:pStyle w:val="Compact"/>
              <w:jc w:val="left"/>
              <w:spacing w:before="20" w:after="20" w:line="220" w:lineRule="auto"/>
            </w:pPr>
            <w:r>
              <w:rPr>
                <w:sz w:val="15"/>
                <w:szCs w:val="15"/>
              </w:rPr>
              <w:t xml:space="preserve">4,566</w:t>
            </w:r>
          </w:p>
        </w:tc>
        <w:tc>
          <w:tcPr>
            <w:tcW w:w="2877" w:type="dxa"/>
          </w:tcPr>
          <w:p>
            <w:pPr>
              <w:pStyle w:val="Compact"/>
              <w:jc w:val="left"/>
              <w:spacing w:before="20" w:after="20" w:line="220" w:lineRule="auto"/>
            </w:pPr>
            <w:r>
              <w:rPr>
                <w:sz w:val="15"/>
                <w:szCs w:val="15"/>
              </w:rPr>
              <w:t xml:space="preserve">Pools 2 to 4</w:t>
            </w:r>
          </w:p>
        </w:tc>
      </w:tr>
      <w:tr>
        <w:tc>
          <w:tcPr>
            <w:tcW w:w="6467" w:type="dxa"/>
          </w:tcPr>
          <w:p>
            <w:pPr>
              <w:pStyle w:val="Compact"/>
              <w:jc w:val="left"/>
              <w:spacing w:before="20" w:after="20" w:line="220" w:lineRule="auto"/>
            </w:pPr>
            <w:r>
              <w:rPr>
                <w:sz w:val="15"/>
                <w:szCs w:val="15"/>
              </w:rPr>
              <w:t xml:space="preserve">Savings hypothesis on addressable base at precedent percentages</w:t>
            </w:r>
          </w:p>
        </w:tc>
        <w:tc>
          <w:tcPr>
            <w:tcW w:w="3215" w:type="dxa"/>
          </w:tcPr>
          <w:p>
            <w:pPr>
              <w:pStyle w:val="Compact"/>
              <w:jc w:val="left"/>
              <w:spacing w:before="20" w:after="20" w:line="220" w:lineRule="auto"/>
            </w:pPr>
            <w:r>
              <w:rPr>
                <w:sz w:val="15"/>
                <w:szCs w:val="15"/>
              </w:rPr>
              <w:t xml:space="preserve">Derived; Assumption† precedent range</w:t>
            </w:r>
          </w:p>
        </w:tc>
        <w:tc>
          <w:tcPr>
            <w:tcW w:w="670" w:type="dxa"/>
          </w:tcPr>
          <w:p>
            <w:pPr>
              <w:pStyle w:val="Compact"/>
              <w:jc w:val="left"/>
              <w:spacing w:before="20" w:after="20" w:line="220" w:lineRule="auto"/>
            </w:pPr>
            <w:r>
              <w:rPr>
                <w:sz w:val="15"/>
                <w:szCs w:val="15"/>
              </w:rPr>
              <w:t xml:space="preserve">211</w:t>
            </w:r>
          </w:p>
        </w:tc>
        <w:tc>
          <w:tcPr>
            <w:tcW w:w="670" w:type="dxa"/>
          </w:tcPr>
          <w:p>
            <w:pPr>
              <w:pStyle w:val="Compact"/>
              <w:jc w:val="left"/>
              <w:spacing w:before="20" w:after="20" w:line="220" w:lineRule="auto"/>
            </w:pPr>
            <w:r>
              <w:rPr>
                <w:sz w:val="15"/>
                <w:szCs w:val="15"/>
              </w:rPr>
              <w:t xml:space="preserve">370</w:t>
            </w:r>
          </w:p>
        </w:tc>
        <w:tc>
          <w:tcPr>
            <w:tcW w:w="670" w:type="dxa"/>
          </w:tcPr>
          <w:p>
            <w:pPr>
              <w:pStyle w:val="Compact"/>
              <w:jc w:val="left"/>
              <w:spacing w:before="20" w:after="20" w:line="220" w:lineRule="auto"/>
            </w:pPr>
            <w:r>
              <w:rPr>
                <w:sz w:val="15"/>
                <w:szCs w:val="15"/>
              </w:rPr>
              <w:t xml:space="preserve">594</w:t>
            </w:r>
          </w:p>
        </w:tc>
        <w:tc>
          <w:tcPr>
            <w:tcW w:w="2877" w:type="dxa"/>
          </w:tcPr>
          <w:p>
            <w:pPr>
              <w:pStyle w:val="Compact"/>
              <w:jc w:val="left"/>
              <w:spacing w:before="20" w:after="20" w:line="220" w:lineRule="auto"/>
            </w:pPr>
            <w:r>
              <w:rPr>
                <w:sz w:val="15"/>
                <w:szCs w:val="15"/>
              </w:rPr>
              <w:t xml:space="preserve">Pools 2 to 4</w:t>
            </w:r>
          </w:p>
        </w:tc>
      </w:tr>
      <w:tr>
        <w:tc>
          <w:tcPr>
            <w:tcW w:w="6467" w:type="dxa"/>
          </w:tcPr>
          <w:p>
            <w:pPr>
              <w:pStyle w:val="Compact"/>
              <w:jc w:val="left"/>
              <w:spacing w:before="20" w:after="20" w:line="220" w:lineRule="auto"/>
            </w:pPr>
            <w:r>
              <w:rPr>
                <w:sz w:val="15"/>
                <w:szCs w:val="15"/>
              </w:rPr>
              <w:t xml:space="preserve">Claims leakage hypothesis (pool 1 x leakage rate)</w:t>
            </w:r>
          </w:p>
        </w:tc>
        <w:tc>
          <w:tcPr>
            <w:tcW w:w="3215" w:type="dxa"/>
          </w:tcPr>
          <w:p>
            <w:pPr>
              <w:pStyle w:val="Compact"/>
              <w:jc w:val="left"/>
              <w:spacing w:before="20" w:after="20" w:line="220" w:lineRule="auto"/>
            </w:pPr>
            <w:r>
              <w:rPr>
                <w:sz w:val="15"/>
                <w:szCs w:val="15"/>
              </w:rPr>
              <w:t xml:space="preserve">Derived; Assumption†</w:t>
            </w:r>
          </w:p>
        </w:tc>
        <w:tc>
          <w:tcPr>
            <w:tcW w:w="670" w:type="dxa"/>
          </w:tcPr>
          <w:p>
            <w:pPr>
              <w:pStyle w:val="Compact"/>
              <w:jc w:val="left"/>
              <w:spacing w:before="20" w:after="20" w:line="220" w:lineRule="auto"/>
            </w:pPr>
            <w:r>
              <w:rPr>
                <w:sz w:val="15"/>
                <w:szCs w:val="15"/>
              </w:rPr>
              <w:t xml:space="preserve">55</w:t>
            </w:r>
          </w:p>
        </w:tc>
        <w:tc>
          <w:tcPr>
            <w:tcW w:w="670" w:type="dxa"/>
          </w:tcPr>
          <w:p>
            <w:pPr>
              <w:pStyle w:val="Compact"/>
              <w:jc w:val="left"/>
              <w:spacing w:before="20" w:after="20" w:line="220" w:lineRule="auto"/>
            </w:pPr>
            <w:r>
              <w:rPr>
                <w:sz w:val="15"/>
                <w:szCs w:val="15"/>
              </w:rPr>
              <w:t xml:space="preserve">115</w:t>
            </w:r>
          </w:p>
        </w:tc>
        <w:tc>
          <w:tcPr>
            <w:tcW w:w="670" w:type="dxa"/>
          </w:tcPr>
          <w:p>
            <w:pPr>
              <w:pStyle w:val="Compact"/>
              <w:jc w:val="left"/>
              <w:spacing w:before="20" w:after="20" w:line="220" w:lineRule="auto"/>
            </w:pPr>
            <w:r>
              <w:rPr>
                <w:sz w:val="15"/>
                <w:szCs w:val="15"/>
              </w:rPr>
              <w:t xml:space="preserve">183</w:t>
            </w:r>
          </w:p>
        </w:tc>
        <w:tc>
          <w:tcPr>
            <w:tcW w:w="2877" w:type="dxa"/>
          </w:tcPr>
          <w:p>
            <w:pPr>
              <w:pStyle w:val="Compact"/>
              <w:jc w:val="left"/>
              <w:spacing w:before="20" w:after="20" w:line="220" w:lineRule="auto"/>
            </w:pPr>
            <w:r>
              <w:rPr>
                <w:sz w:val="15"/>
                <w:szCs w:val="15"/>
              </w:rPr>
              <w:t xml:space="preserve">Pool 1 x Claims x Leakage</w:t>
            </w:r>
          </w:p>
        </w:tc>
      </w:tr>
      <w:tr>
        <w:tc>
          <w:tcPr>
            <w:tcW w:w="6467" w:type="dxa"/>
          </w:tcPr>
          <w:p>
            <w:pPr>
              <w:pStyle w:val="Compact"/>
              <w:jc w:val="left"/>
              <w:spacing w:before="20" w:after="20" w:line="220" w:lineRule="auto"/>
            </w:pPr>
            <w:r>
              <w:rPr>
                <w:sz w:val="15"/>
                <w:szCs w:val="15"/>
              </w:rPr>
              <w:t xml:space="preserve">Reinsurance price hypothesis (net reinsurance cost x achievable saving)</w:t>
            </w:r>
          </w:p>
        </w:tc>
        <w:tc>
          <w:tcPr>
            <w:tcW w:w="3215" w:type="dxa"/>
          </w:tcPr>
          <w:p>
            <w:pPr>
              <w:pStyle w:val="Compact"/>
              <w:jc w:val="left"/>
              <w:spacing w:before="20" w:after="20" w:line="220" w:lineRule="auto"/>
            </w:pPr>
            <w:r>
              <w:rPr>
                <w:sz w:val="15"/>
                <w:szCs w:val="15"/>
              </w:rPr>
              <w:t xml:space="preserve">Derived; Assumption†</w:t>
            </w:r>
          </w:p>
        </w:tc>
        <w:tc>
          <w:tcPr>
            <w:tcW w:w="670" w:type="dxa"/>
          </w:tcPr>
          <w:p>
            <w:pPr>
              <w:pStyle w:val="Compact"/>
              <w:jc w:val="left"/>
              <w:spacing w:before="20" w:after="20" w:line="220" w:lineRule="auto"/>
            </w:pPr>
            <w:r>
              <w:rPr>
                <w:sz w:val="15"/>
                <w:szCs w:val="15"/>
              </w:rPr>
              <w:t xml:space="preserve">10</w:t>
            </w:r>
          </w:p>
        </w:tc>
        <w:tc>
          <w:tcPr>
            <w:tcW w:w="670" w:type="dxa"/>
          </w:tcPr>
          <w:p>
            <w:pPr>
              <w:pStyle w:val="Compact"/>
              <w:jc w:val="left"/>
              <w:spacing w:before="20" w:after="20" w:line="220" w:lineRule="auto"/>
            </w:pPr>
            <w:r>
              <w:rPr>
                <w:sz w:val="15"/>
                <w:szCs w:val="15"/>
              </w:rPr>
              <w:t xml:space="preserve">20</w:t>
            </w:r>
          </w:p>
        </w:tc>
        <w:tc>
          <w:tcPr>
            <w:tcW w:w="670" w:type="dxa"/>
          </w:tcPr>
          <w:p>
            <w:pPr>
              <w:pStyle w:val="Compact"/>
              <w:jc w:val="left"/>
              <w:spacing w:before="20" w:after="20" w:line="220" w:lineRule="auto"/>
            </w:pPr>
            <w:r>
              <w:rPr>
                <w:sz w:val="15"/>
                <w:szCs w:val="15"/>
              </w:rPr>
              <w:t xml:space="preserve">30</w:t>
            </w:r>
          </w:p>
        </w:tc>
        <w:tc>
          <w:tcPr>
            <w:tcW w:w="2877" w:type="dxa"/>
          </w:tcPr>
          <w:p>
            <w:pPr>
              <w:pStyle w:val="Compact"/>
              <w:jc w:val="left"/>
              <w:spacing w:before="20" w:after="20" w:line="220" w:lineRule="auto"/>
            </w:pPr>
            <w:r>
              <w:rPr>
                <w:sz w:val="15"/>
                <w:szCs w:val="15"/>
              </w:rPr>
              <w:t xml:space="preserve">Pool 1 x Claims x Price/Structural</w:t>
            </w:r>
          </w:p>
        </w:tc>
      </w:tr>
      <w:tr>
        <w:tc>
          <w:tcPr>
            <w:tcW w:w="6467" w:type="dxa"/>
          </w:tcPr>
          <w:p>
            <w:pPr>
              <w:pStyle w:val="Compact"/>
              <w:jc w:val="left"/>
              <w:spacing w:before="20" w:after="20" w:line="220" w:lineRule="auto"/>
            </w:pPr>
            <w:r>
              <w:rPr>
                <w:sz w:val="15"/>
                <w:szCs w:val="15"/>
              </w:rPr>
              <w:t xml:space="preserve">Trapped capital and licence hypothesis (pool 5b + 5c)</w:t>
            </w:r>
          </w:p>
        </w:tc>
        <w:tc>
          <w:tcPr>
            <w:tcW w:w="3215" w:type="dxa"/>
          </w:tcPr>
          <w:p>
            <w:pPr>
              <w:pStyle w:val="Compact"/>
              <w:jc w:val="left"/>
              <w:spacing w:before="20" w:after="20" w:line="220" w:lineRule="auto"/>
            </w:pPr>
            <w:r>
              <w:rPr>
                <w:sz w:val="15"/>
                <w:szCs w:val="15"/>
              </w:rPr>
              <w:t xml:space="preserve">Derived; economic</w:t>
            </w:r>
          </w:p>
        </w:tc>
        <w:tc>
          <w:tcPr>
            <w:tcW w:w="670" w:type="dxa"/>
          </w:tcPr>
          <w:p>
            <w:pPr>
              <w:pStyle w:val="Compact"/>
              <w:jc w:val="left"/>
              <w:spacing w:before="20" w:after="20" w:line="220" w:lineRule="auto"/>
            </w:pPr>
            <w:r>
              <w:rPr>
                <w:sz w:val="15"/>
                <w:szCs w:val="15"/>
              </w:rPr>
              <w:t xml:space="preserve">10</w:t>
            </w:r>
          </w:p>
        </w:tc>
        <w:tc>
          <w:tcPr>
            <w:tcW w:w="670" w:type="dxa"/>
          </w:tcPr>
          <w:p>
            <w:pPr>
              <w:pStyle w:val="Compact"/>
              <w:jc w:val="left"/>
              <w:spacing w:before="20" w:after="20" w:line="220" w:lineRule="auto"/>
            </w:pPr>
            <w:r>
              <w:rPr>
                <w:sz w:val="15"/>
                <w:szCs w:val="15"/>
              </w:rPr>
              <w:t xml:space="preserve">99</w:t>
            </w:r>
          </w:p>
        </w:tc>
        <w:tc>
          <w:tcPr>
            <w:tcW w:w="670" w:type="dxa"/>
          </w:tcPr>
          <w:p>
            <w:pPr>
              <w:pStyle w:val="Compact"/>
              <w:jc w:val="left"/>
              <w:spacing w:before="20" w:after="20" w:line="220" w:lineRule="auto"/>
            </w:pPr>
            <w:r>
              <w:rPr>
                <w:sz w:val="15"/>
                <w:szCs w:val="15"/>
              </w:rPr>
              <w:t xml:space="preserve">169</w:t>
            </w:r>
          </w:p>
        </w:tc>
        <w:tc>
          <w:tcPr>
            <w:tcW w:w="2877" w:type="dxa"/>
          </w:tcPr>
          <w:p>
            <w:pPr>
              <w:pStyle w:val="Compact"/>
              <w:jc w:val="left"/>
              <w:spacing w:before="20" w:after="20" w:line="220" w:lineRule="auto"/>
            </w:pPr>
            <w:r>
              <w:rPr>
                <w:sz w:val="15"/>
                <w:szCs w:val="15"/>
              </w:rPr>
              <w:t xml:space="preserve">Pool 5 x Structural</w:t>
            </w:r>
          </w:p>
        </w:tc>
      </w:tr>
      <w:tr>
        <w:tc>
          <w:tcPr>
            <w:tcW w:w="6467" w:type="dxa"/>
          </w:tcPr>
          <w:p>
            <w:pPr>
              <w:pStyle w:val="Compact"/>
              <w:jc w:val="left"/>
              <w:spacing w:before="20" w:after="20" w:line="220" w:lineRule="auto"/>
            </w:pPr>
            <w:r>
              <w:rPr>
                <w:sz w:val="15"/>
                <w:szCs w:val="15"/>
              </w:rPr>
              <w:t xml:space="preserve">Total hypothesis, accounting lines (savings + claims leakage + reinsurance)</w:t>
            </w:r>
          </w:p>
        </w:tc>
        <w:tc>
          <w:tcPr>
            <w:tcW w:w="3215" w:type="dxa"/>
          </w:tcPr>
          <w:p>
            <w:pPr>
              <w:pStyle w:val="Compact"/>
              <w:jc w:val="left"/>
              <w:spacing w:before="20" w:after="20" w:line="220" w:lineRule="auto"/>
            </w:pPr>
            <w:r>
              <w:rPr>
                <w:sz w:val="15"/>
                <w:szCs w:val="15"/>
              </w:rPr>
              <w:t xml:space="preserve">Derived</w:t>
            </w:r>
          </w:p>
        </w:tc>
        <w:tc>
          <w:tcPr>
            <w:tcW w:w="670" w:type="dxa"/>
          </w:tcPr>
          <w:p>
            <w:pPr>
              <w:pStyle w:val="Compact"/>
              <w:jc w:val="left"/>
              <w:spacing w:before="20" w:after="20" w:line="220" w:lineRule="auto"/>
            </w:pPr>
            <w:r>
              <w:rPr>
                <w:sz w:val="15"/>
                <w:szCs w:val="15"/>
              </w:rPr>
              <w:t xml:space="preserve">276</w:t>
            </w:r>
          </w:p>
        </w:tc>
        <w:tc>
          <w:tcPr>
            <w:tcW w:w="670" w:type="dxa"/>
          </w:tcPr>
          <w:p>
            <w:pPr>
              <w:pStyle w:val="Compact"/>
              <w:jc w:val="left"/>
              <w:spacing w:before="20" w:after="20" w:line="220" w:lineRule="auto"/>
            </w:pPr>
            <w:r>
              <w:rPr>
                <w:sz w:val="15"/>
                <w:szCs w:val="15"/>
              </w:rPr>
              <w:t xml:space="preserve">505</w:t>
            </w:r>
          </w:p>
        </w:tc>
        <w:tc>
          <w:tcPr>
            <w:tcW w:w="670" w:type="dxa"/>
          </w:tcPr>
          <w:p>
            <w:pPr>
              <w:pStyle w:val="Compact"/>
              <w:jc w:val="left"/>
              <w:spacing w:before="20" w:after="20" w:line="220" w:lineRule="auto"/>
            </w:pPr>
            <w:r>
              <w:rPr>
                <w:sz w:val="15"/>
                <w:szCs w:val="15"/>
              </w:rPr>
              <w:t xml:space="preserve">806</w:t>
            </w:r>
          </w:p>
        </w:tc>
        <w:tc>
          <w:tcPr>
            <w:tcW w:w="2877" w:type="dxa"/>
          </w:tcPr>
          <w:p>
            <w:pPr>
              <w:pStyle w:val="Compact"/>
              <w:jc w:val="left"/>
              <w:spacing w:before="20" w:after="20" w:line="220" w:lineRule="auto"/>
            </w:pPr>
            <w:r>
              <w:rPr>
                <w:sz w:val="15"/>
                <w:szCs w:val="15"/>
              </w:rPr>
              <w:t xml:space="preserve">All</w:t>
            </w:r>
          </w:p>
        </w:tc>
      </w:tr>
      <w:tr>
        <w:tc>
          <w:tcPr>
            <w:tcW w:w="6467" w:type="dxa"/>
          </w:tcPr>
          <w:p>
            <w:pPr>
              <w:pStyle w:val="Compact"/>
              <w:jc w:val="left"/>
              <w:spacing w:before="20" w:after="20" w:line="220" w:lineRule="auto"/>
            </w:pPr>
            <w:r>
              <w:rPr>
                <w:sz w:val="15"/>
                <w:szCs w:val="15"/>
              </w:rPr>
              <w:t xml:space="preserve">Cost to achieve (multiple of run-rate accounting savings)</w:t>
            </w:r>
          </w:p>
        </w:tc>
        <w:tc>
          <w:tcPr>
            <w:tcW w:w="3215" w:type="dxa"/>
          </w:tcPr>
          <w:p>
            <w:pPr>
              <w:pStyle w:val="Compact"/>
              <w:jc w:val="left"/>
              <w:spacing w:before="20" w:after="20" w:line="220" w:lineRule="auto"/>
            </w:pPr>
            <w:r>
              <w:rPr>
                <w:sz w:val="15"/>
                <w:szCs w:val="15"/>
              </w:rPr>
              <w:t xml:space="preserve">Derived; Assumption† precedent multiple</w:t>
            </w:r>
          </w:p>
        </w:tc>
        <w:tc>
          <w:tcPr>
            <w:tcW w:w="670" w:type="dxa"/>
          </w:tcPr>
          <w:p>
            <w:pPr>
              <w:pStyle w:val="Compact"/>
              <w:jc w:val="left"/>
              <w:spacing w:before="20" w:after="20" w:line="220" w:lineRule="auto"/>
            </w:pPr>
            <w:r>
              <w:rPr>
                <w:sz w:val="15"/>
                <w:szCs w:val="15"/>
              </w:rPr>
              <w:t xml:space="preserve">138</w:t>
            </w:r>
          </w:p>
        </w:tc>
        <w:tc>
          <w:tcPr>
            <w:tcW w:w="670" w:type="dxa"/>
          </w:tcPr>
          <w:p>
            <w:pPr>
              <w:pStyle w:val="Compact"/>
              <w:jc w:val="left"/>
              <w:spacing w:before="20" w:after="20" w:line="220" w:lineRule="auto"/>
            </w:pPr>
            <w:r>
              <w:rPr>
                <w:sz w:val="15"/>
                <w:szCs w:val="15"/>
              </w:rPr>
              <w:t xml:space="preserve">505</w:t>
            </w:r>
          </w:p>
        </w:tc>
        <w:tc>
          <w:tcPr>
            <w:tcW w:w="670" w:type="dxa"/>
          </w:tcPr>
          <w:p>
            <w:pPr>
              <w:pStyle w:val="Compact"/>
              <w:jc w:val="left"/>
              <w:spacing w:before="20" w:after="20" w:line="220" w:lineRule="auto"/>
            </w:pPr>
            <w:r>
              <w:rPr>
                <w:sz w:val="15"/>
                <w:szCs w:val="15"/>
              </w:rPr>
              <w:t xml:space="preserve">1,451</w:t>
            </w:r>
          </w:p>
        </w:tc>
        <w:tc>
          <w:tcPr>
            <w:tcW w:w="2877" w:type="dxa"/>
          </w:tcPr>
          <w:p>
            <w:pPr>
              <w:pStyle w:val="Compact"/>
              <w:jc w:val="left"/>
              <w:spacing w:before="20" w:after="20" w:line="220" w:lineRule="auto"/>
            </w:pPr>
            <w:r>
              <w:rPr>
                <w:sz w:val="15"/>
                <w:szCs w:val="15"/>
              </w:rPr>
              <w:t xml:space="preserve">n/a</w:t>
            </w:r>
          </w:p>
        </w:tc>
      </w:tr>
    </w:tbl>
    <w:p>
      <w:pPr>
        <w:pStyle w:val="BodyText"/>
      </w:pPr>
      <w:r>
        <w:t xml:space="preserve">Source: afs_cost_benchmark.xlsx, AFS cost base tab. Every link resolves to a data_id on the Raw data tab; assumptions are on the Normalisation tab with low, base and high.</w:t>
      </w:r>
    </w:p>
    <w:p>
      <w:pPr>
        <w:pStyle w:val="BodyText"/>
        <w:sectPr>
          <w:pgSz w:w="16838" w:h="11906" w:orient="landscape"/>
          <w:pgMar w:top="1134" w:right="1134" w:bottom="1134" w:left="1134" w:header="708" w:footer="708" w:gutter="0"/>
        </w:sectPr>
      </w:pPr>
    </w:p>
    <w:p>
      <w:pPr>
        <w:pStyle w:val="BodyText"/>
      </w:pPr>
      <w:r>
        <w:t xml:space="preserve">The five pools place FY2025 as follows. Pool 1, claims and benefits net of reinsurance, is R5 456m to R6 092m depending on the attributable carve-out. Pool 2, acquisition, is R982m on the expense view and R1 387m on the cash view, of which R774m is the bank fee and R613m is other commission and adviser remuneration. Pool 3, operating expense, is R2 905m to R3 941m, base R3 492m: R1 042m non-attributable, R363m to R999m attributable and R1 500m to R1 900m for the intermediary block. Pool 4 is immaterial at R7m to R13m. Pool 5 is R837m of economic cost of capital on segment equity of R5 540m at a 15.1 percent cost of equity, of which R0m to R129m sits above a target cover of 1.25 to 1.50†, plus R10m to R40m for one avoidable licence†.</w:t>
      </w:r>
    </w:p>
    <w:p>
      <w:pPr>
        <w:pStyle w:val="BodyText"/>
      </w:pPr>
      <w:r>
        <w:t xml:space="preserve">The addressable accounting base is pool 3 plus pool 2 excluding the bank fee plus pool 4: R3 524m low, R4 115m base, R4 566m high. Applying the precedent range of 6 to 13 percent gives R211m to R594m. Claims leakage at 1 to 3 percent of net claims adds R55m to R183m, reinsurance repricing at 5 to 15 percent of net cost adds R10m to R30m, and the total on accounting lines is R276m to R806m, base R505m. Cost to achieve at precedent multiples is R138m to R1 451m.</w:t>
      </w:r>
    </w:p>
    <w:bookmarkEnd w:id="27"/>
    <w:bookmarkEnd w:id="28"/>
    <w:bookmarkStart w:id="46" w:name="where-afs-stands-against-peers"/>
    <w:p>
      <w:pPr>
        <w:pStyle w:val="Heading2"/>
      </w:pPr>
      <w:r>
        <w:t xml:space="preserve">4. Where AFS stands against peers</w:t>
      </w:r>
    </w:p>
    <w:p>
      <w:pPr>
        <w:pStyle w:val="FirstParagraph"/>
      </w:pPr>
      <w:r>
        <w:t xml:space="preserve">The benchmark covers 29 entities across local bancassurers, local non-bank insurers, European bancassurers and bancassurers in Brazil, India and Malaysia. Four rules do the normalising. Accounting basis: IFRS 17 and MFRS 17 rows enter the medians; Brazilian GAAP, Indian GAAP and IFRS 4 rows are shown raw and excluded unless the metric is defined on gross written premium. Business mix: every row is tagged life, non-life or composite and AFS’s divisions are read against their own group. Distribution: captive and open rows are tagged, not adjusted, and the AFS acquisition ratio is shown with and without the bank fee. Allocation: the as-reported overhead measure is kept because it is what the market sees, but it is unreliable where peers allocate differently, so the comparable measure of total operating expenses excluding commission and claims is the one that carries the argument, and for AFS it rests on the attributable assumption. Société Générale Assurances is excluded for want of any retrievable disclosure.</w:t>
      </w:r>
    </w:p>
    <w:bookmarkStart w:id="32" w:name="overhead-by-division"/>
    <w:p>
      <w:pPr>
        <w:pStyle w:val="Heading3"/>
      </w:pPr>
      <w:r>
        <w:t xml:space="preserve">4.1 Overhead by division</w:t>
      </w:r>
    </w:p>
    <w:p>
      <w:pPr>
        <w:pStyle w:val="FirstParagraph"/>
      </w:pPr>
      <w:r>
        <w:t xml:space="preserve">Four comparisons carry the point of view. The first is the as-reported overhead by division. Insurance SA’s 11.5 percent sits above the composite median of 6.8 percent, and the whole of the gap is in the non-life book, at 12.3 percent against 3.8 percent, while Life SA at 4.0 percent sits below its peers’ 13.8 percent.</w:t>
      </w:r>
    </w:p>
    <w:p>
      <w:pPr>
        <w:pStyle w:val="CaptionedFigure"/>
      </w:pPr>
      <w:r>
        <w:drawing>
          <wp:inline>
            <wp:extent cx="5334000" cy="2750343"/>
            <wp:effectExtent b="0" l="0" r="0" t="0"/>
            <wp:docPr descr="Overhead by division against peer medians" title="" id="30" name="Picture"/>
            <a:graphic>
              <a:graphicData uri="http://schemas.openxmlformats.org/drawingml/2006/picture">
                <pic:pic>
                  <pic:nvPicPr>
                    <pic:cNvPr descr="/tmp/claude-0/-home-user-Letsema/5bd7a4d8-b1bc-595f-a913-9cd28c599586/scratchpad/pov/charts/c1_overhead.png" id="31" name="Picture"/>
                    <pic:cNvPicPr>
                      <a:picLocks noChangeArrowheads="1" noChangeAspect="1"/>
                    </pic:cNvPicPr>
                  </pic:nvPicPr>
                  <pic:blipFill>
                    <a:blip r:embed="rId29"/>
                    <a:stretch>
                      <a:fillRect/>
                    </a:stretch>
                  </pic:blipFill>
                  <pic:spPr bwMode="auto">
                    <a:xfrm>
                      <a:off x="0" y="0"/>
                      <a:ext cx="5334000" cy="2750343"/>
                    </a:xfrm>
                    <a:prstGeom prst="rect">
                      <a:avLst/>
                    </a:prstGeom>
                    <a:noFill/>
                    <a:ln w="9525">
                      <a:noFill/>
                      <a:headEnd/>
                      <a:tailEnd/>
                    </a:ln>
                  </pic:spPr>
                </pic:pic>
              </a:graphicData>
            </a:graphic>
          </wp:inline>
        </w:drawing>
      </w:r>
    </w:p>
    <w:p>
      <w:pPr>
        <w:pStyle w:val="ImageCaption"/>
      </w:pPr>
      <w:r>
        <w:t xml:space="preserve">Overhead by division against peer medians</w:t>
      </w:r>
    </w:p>
    <w:bookmarkEnd w:id="32"/>
    <w:bookmarkStart w:id="36" w:name="the-comparable-expense-ratio"/>
    <w:p>
      <w:pPr>
        <w:pStyle w:val="Heading3"/>
      </w:pPr>
      <w:r>
        <w:t xml:space="preserve">4.2 The comparable expense ratio</w:t>
      </w:r>
    </w:p>
    <w:p>
      <w:pPr>
        <w:pStyle w:val="FirstParagraph"/>
      </w:pPr>
      <w:r>
        <w:t xml:space="preserve">The second is the comparable ratio. With the attributable share assumed at 8 percent, AFS runs at 19.5 percent of revenue against a median of 22.1 percent across 15 IFRS 17 entities and a top quartile of 13.3 percent. AFS is at median on the comparable view, and R563m short of top quartile.</w:t>
      </w:r>
    </w:p>
    <w:p>
      <w:pPr>
        <w:pStyle w:val="CaptionedFigure"/>
      </w:pPr>
      <w:r>
        <w:drawing>
          <wp:inline>
            <wp:extent cx="5334000" cy="3167062"/>
            <wp:effectExtent b="0" l="0" r="0" t="0"/>
            <wp:docPr descr="Comparable expense ratio" title="" id="34" name="Picture"/>
            <a:graphic>
              <a:graphicData uri="http://schemas.openxmlformats.org/drawingml/2006/picture">
                <pic:pic>
                  <pic:nvPicPr>
                    <pic:cNvPr descr="/tmp/claude-0/-home-user-Letsema/5bd7a4d8-b1bc-595f-a913-9cd28c599586/scratchpad/pov/charts/c2_expense_ratio.png" id="35" name="Picture"/>
                    <pic:cNvPicPr>
                      <a:picLocks noChangeArrowheads="1" noChangeAspect="1"/>
                    </pic:cNvPicPr>
                  </pic:nvPicPr>
                  <pic:blipFill>
                    <a:blip r:embed="rId33"/>
                    <a:stretch>
                      <a:fillRect/>
                    </a:stretch>
                  </pic:blipFill>
                  <pic:spPr bwMode="auto">
                    <a:xfrm>
                      <a:off x="0" y="0"/>
                      <a:ext cx="5334000" cy="3167062"/>
                    </a:xfrm>
                    <a:prstGeom prst="rect">
                      <a:avLst/>
                    </a:prstGeom>
                    <a:noFill/>
                    <a:ln w="9525">
                      <a:noFill/>
                      <a:headEnd/>
                      <a:tailEnd/>
                    </a:ln>
                  </pic:spPr>
                </pic:pic>
              </a:graphicData>
            </a:graphic>
          </wp:inline>
        </w:drawing>
      </w:r>
    </w:p>
    <w:p>
      <w:pPr>
        <w:pStyle w:val="ImageCaption"/>
      </w:pPr>
      <w:r>
        <w:t xml:space="preserve">Comparable expense ratio</w:t>
      </w:r>
    </w:p>
    <w:bookmarkEnd w:id="36"/>
    <w:bookmarkStart w:id="40" w:name="Xbe5bedae10f53927402e88d7e780464058bd463"/>
    <w:p>
      <w:pPr>
        <w:pStyle w:val="Heading3"/>
      </w:pPr>
      <w:r>
        <w:t xml:space="preserve">4.3 Acquisition cost with and without the bank fee</w:t>
      </w:r>
    </w:p>
    <w:p>
      <w:pPr>
        <w:pStyle w:val="FirstParagraph"/>
      </w:pPr>
      <w:r>
        <w:t xml:space="preserve">The third is acquisition. Including the bank fee, AFS acquires at 10.8 percent of revenue on the amortised view and 15.3 percent on the cash view against a composite median of 10.6 percent. Excluding the fee, the cash ratio is 6.7 percent, at the composite top quartile of 6.5 percent. The savings-heavy European books, whose commissions ride unit-linked volumes, are excluded from the median.</w:t>
      </w:r>
    </w:p>
    <w:p>
      <w:pPr>
        <w:pStyle w:val="CaptionedFigure"/>
      </w:pPr>
      <w:r>
        <w:drawing>
          <wp:inline>
            <wp:extent cx="5334000" cy="2833687"/>
            <wp:effectExtent b="0" l="0" r="0" t="0"/>
            <wp:docPr descr="Acquisition cost views" title="" id="38" name="Picture"/>
            <a:graphic>
              <a:graphicData uri="http://schemas.openxmlformats.org/drawingml/2006/picture">
                <pic:pic>
                  <pic:nvPicPr>
                    <pic:cNvPr descr="/tmp/claude-0/-home-user-Letsema/5bd7a4d8-b1bc-595f-a913-9cd28c599586/scratchpad/pov/charts/c3_acquisition.png" id="39" name="Picture"/>
                    <pic:cNvPicPr>
                      <a:picLocks noChangeArrowheads="1" noChangeAspect="1"/>
                    </pic:cNvPicPr>
                  </pic:nvPicPr>
                  <pic:blipFill>
                    <a:blip r:embed="rId37"/>
                    <a:stretch>
                      <a:fillRect/>
                    </a:stretch>
                  </pic:blipFill>
                  <pic:spPr bwMode="auto">
                    <a:xfrm>
                      <a:off x="0" y="0"/>
                      <a:ext cx="5334000" cy="2833687"/>
                    </a:xfrm>
                    <a:prstGeom prst="rect">
                      <a:avLst/>
                    </a:prstGeom>
                    <a:noFill/>
                    <a:ln w="9525">
                      <a:noFill/>
                      <a:headEnd/>
                      <a:tailEnd/>
                    </a:ln>
                  </pic:spPr>
                </pic:pic>
              </a:graphicData>
            </a:graphic>
          </wp:inline>
        </w:drawing>
      </w:r>
    </w:p>
    <w:p>
      <w:pPr>
        <w:pStyle w:val="ImageCaption"/>
      </w:pPr>
      <w:r>
        <w:t xml:space="preserve">Acquisition cost views</w:t>
      </w:r>
    </w:p>
    <w:bookmarkEnd w:id="40"/>
    <w:bookmarkStart w:id="44" w:name="X5a39ea6772b4af17f05741f9274f45bc79a8aec"/>
    <w:p>
      <w:pPr>
        <w:pStyle w:val="Heading3"/>
      </w:pPr>
      <w:r>
        <w:t xml:space="preserve">4.4 The non-life combined ratio before and after overhead</w:t>
      </w:r>
    </w:p>
    <w:p>
      <w:pPr>
        <w:pStyle w:val="FirstParagraph"/>
      </w:pPr>
      <w:r>
        <w:t xml:space="preserve">The fourth is the combined ratio. Before non-attributable expenses, Non-Life SA runs at 81.5 percent against a South African non-life median of 89.5 percent, the best in the set. Including non-attributable expenses it is 93.8 percent against 93.0 percent. Twelve points of overhead sit between a best-in-set underwriter and a mid-pack insurer.</w:t>
      </w:r>
    </w:p>
    <w:p>
      <w:pPr>
        <w:pStyle w:val="CaptionedFigure"/>
      </w:pPr>
      <w:r>
        <w:drawing>
          <wp:inline>
            <wp:extent cx="5334000" cy="2917031"/>
            <wp:effectExtent b="0" l="0" r="0" t="0"/>
            <wp:docPr descr="Combined ratio before and after overhead" title="" id="42" name="Picture"/>
            <a:graphic>
              <a:graphicData uri="http://schemas.openxmlformats.org/drawingml/2006/picture">
                <pic:pic>
                  <pic:nvPicPr>
                    <pic:cNvPr descr="/tmp/claude-0/-home-user-Letsema/5bd7a4d8-b1bc-595f-a913-9cd28c599586/scratchpad/pov/charts/c4_combined.png" id="43" name="Picture"/>
                    <pic:cNvPicPr>
                      <a:picLocks noChangeArrowheads="1" noChangeAspect="1"/>
                    </pic:cNvPicPr>
                  </pic:nvPicPr>
                  <pic:blipFill>
                    <a:blip r:embed="rId41"/>
                    <a:stretch>
                      <a:fillRect/>
                    </a:stretch>
                  </pic:blipFill>
                  <pic:spPr bwMode="auto">
                    <a:xfrm>
                      <a:off x="0" y="0"/>
                      <a:ext cx="5334000" cy="2917031"/>
                    </a:xfrm>
                    <a:prstGeom prst="rect">
                      <a:avLst/>
                    </a:prstGeom>
                    <a:noFill/>
                    <a:ln w="9525">
                      <a:noFill/>
                      <a:headEnd/>
                      <a:tailEnd/>
                    </a:ln>
                  </pic:spPr>
                </pic:pic>
              </a:graphicData>
            </a:graphic>
          </wp:inline>
        </w:drawing>
      </w:r>
    </w:p>
    <w:p>
      <w:pPr>
        <w:pStyle w:val="ImageCaption"/>
      </w:pPr>
      <w:r>
        <w:t xml:space="preserve">Combined ratio before and after overhead</w:t>
      </w:r>
    </w:p>
    <w:p>
      <w:pPr>
        <w:pStyle w:val="BodyText"/>
        <w:sectPr>
          <w:pgSz w:w="11906" w:h="16838"/>
          <w:pgMar w:top="1134" w:right="1418" w:bottom="1134" w:left="1418" w:header="708" w:footer="708" w:gutter="0"/>
        </w:sectPr>
      </w:pPr>
    </w:p>
    <w:bookmarkEnd w:id="44"/>
    <w:bookmarkStart w:id="45" w:name="Xaeda9e7ef24e964196337ce9eeafa6c2060ad71"/>
    <w:p>
      <w:pPr>
        <w:pStyle w:val="Heading3"/>
      </w:pPr>
      <w:r>
        <w:t xml:space="preserve">4.5 Summary statistics and gap to median and top quartile</w:t>
      </w:r>
    </w:p>
    <w:tbl>
      <w:tblPr>
        <w:tblStyle w:val="Table"/>
        <w:tblLook w:firstRow="1" w:lastRow="0" w:firstColumn="0" w:lastColumn="0" w:noHBand="0" w:noVBand="0" w:val="0020"/>
        <w:jc w:val="start"/>
        <w:tblW w:w="8118" w:type="dxa"/>
        <w:tblLayout w:type="fixed"/>
      </w:tblPr>
      <w:tblGrid>
        <w:gridCol w:w="702"/>
        <w:gridCol w:w="990"/>
        <w:gridCol w:w="702"/>
        <w:gridCol w:w="558"/>
        <w:gridCol w:w="774"/>
        <w:gridCol w:w="1494"/>
        <w:gridCol w:w="774"/>
        <w:gridCol w:w="1206"/>
        <w:gridCol w:w="918"/>
      </w:tblGrid>
      <w:tr>
        <w:trPr>
          <w:tblHeader w:val="true"/>
        </w:trPr>
        <w:tc>
          <w:tcPr>
            <w:tcW w:w="702" w:type="dxa"/>
          </w:tcPr>
          <w:p>
            <w:pPr>
              <w:pStyle w:val="Compact"/>
              <w:jc w:val="left"/>
              <w:spacing w:before="20" w:after="20" w:line="220" w:lineRule="auto"/>
            </w:pPr>
            <w:r>
              <w:rPr>
                <w:sz w:val="13"/>
                <w:szCs w:val="13"/>
              </w:rPr>
              <w:t xml:space="preserve">Metric</w:t>
            </w:r>
          </w:p>
        </w:tc>
        <w:tc>
          <w:tcPr>
            <w:tcW w:w="990" w:type="dxa"/>
          </w:tcPr>
          <w:p>
            <w:pPr>
              <w:pStyle w:val="Compact"/>
              <w:jc w:val="left"/>
              <w:spacing w:before="20" w:after="20" w:line="220" w:lineRule="auto"/>
            </w:pPr>
            <w:r>
              <w:rPr>
                <w:sz w:val="13"/>
                <w:szCs w:val="13"/>
              </w:rPr>
              <w:t xml:space="preserve">Peer group</w:t>
            </w:r>
          </w:p>
        </w:tc>
        <w:tc>
          <w:tcPr>
            <w:tcW w:w="702" w:type="dxa"/>
          </w:tcPr>
          <w:p>
            <w:pPr>
              <w:pStyle w:val="Compact"/>
              <w:jc w:val="left"/>
              <w:spacing w:before="20" w:after="20" w:line="220" w:lineRule="auto"/>
            </w:pPr>
            <w:r>
              <w:rPr>
                <w:sz w:val="13"/>
                <w:szCs w:val="13"/>
              </w:rPr>
              <w:t xml:space="preserve">AFS</w:t>
            </w:r>
          </w:p>
        </w:tc>
        <w:tc>
          <w:tcPr>
            <w:tcW w:w="558" w:type="dxa"/>
          </w:tcPr>
          <w:p>
            <w:pPr>
              <w:pStyle w:val="Compact"/>
              <w:jc w:val="left"/>
              <w:spacing w:before="20" w:after="20" w:line="220" w:lineRule="auto"/>
            </w:pPr>
            <w:r>
              <w:rPr>
                <w:sz w:val="13"/>
                <w:szCs w:val="13"/>
              </w:rPr>
              <w:t xml:space="preserve">n</w:t>
            </w:r>
          </w:p>
        </w:tc>
        <w:tc>
          <w:tcPr>
            <w:tcW w:w="774" w:type="dxa"/>
          </w:tcPr>
          <w:p>
            <w:pPr>
              <w:pStyle w:val="Compact"/>
              <w:jc w:val="left"/>
              <w:spacing w:before="20" w:after="20" w:line="220" w:lineRule="auto"/>
            </w:pPr>
            <w:r>
              <w:rPr>
                <w:sz w:val="13"/>
                <w:szCs w:val="13"/>
              </w:rPr>
              <w:t xml:space="preserve">Median</w:t>
            </w:r>
          </w:p>
        </w:tc>
        <w:tc>
          <w:tcPr>
            <w:tcW w:w="1494" w:type="dxa"/>
          </w:tcPr>
          <w:p>
            <w:pPr>
              <w:pStyle w:val="Compact"/>
              <w:jc w:val="left"/>
              <w:spacing w:before="20" w:after="20" w:line="220" w:lineRule="auto"/>
            </w:pPr>
            <w:r>
              <w:rPr>
                <w:sz w:val="13"/>
                <w:szCs w:val="13"/>
              </w:rPr>
              <w:t xml:space="preserve">Top quartile (Q1)</w:t>
            </w:r>
          </w:p>
        </w:tc>
        <w:tc>
          <w:tcPr>
            <w:tcW w:w="774" w:type="dxa"/>
          </w:tcPr>
          <w:p>
            <w:pPr>
              <w:pStyle w:val="Compact"/>
              <w:jc w:val="left"/>
              <w:spacing w:before="20" w:after="20" w:line="220" w:lineRule="auto"/>
            </w:pPr>
            <w:r>
              <w:rPr>
                <w:sz w:val="13"/>
                <w:szCs w:val="13"/>
              </w:rPr>
              <w:t xml:space="preserve">Q3</w:t>
            </w:r>
          </w:p>
        </w:tc>
        <w:tc>
          <w:tcPr>
            <w:tcW w:w="1206" w:type="dxa"/>
          </w:tcPr>
          <w:p>
            <w:pPr>
              <w:pStyle w:val="Compact"/>
              <w:jc w:val="left"/>
              <w:spacing w:before="20" w:after="20" w:line="220" w:lineRule="auto"/>
            </w:pPr>
            <w:r>
              <w:rPr>
                <w:sz w:val="13"/>
                <w:szCs w:val="13"/>
              </w:rPr>
              <w:t xml:space="preserve">Gap to median</w:t>
            </w:r>
          </w:p>
        </w:tc>
        <w:tc>
          <w:tcPr>
            <w:tcW w:w="918" w:type="dxa"/>
          </w:tcPr>
          <w:p>
            <w:pPr>
              <w:pStyle w:val="Compact"/>
              <w:jc w:val="left"/>
              <w:spacing w:before="20" w:after="20" w:line="220" w:lineRule="auto"/>
            </w:pPr>
            <w:r>
              <w:rPr>
                <w:sz w:val="13"/>
                <w:szCs w:val="13"/>
              </w:rPr>
              <w:t xml:space="preserve">Gap to Q1</w:t>
            </w:r>
          </w:p>
        </w:tc>
      </w:tr>
      <w:tr>
        <w:tc>
          <w:tcPr>
            <w:tcW w:w="702" w:type="dxa"/>
          </w:tcPr>
          <w:p>
            <w:pPr>
              <w:pStyle w:val="Compact"/>
              <w:jc w:val="left"/>
              <w:spacing w:before="20" w:after="20" w:line="220" w:lineRule="auto"/>
            </w:pPr>
            <w:r>
              <w:rPr>
                <w:sz w:val="13"/>
                <w:szCs w:val="13"/>
              </w:rPr>
              <w:t xml:space="preserve">M1</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jc w:val="left"/>
              <w:spacing w:before="20" w:after="20" w:line="220" w:lineRule="auto"/>
            </w:pPr>
            <w:r>
              <w:rPr>
                <w:sz w:val="13"/>
                <w:szCs w:val="13"/>
              </w:rPr>
              <w:t xml:space="preserve">11.5%</w:t>
            </w:r>
          </w:p>
        </w:tc>
        <w:tc>
          <w:tcPr>
            <w:tcW w:w="558" w:type="dxa"/>
          </w:tcPr>
          <w:p>
            <w:pPr>
              <w:pStyle w:val="Compact"/>
              <w:jc w:val="left"/>
              <w:spacing w:before="20" w:after="20" w:line="220" w:lineRule="auto"/>
            </w:pPr>
            <w:r>
              <w:rPr>
                <w:sz w:val="13"/>
                <w:szCs w:val="13"/>
              </w:rPr>
              <w:t xml:space="preserve">29</w:t>
            </w:r>
          </w:p>
        </w:tc>
        <w:tc>
          <w:tcPr>
            <w:tcW w:w="774" w:type="dxa"/>
          </w:tcPr>
          <w:p>
            <w:pPr>
              <w:pStyle w:val="Compact"/>
              <w:jc w:val="left"/>
              <w:spacing w:before="20" w:after="20" w:line="220" w:lineRule="auto"/>
            </w:pPr>
            <w:r>
              <w:rPr>
                <w:sz w:val="13"/>
                <w:szCs w:val="13"/>
              </w:rPr>
              <w:t xml:space="preserve">6.8%</w:t>
            </w:r>
          </w:p>
        </w:tc>
        <w:tc>
          <w:tcPr>
            <w:tcW w:w="1494" w:type="dxa"/>
          </w:tcPr>
          <w:p>
            <w:pPr>
              <w:pStyle w:val="Compact"/>
              <w:jc w:val="left"/>
              <w:spacing w:before="20" w:after="20" w:line="220" w:lineRule="auto"/>
            </w:pPr>
            <w:r>
              <w:rPr>
                <w:sz w:val="13"/>
                <w:szCs w:val="13"/>
              </w:rPr>
              <w:t xml:space="preserve">3.3%</w:t>
            </w:r>
          </w:p>
        </w:tc>
        <w:tc>
          <w:tcPr>
            <w:tcW w:w="774" w:type="dxa"/>
          </w:tcPr>
          <w:p>
            <w:pPr>
              <w:pStyle w:val="Compact"/>
              <w:jc w:val="left"/>
              <w:spacing w:before="20" w:after="20" w:line="220" w:lineRule="auto"/>
            </w:pPr>
            <w:r>
              <w:rPr>
                <w:sz w:val="13"/>
                <w:szCs w:val="13"/>
              </w:rPr>
              <w:t xml:space="preserve">20.6%</w:t>
            </w:r>
          </w:p>
        </w:tc>
        <w:tc>
          <w:tcPr>
            <w:tcW w:w="1206" w:type="dxa"/>
          </w:tcPr>
          <w:p>
            <w:pPr>
              <w:pStyle w:val="Compact"/>
              <w:jc w:val="left"/>
              <w:spacing w:before="20" w:after="20" w:line="220" w:lineRule="auto"/>
            </w:pPr>
            <w:r>
              <w:rPr>
                <w:sz w:val="13"/>
                <w:szCs w:val="13"/>
              </w:rPr>
              <w:t xml:space="preserve">4.6%</w:t>
            </w:r>
          </w:p>
        </w:tc>
        <w:tc>
          <w:tcPr>
            <w:tcW w:w="918" w:type="dxa"/>
          </w:tcPr>
          <w:p>
            <w:pPr>
              <w:pStyle w:val="Compact"/>
              <w:jc w:val="left"/>
              <w:spacing w:before="20" w:after="20" w:line="220" w:lineRule="auto"/>
            </w:pPr>
            <w:r>
              <w:rPr>
                <w:sz w:val="13"/>
                <w:szCs w:val="13"/>
              </w:rPr>
              <w:t xml:space="preserve">8.2%</w:t>
            </w:r>
          </w:p>
        </w:tc>
      </w:tr>
      <w:tr>
        <w:tc>
          <w:tcPr>
            <w:tcW w:w="702" w:type="dxa"/>
          </w:tcPr>
          <w:p>
            <w:pPr>
              <w:pStyle w:val="Compact"/>
              <w:jc w:val="left"/>
              <w:spacing w:before="20" w:after="20" w:line="220" w:lineRule="auto"/>
            </w:pPr>
            <w:r>
              <w:rPr>
                <w:sz w:val="13"/>
                <w:szCs w:val="13"/>
              </w:rPr>
              <w:t xml:space="preserve">M1</w:t>
            </w:r>
          </w:p>
        </w:tc>
        <w:tc>
          <w:tcPr>
            <w:tcW w:w="990" w:type="dxa"/>
          </w:tcPr>
          <w:p>
            <w:pPr>
              <w:pStyle w:val="Compact"/>
              <w:jc w:val="left"/>
              <w:spacing w:before="20" w:after="20" w:line="220" w:lineRule="auto"/>
            </w:pPr>
            <w:r>
              <w:rPr>
                <w:sz w:val="13"/>
                <w:szCs w:val="13"/>
              </w:rPr>
              <w:t xml:space="preserve">life</w:t>
            </w:r>
          </w:p>
        </w:tc>
        <w:tc>
          <w:tcPr>
            <w:tcW w:w="702" w:type="dxa"/>
          </w:tcPr>
          <w:p>
            <w:pPr>
              <w:pStyle w:val="Compact"/>
              <w:jc w:val="left"/>
              <w:spacing w:before="20" w:after="20" w:line="220" w:lineRule="auto"/>
            </w:pPr>
            <w:r>
              <w:rPr>
                <w:sz w:val="13"/>
                <w:szCs w:val="13"/>
              </w:rPr>
              <w:t xml:space="preserve">4.0%</w:t>
            </w:r>
          </w:p>
        </w:tc>
        <w:tc>
          <w:tcPr>
            <w:tcW w:w="558" w:type="dxa"/>
          </w:tcPr>
          <w:p>
            <w:pPr>
              <w:pStyle w:val="Compact"/>
              <w:jc w:val="left"/>
              <w:spacing w:before="20" w:after="20" w:line="220" w:lineRule="auto"/>
            </w:pPr>
            <w:r>
              <w:rPr>
                <w:sz w:val="13"/>
                <w:szCs w:val="13"/>
              </w:rPr>
              <w:t xml:space="preserve">12</w:t>
            </w:r>
          </w:p>
        </w:tc>
        <w:tc>
          <w:tcPr>
            <w:tcW w:w="774" w:type="dxa"/>
          </w:tcPr>
          <w:p>
            <w:pPr>
              <w:pStyle w:val="Compact"/>
              <w:jc w:val="left"/>
              <w:spacing w:before="20" w:after="20" w:line="220" w:lineRule="auto"/>
            </w:pPr>
            <w:r>
              <w:rPr>
                <w:sz w:val="13"/>
                <w:szCs w:val="13"/>
              </w:rPr>
              <w:t xml:space="preserve">13.8%</w:t>
            </w:r>
          </w:p>
        </w:tc>
        <w:tc>
          <w:tcPr>
            <w:tcW w:w="1494" w:type="dxa"/>
          </w:tcPr>
          <w:p>
            <w:pPr>
              <w:pStyle w:val="Compact"/>
              <w:jc w:val="left"/>
              <w:spacing w:before="20" w:after="20" w:line="220" w:lineRule="auto"/>
            </w:pPr>
            <w:r>
              <w:rPr>
                <w:sz w:val="13"/>
                <w:szCs w:val="13"/>
              </w:rPr>
              <w:t xml:space="preserve">4.2%</w:t>
            </w:r>
          </w:p>
        </w:tc>
        <w:tc>
          <w:tcPr>
            <w:tcW w:w="774" w:type="dxa"/>
          </w:tcPr>
          <w:p>
            <w:pPr>
              <w:pStyle w:val="Compact"/>
              <w:jc w:val="left"/>
              <w:spacing w:before="20" w:after="20" w:line="220" w:lineRule="auto"/>
            </w:pPr>
            <w:r>
              <w:rPr>
                <w:sz w:val="13"/>
                <w:szCs w:val="13"/>
              </w:rPr>
              <w:t xml:space="preserve">28.0%</w:t>
            </w:r>
          </w:p>
        </w:tc>
        <w:tc>
          <w:tcPr>
            <w:tcW w:w="1206" w:type="dxa"/>
          </w:tcPr>
          <w:p>
            <w:pPr>
              <w:pStyle w:val="Compact"/>
              <w:jc w:val="left"/>
              <w:spacing w:before="20" w:after="20" w:line="220" w:lineRule="auto"/>
            </w:pPr>
            <w:r>
              <w:rPr>
                <w:sz w:val="13"/>
                <w:szCs w:val="13"/>
              </w:rPr>
              <w:t xml:space="preserve">-9.8%</w:t>
            </w:r>
          </w:p>
        </w:tc>
        <w:tc>
          <w:tcPr>
            <w:tcW w:w="918" w:type="dxa"/>
          </w:tcPr>
          <w:p>
            <w:pPr>
              <w:pStyle w:val="Compact"/>
              <w:jc w:val="left"/>
              <w:spacing w:before="20" w:after="20" w:line="220" w:lineRule="auto"/>
            </w:pPr>
            <w:r>
              <w:rPr>
                <w:sz w:val="13"/>
                <w:szCs w:val="13"/>
              </w:rPr>
              <w:t xml:space="preserve">-0.2%</w:t>
            </w:r>
          </w:p>
        </w:tc>
      </w:tr>
      <w:tr>
        <w:tc>
          <w:tcPr>
            <w:tcW w:w="702" w:type="dxa"/>
          </w:tcPr>
          <w:p>
            <w:pPr>
              <w:pStyle w:val="Compact"/>
              <w:jc w:val="left"/>
              <w:spacing w:before="20" w:after="20" w:line="220" w:lineRule="auto"/>
            </w:pPr>
            <w:r>
              <w:rPr>
                <w:sz w:val="13"/>
                <w:szCs w:val="13"/>
              </w:rPr>
              <w:t xml:space="preserve">M1</w:t>
            </w:r>
          </w:p>
        </w:tc>
        <w:tc>
          <w:tcPr>
            <w:tcW w:w="990" w:type="dxa"/>
          </w:tcPr>
          <w:p>
            <w:pPr>
              <w:pStyle w:val="Compact"/>
              <w:jc w:val="left"/>
              <w:spacing w:before="20" w:after="20" w:line="220" w:lineRule="auto"/>
            </w:pPr>
            <w:r>
              <w:rPr>
                <w:sz w:val="13"/>
                <w:szCs w:val="13"/>
              </w:rPr>
              <w:t xml:space="preserve">nonlife</w:t>
            </w:r>
          </w:p>
        </w:tc>
        <w:tc>
          <w:tcPr>
            <w:tcW w:w="702" w:type="dxa"/>
          </w:tcPr>
          <w:p>
            <w:pPr>
              <w:pStyle w:val="Compact"/>
              <w:jc w:val="left"/>
              <w:spacing w:before="20" w:after="20" w:line="220" w:lineRule="auto"/>
            </w:pPr>
            <w:r>
              <w:rPr>
                <w:sz w:val="13"/>
                <w:szCs w:val="13"/>
              </w:rPr>
              <w:t xml:space="preserve">12.3%</w:t>
            </w:r>
          </w:p>
        </w:tc>
        <w:tc>
          <w:tcPr>
            <w:tcW w:w="558" w:type="dxa"/>
          </w:tcPr>
          <w:p>
            <w:pPr>
              <w:pStyle w:val="Compact"/>
              <w:jc w:val="left"/>
              <w:spacing w:before="20" w:after="20" w:line="220" w:lineRule="auto"/>
            </w:pPr>
            <w:r>
              <w:rPr>
                <w:sz w:val="13"/>
                <w:szCs w:val="13"/>
              </w:rPr>
              <w:t xml:space="preserve">8</w:t>
            </w:r>
          </w:p>
        </w:tc>
        <w:tc>
          <w:tcPr>
            <w:tcW w:w="774" w:type="dxa"/>
          </w:tcPr>
          <w:p>
            <w:pPr>
              <w:pStyle w:val="Compact"/>
              <w:jc w:val="left"/>
              <w:spacing w:before="20" w:after="20" w:line="220" w:lineRule="auto"/>
            </w:pPr>
            <w:r>
              <w:rPr>
                <w:sz w:val="13"/>
                <w:szCs w:val="13"/>
              </w:rPr>
              <w:t xml:space="preserve">3.8%</w:t>
            </w:r>
          </w:p>
        </w:tc>
        <w:tc>
          <w:tcPr>
            <w:tcW w:w="1494" w:type="dxa"/>
          </w:tcPr>
          <w:p>
            <w:pPr>
              <w:pStyle w:val="Compact"/>
              <w:jc w:val="left"/>
              <w:spacing w:before="20" w:after="20" w:line="220" w:lineRule="auto"/>
            </w:pPr>
            <w:r>
              <w:rPr>
                <w:sz w:val="13"/>
                <w:szCs w:val="13"/>
              </w:rPr>
              <w:t xml:space="preserve">3.0%</w:t>
            </w:r>
          </w:p>
        </w:tc>
        <w:tc>
          <w:tcPr>
            <w:tcW w:w="774" w:type="dxa"/>
          </w:tcPr>
          <w:p>
            <w:pPr>
              <w:pStyle w:val="Compact"/>
              <w:jc w:val="left"/>
              <w:spacing w:before="20" w:after="20" w:line="220" w:lineRule="auto"/>
            </w:pPr>
            <w:r>
              <w:rPr>
                <w:sz w:val="13"/>
                <w:szCs w:val="13"/>
              </w:rPr>
              <w:t xml:space="preserve">4.9%</w:t>
            </w:r>
          </w:p>
        </w:tc>
        <w:tc>
          <w:tcPr>
            <w:tcW w:w="1206" w:type="dxa"/>
          </w:tcPr>
          <w:p>
            <w:pPr>
              <w:pStyle w:val="Compact"/>
              <w:jc w:val="left"/>
              <w:spacing w:before="20" w:after="20" w:line="220" w:lineRule="auto"/>
            </w:pPr>
            <w:r>
              <w:rPr>
                <w:sz w:val="13"/>
                <w:szCs w:val="13"/>
              </w:rPr>
              <w:t xml:space="preserve">8.5%</w:t>
            </w:r>
          </w:p>
        </w:tc>
        <w:tc>
          <w:tcPr>
            <w:tcW w:w="918" w:type="dxa"/>
          </w:tcPr>
          <w:p>
            <w:pPr>
              <w:pStyle w:val="Compact"/>
              <w:jc w:val="left"/>
              <w:spacing w:before="20" w:after="20" w:line="220" w:lineRule="auto"/>
            </w:pPr>
            <w:r>
              <w:rPr>
                <w:sz w:val="13"/>
                <w:szCs w:val="13"/>
              </w:rPr>
              <w:t xml:space="preserve">9.3%</w:t>
            </w:r>
          </w:p>
        </w:tc>
      </w:tr>
      <w:tr>
        <w:tc>
          <w:tcPr>
            <w:tcW w:w="702" w:type="dxa"/>
          </w:tcPr>
          <w:p>
            <w:pPr>
              <w:pStyle w:val="Compact"/>
              <w:jc w:val="left"/>
              <w:spacing w:before="20" w:after="20" w:line="220" w:lineRule="auto"/>
            </w:pPr>
            <w:r>
              <w:rPr>
                <w:sz w:val="13"/>
                <w:szCs w:val="13"/>
              </w:rPr>
              <w:t xml:space="preserve">M1</w:t>
            </w:r>
          </w:p>
        </w:tc>
        <w:tc>
          <w:tcPr>
            <w:tcW w:w="990" w:type="dxa"/>
          </w:tcPr>
          <w:p>
            <w:pPr>
              <w:pStyle w:val="Compact"/>
              <w:jc w:val="left"/>
              <w:spacing w:before="20" w:after="20" w:line="220" w:lineRule="auto"/>
            </w:pPr>
            <w:r>
              <w:rPr>
                <w:sz w:val="13"/>
                <w:szCs w:val="13"/>
              </w:rPr>
              <w:t xml:space="preserve">composite</w:t>
            </w:r>
          </w:p>
        </w:tc>
        <w:tc>
          <w:tcPr>
            <w:tcW w:w="702" w:type="dxa"/>
          </w:tcPr>
          <w:p>
            <w:pPr>
              <w:pStyle w:val="Compact"/>
              <w:jc w:val="left"/>
              <w:spacing w:before="20" w:after="20" w:line="220" w:lineRule="auto"/>
            </w:pPr>
            <w:r>
              <w:rPr>
                <w:sz w:val="13"/>
                <w:szCs w:val="13"/>
              </w:rPr>
              <w:t xml:space="preserve">11.5%</w:t>
            </w:r>
          </w:p>
        </w:tc>
        <w:tc>
          <w:tcPr>
            <w:tcW w:w="558" w:type="dxa"/>
          </w:tcPr>
          <w:p>
            <w:pPr>
              <w:pStyle w:val="Compact"/>
              <w:jc w:val="left"/>
              <w:spacing w:before="20" w:after="20" w:line="220" w:lineRule="auto"/>
            </w:pPr>
            <w:r>
              <w:rPr>
                <w:sz w:val="13"/>
                <w:szCs w:val="13"/>
              </w:rPr>
              <w:t xml:space="preserve">9</w:t>
            </w:r>
          </w:p>
        </w:tc>
        <w:tc>
          <w:tcPr>
            <w:tcW w:w="774" w:type="dxa"/>
          </w:tcPr>
          <w:p>
            <w:pPr>
              <w:pStyle w:val="Compact"/>
              <w:jc w:val="left"/>
              <w:spacing w:before="20" w:after="20" w:line="220" w:lineRule="auto"/>
            </w:pPr>
            <w:r>
              <w:rPr>
                <w:sz w:val="13"/>
                <w:szCs w:val="13"/>
              </w:rPr>
              <w:t xml:space="preserve">6.8%</w:t>
            </w:r>
          </w:p>
        </w:tc>
        <w:tc>
          <w:tcPr>
            <w:tcW w:w="1494" w:type="dxa"/>
          </w:tcPr>
          <w:p>
            <w:pPr>
              <w:pStyle w:val="Compact"/>
              <w:jc w:val="left"/>
              <w:spacing w:before="20" w:after="20" w:line="220" w:lineRule="auto"/>
            </w:pPr>
            <w:r>
              <w:rPr>
                <w:sz w:val="13"/>
                <w:szCs w:val="13"/>
              </w:rPr>
              <w:t xml:space="preserve">3.9%</w:t>
            </w:r>
          </w:p>
        </w:tc>
        <w:tc>
          <w:tcPr>
            <w:tcW w:w="774" w:type="dxa"/>
          </w:tcPr>
          <w:p>
            <w:pPr>
              <w:pStyle w:val="Compact"/>
              <w:jc w:val="left"/>
              <w:spacing w:before="20" w:after="20" w:line="220" w:lineRule="auto"/>
            </w:pPr>
            <w:r>
              <w:rPr>
                <w:sz w:val="13"/>
                <w:szCs w:val="13"/>
              </w:rPr>
              <w:t xml:space="preserve">23.2%</w:t>
            </w:r>
          </w:p>
        </w:tc>
        <w:tc>
          <w:tcPr>
            <w:tcW w:w="1206" w:type="dxa"/>
          </w:tcPr>
          <w:p>
            <w:pPr>
              <w:pStyle w:val="Compact"/>
              <w:jc w:val="left"/>
              <w:spacing w:before="20" w:after="20" w:line="220" w:lineRule="auto"/>
            </w:pPr>
            <w:r>
              <w:rPr>
                <w:sz w:val="13"/>
                <w:szCs w:val="13"/>
              </w:rPr>
              <w:t xml:space="preserve">4.6%</w:t>
            </w:r>
          </w:p>
        </w:tc>
        <w:tc>
          <w:tcPr>
            <w:tcW w:w="918" w:type="dxa"/>
          </w:tcPr>
          <w:p>
            <w:pPr>
              <w:pStyle w:val="Compact"/>
              <w:jc w:val="left"/>
              <w:spacing w:before="20" w:after="20" w:line="220" w:lineRule="auto"/>
            </w:pPr>
            <w:r>
              <w:rPr>
                <w:sz w:val="13"/>
                <w:szCs w:val="13"/>
              </w:rPr>
              <w:t xml:space="preserve">7.6%</w:t>
            </w:r>
          </w:p>
        </w:tc>
      </w:tr>
      <w:tr>
        <w:tc>
          <w:tcPr>
            <w:tcW w:w="702" w:type="dxa"/>
          </w:tcPr>
          <w:p>
            <w:pPr>
              <w:pStyle w:val="Compact"/>
              <w:jc w:val="left"/>
              <w:spacing w:before="20" w:after="20" w:line="220" w:lineRule="auto"/>
            </w:pPr>
            <w:r>
              <w:rPr>
                <w:sz w:val="13"/>
                <w:szCs w:val="13"/>
              </w:rPr>
              <w:t xml:space="preserve">M2</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jc w:val="left"/>
              <w:spacing w:before="20" w:after="20" w:line="220" w:lineRule="auto"/>
            </w:pPr>
            <w:r>
              <w:rPr>
                <w:sz w:val="13"/>
                <w:szCs w:val="13"/>
              </w:rPr>
              <w:t xml:space="preserve">19.5%</w:t>
            </w:r>
          </w:p>
        </w:tc>
        <w:tc>
          <w:tcPr>
            <w:tcW w:w="558" w:type="dxa"/>
          </w:tcPr>
          <w:p>
            <w:pPr>
              <w:pStyle w:val="Compact"/>
              <w:jc w:val="left"/>
              <w:spacing w:before="20" w:after="20" w:line="220" w:lineRule="auto"/>
            </w:pPr>
            <w:r>
              <w:rPr>
                <w:sz w:val="13"/>
                <w:szCs w:val="13"/>
              </w:rPr>
              <w:t xml:space="preserve">15</w:t>
            </w:r>
          </w:p>
        </w:tc>
        <w:tc>
          <w:tcPr>
            <w:tcW w:w="774" w:type="dxa"/>
          </w:tcPr>
          <w:p>
            <w:pPr>
              <w:pStyle w:val="Compact"/>
              <w:jc w:val="left"/>
              <w:spacing w:before="20" w:after="20" w:line="220" w:lineRule="auto"/>
            </w:pPr>
            <w:r>
              <w:rPr>
                <w:sz w:val="13"/>
                <w:szCs w:val="13"/>
              </w:rPr>
              <w:t xml:space="preserve">22.0%</w:t>
            </w:r>
          </w:p>
        </w:tc>
        <w:tc>
          <w:tcPr>
            <w:tcW w:w="1494" w:type="dxa"/>
          </w:tcPr>
          <w:p>
            <w:pPr>
              <w:pStyle w:val="Compact"/>
              <w:jc w:val="left"/>
              <w:spacing w:before="20" w:after="20" w:line="220" w:lineRule="auto"/>
            </w:pPr>
            <w:r>
              <w:rPr>
                <w:sz w:val="13"/>
                <w:szCs w:val="13"/>
              </w:rPr>
              <w:t xml:space="preserve">13.3%</w:t>
            </w:r>
          </w:p>
        </w:tc>
        <w:tc>
          <w:tcPr>
            <w:tcW w:w="774" w:type="dxa"/>
          </w:tcPr>
          <w:p>
            <w:pPr>
              <w:pStyle w:val="Compact"/>
              <w:jc w:val="left"/>
              <w:spacing w:before="20" w:after="20" w:line="220" w:lineRule="auto"/>
            </w:pPr>
            <w:r>
              <w:rPr>
                <w:sz w:val="13"/>
                <w:szCs w:val="13"/>
              </w:rPr>
              <w:t xml:space="preserve">30.6%</w:t>
            </w:r>
          </w:p>
        </w:tc>
        <w:tc>
          <w:tcPr>
            <w:tcW w:w="1206" w:type="dxa"/>
          </w:tcPr>
          <w:p>
            <w:pPr>
              <w:pStyle w:val="Compact"/>
              <w:jc w:val="left"/>
              <w:spacing w:before="20" w:after="20" w:line="220" w:lineRule="auto"/>
            </w:pPr>
            <w:r>
              <w:rPr>
                <w:sz w:val="13"/>
                <w:szCs w:val="13"/>
              </w:rPr>
              <w:t xml:space="preserve">-2.6%</w:t>
            </w:r>
          </w:p>
        </w:tc>
        <w:tc>
          <w:tcPr>
            <w:tcW w:w="918" w:type="dxa"/>
          </w:tcPr>
          <w:p>
            <w:pPr>
              <w:pStyle w:val="Compact"/>
              <w:jc w:val="left"/>
              <w:spacing w:before="20" w:after="20" w:line="220" w:lineRule="auto"/>
            </w:pPr>
            <w:r>
              <w:rPr>
                <w:sz w:val="13"/>
                <w:szCs w:val="13"/>
              </w:rPr>
              <w:t xml:space="preserve">6.2%</w:t>
            </w:r>
          </w:p>
        </w:tc>
      </w:tr>
      <w:tr>
        <w:tc>
          <w:tcPr>
            <w:tcW w:w="702" w:type="dxa"/>
          </w:tcPr>
          <w:p>
            <w:pPr>
              <w:pStyle w:val="Compact"/>
              <w:jc w:val="left"/>
              <w:spacing w:before="20" w:after="20" w:line="220" w:lineRule="auto"/>
            </w:pPr>
            <w:r>
              <w:rPr>
                <w:sz w:val="13"/>
                <w:szCs w:val="13"/>
              </w:rPr>
              <w:t xml:space="preserve">M2</w:t>
            </w:r>
          </w:p>
        </w:tc>
        <w:tc>
          <w:tcPr>
            <w:tcW w:w="990" w:type="dxa"/>
          </w:tcPr>
          <w:p>
            <w:pPr>
              <w:pStyle w:val="Compact"/>
              <w:jc w:val="left"/>
              <w:spacing w:before="20" w:after="20" w:line="220" w:lineRule="auto"/>
            </w:pPr>
            <w:r>
              <w:rPr>
                <w:sz w:val="13"/>
                <w:szCs w:val="13"/>
              </w:rPr>
              <w:t xml:space="preserve">composite</w:t>
            </w:r>
          </w:p>
        </w:tc>
        <w:tc>
          <w:tcPr>
            <w:tcW w:w="702" w:type="dxa"/>
          </w:tcPr>
          <w:p>
            <w:pPr>
              <w:pStyle w:val="Compact"/>
              <w:jc w:val="left"/>
              <w:spacing w:before="20" w:after="20" w:line="220" w:lineRule="auto"/>
            </w:pPr>
            <w:r>
              <w:rPr>
                <w:sz w:val="13"/>
                <w:szCs w:val="13"/>
              </w:rPr>
              <w:t xml:space="preserve">19.5%</w:t>
            </w:r>
          </w:p>
        </w:tc>
        <w:tc>
          <w:tcPr>
            <w:tcW w:w="558" w:type="dxa"/>
          </w:tcPr>
          <w:p>
            <w:pPr>
              <w:pStyle w:val="Compact"/>
              <w:jc w:val="left"/>
              <w:spacing w:before="20" w:after="20" w:line="220" w:lineRule="auto"/>
            </w:pPr>
            <w:r>
              <w:rPr>
                <w:sz w:val="13"/>
                <w:szCs w:val="13"/>
              </w:rPr>
              <w:t xml:space="preserve">6</w:t>
            </w:r>
          </w:p>
        </w:tc>
        <w:tc>
          <w:tcPr>
            <w:tcW w:w="774" w:type="dxa"/>
          </w:tcPr>
          <w:p>
            <w:pPr>
              <w:pStyle w:val="Compact"/>
              <w:jc w:val="left"/>
              <w:spacing w:before="20" w:after="20" w:line="220" w:lineRule="auto"/>
            </w:pPr>
            <w:r>
              <w:rPr>
                <w:sz w:val="13"/>
                <w:szCs w:val="13"/>
              </w:rPr>
              <w:t xml:space="preserve">23.5%</w:t>
            </w:r>
          </w:p>
        </w:tc>
        <w:tc>
          <w:tcPr>
            <w:tcW w:w="1494" w:type="dxa"/>
          </w:tcPr>
          <w:p>
            <w:pPr>
              <w:pStyle w:val="Compact"/>
              <w:jc w:val="left"/>
              <w:spacing w:before="20" w:after="20" w:line="220" w:lineRule="auto"/>
            </w:pPr>
            <w:r>
              <w:rPr>
                <w:sz w:val="13"/>
                <w:szCs w:val="13"/>
              </w:rPr>
              <w:t xml:space="preserve">14.7%</w:t>
            </w:r>
          </w:p>
        </w:tc>
        <w:tc>
          <w:tcPr>
            <w:tcW w:w="774" w:type="dxa"/>
          </w:tcPr>
          <w:p>
            <w:pPr>
              <w:pStyle w:val="Compact"/>
              <w:jc w:val="left"/>
              <w:spacing w:before="20" w:after="20" w:line="220" w:lineRule="auto"/>
            </w:pPr>
            <w:r>
              <w:rPr>
                <w:sz w:val="13"/>
                <w:szCs w:val="13"/>
              </w:rPr>
              <w:t xml:space="preserve">28.7%</w:t>
            </w:r>
          </w:p>
        </w:tc>
        <w:tc>
          <w:tcPr>
            <w:tcW w:w="1206" w:type="dxa"/>
          </w:tcPr>
          <w:p>
            <w:pPr>
              <w:pStyle w:val="Compact"/>
              <w:jc w:val="left"/>
              <w:spacing w:before="20" w:after="20" w:line="220" w:lineRule="auto"/>
            </w:pPr>
            <w:r>
              <w:rPr>
                <w:sz w:val="13"/>
                <w:szCs w:val="13"/>
              </w:rPr>
              <w:t xml:space="preserve">-4.0%</w:t>
            </w:r>
          </w:p>
        </w:tc>
        <w:tc>
          <w:tcPr>
            <w:tcW w:w="918" w:type="dxa"/>
          </w:tcPr>
          <w:p>
            <w:pPr>
              <w:pStyle w:val="Compact"/>
              <w:jc w:val="left"/>
              <w:spacing w:before="20" w:after="20" w:line="220" w:lineRule="auto"/>
            </w:pPr>
            <w:r>
              <w:rPr>
                <w:sz w:val="13"/>
                <w:szCs w:val="13"/>
              </w:rPr>
              <w:t xml:space="preserve">4.8%</w:t>
            </w:r>
          </w:p>
        </w:tc>
      </w:tr>
      <w:tr>
        <w:tc>
          <w:tcPr>
            <w:tcW w:w="702" w:type="dxa"/>
          </w:tcPr>
          <w:p>
            <w:pPr>
              <w:pStyle w:val="Compact"/>
              <w:jc w:val="left"/>
              <w:spacing w:before="20" w:after="20" w:line="220" w:lineRule="auto"/>
            </w:pPr>
            <w:r>
              <w:rPr>
                <w:sz w:val="13"/>
                <w:szCs w:val="13"/>
              </w:rPr>
              <w:t xml:space="preserve">M2</w:t>
            </w:r>
          </w:p>
        </w:tc>
        <w:tc>
          <w:tcPr>
            <w:tcW w:w="990" w:type="dxa"/>
          </w:tcPr>
          <w:p>
            <w:pPr>
              <w:pStyle w:val="Compact"/>
              <w:jc w:val="left"/>
              <w:spacing w:before="20" w:after="20" w:line="220" w:lineRule="auto"/>
            </w:pPr>
            <w:r>
              <w:rPr>
                <w:sz w:val="13"/>
                <w:szCs w:val="13"/>
              </w:rPr>
              <w:t xml:space="preserve">life</w:t>
            </w:r>
          </w:p>
        </w:tc>
        <w:tc>
          <w:tcPr>
            <w:tcW w:w="702" w:type="dxa"/>
          </w:tcPr>
          <w:p>
            <w:pPr>
              <w:pStyle w:val="Compact"/>
              <w:jc w:val="left"/>
              <w:spacing w:before="20" w:after="20" w:line="220" w:lineRule="auto"/>
            </w:pPr>
            <w:r>
              <w:rPr>
                <w:sz w:val="13"/>
                <w:szCs w:val="13"/>
              </w:rPr>
              <w:t xml:space="preserve">19.5%</w:t>
            </w:r>
          </w:p>
        </w:tc>
        <w:tc>
          <w:tcPr>
            <w:tcW w:w="558" w:type="dxa"/>
          </w:tcPr>
          <w:p>
            <w:pPr>
              <w:pStyle w:val="Compact"/>
              <w:jc w:val="left"/>
              <w:spacing w:before="20" w:after="20" w:line="220" w:lineRule="auto"/>
            </w:pPr>
            <w:r>
              <w:rPr>
                <w:sz w:val="13"/>
                <w:szCs w:val="13"/>
              </w:rPr>
              <w:t xml:space="preserve">5</w:t>
            </w:r>
          </w:p>
        </w:tc>
        <w:tc>
          <w:tcPr>
            <w:tcW w:w="774" w:type="dxa"/>
          </w:tcPr>
          <w:p>
            <w:pPr>
              <w:pStyle w:val="Compact"/>
              <w:jc w:val="left"/>
              <w:spacing w:before="20" w:after="20" w:line="220" w:lineRule="auto"/>
            </w:pPr>
            <w:r>
              <w:rPr>
                <w:sz w:val="13"/>
                <w:szCs w:val="13"/>
              </w:rPr>
              <w:t xml:space="preserve">30.8%</w:t>
            </w:r>
          </w:p>
        </w:tc>
        <w:tc>
          <w:tcPr>
            <w:tcW w:w="1494" w:type="dxa"/>
          </w:tcPr>
          <w:p>
            <w:pPr>
              <w:pStyle w:val="Compact"/>
              <w:jc w:val="left"/>
              <w:spacing w:before="20" w:after="20" w:line="220" w:lineRule="auto"/>
            </w:pPr>
            <w:r>
              <w:rPr>
                <w:sz w:val="13"/>
                <w:szCs w:val="13"/>
              </w:rPr>
              <w:t xml:space="preserve">14.7%</w:t>
            </w:r>
          </w:p>
        </w:tc>
        <w:tc>
          <w:tcPr>
            <w:tcW w:w="774" w:type="dxa"/>
          </w:tcPr>
          <w:p>
            <w:pPr>
              <w:pStyle w:val="Compact"/>
              <w:jc w:val="left"/>
              <w:spacing w:before="20" w:after="20" w:line="220" w:lineRule="auto"/>
            </w:pPr>
            <w:r>
              <w:rPr>
                <w:sz w:val="13"/>
                <w:szCs w:val="13"/>
              </w:rPr>
              <w:t xml:space="preserve">31.6%</w:t>
            </w:r>
          </w:p>
        </w:tc>
        <w:tc>
          <w:tcPr>
            <w:tcW w:w="1206" w:type="dxa"/>
          </w:tcPr>
          <w:p>
            <w:pPr>
              <w:pStyle w:val="Compact"/>
              <w:jc w:val="left"/>
              <w:spacing w:before="20" w:after="20" w:line="220" w:lineRule="auto"/>
            </w:pPr>
            <w:r>
              <w:rPr>
                <w:sz w:val="13"/>
                <w:szCs w:val="13"/>
              </w:rPr>
              <w:t xml:space="preserve">-11.3%</w:t>
            </w:r>
          </w:p>
        </w:tc>
        <w:tc>
          <w:tcPr>
            <w:tcW w:w="918" w:type="dxa"/>
          </w:tcPr>
          <w:p>
            <w:pPr>
              <w:pStyle w:val="Compact"/>
              <w:jc w:val="left"/>
              <w:spacing w:before="20" w:after="20" w:line="220" w:lineRule="auto"/>
            </w:pPr>
            <w:r>
              <w:rPr>
                <w:sz w:val="13"/>
                <w:szCs w:val="13"/>
              </w:rPr>
              <w:t xml:space="preserve">4.8%</w:t>
            </w:r>
          </w:p>
        </w:tc>
      </w:tr>
      <w:tr>
        <w:tc>
          <w:tcPr>
            <w:tcW w:w="702" w:type="dxa"/>
          </w:tcPr>
          <w:p>
            <w:pPr>
              <w:pStyle w:val="Compact"/>
              <w:jc w:val="left"/>
              <w:spacing w:before="20" w:after="20" w:line="220" w:lineRule="auto"/>
            </w:pPr>
            <w:r>
              <w:rPr>
                <w:sz w:val="13"/>
                <w:szCs w:val="13"/>
              </w:rPr>
              <w:t xml:space="preserve">M2</w:t>
            </w:r>
          </w:p>
        </w:tc>
        <w:tc>
          <w:tcPr>
            <w:tcW w:w="990" w:type="dxa"/>
          </w:tcPr>
          <w:p>
            <w:pPr>
              <w:pStyle w:val="Compact"/>
              <w:jc w:val="left"/>
              <w:spacing w:before="20" w:after="20" w:line="220" w:lineRule="auto"/>
            </w:pPr>
            <w:r>
              <w:rPr>
                <w:sz w:val="13"/>
                <w:szCs w:val="13"/>
              </w:rPr>
              <w:t xml:space="preserve">nonlife</w:t>
            </w:r>
          </w:p>
        </w:tc>
        <w:tc>
          <w:tcPr>
            <w:tcW w:w="702" w:type="dxa"/>
          </w:tcPr>
          <w:p>
            <w:pPr>
              <w:pStyle w:val="Compact"/>
              <w:jc w:val="left"/>
              <w:spacing w:before="20" w:after="20" w:line="220" w:lineRule="auto"/>
            </w:pPr>
            <w:r>
              <w:rPr>
                <w:sz w:val="13"/>
                <w:szCs w:val="13"/>
              </w:rPr>
              <w:t xml:space="preserve">19.5%</w:t>
            </w:r>
          </w:p>
        </w:tc>
        <w:tc>
          <w:tcPr>
            <w:tcW w:w="558" w:type="dxa"/>
          </w:tcPr>
          <w:p>
            <w:pPr>
              <w:pStyle w:val="Compact"/>
              <w:jc w:val="left"/>
              <w:spacing w:before="20" w:after="20" w:line="220" w:lineRule="auto"/>
            </w:pPr>
            <w:r>
              <w:rPr>
                <w:sz w:val="13"/>
                <w:szCs w:val="13"/>
              </w:rPr>
              <w:t xml:space="preserve">4</w:t>
            </w:r>
          </w:p>
        </w:tc>
        <w:tc>
          <w:tcPr>
            <w:tcW w:w="774" w:type="dxa"/>
          </w:tcPr>
          <w:p>
            <w:pPr>
              <w:pStyle w:val="Compact"/>
              <w:jc w:val="left"/>
              <w:spacing w:before="20" w:after="20" w:line="220" w:lineRule="auto"/>
            </w:pPr>
            <w:r>
              <w:rPr>
                <w:sz w:val="13"/>
                <w:szCs w:val="13"/>
              </w:rPr>
              <w:t xml:space="preserve">18.1%</w:t>
            </w:r>
          </w:p>
        </w:tc>
        <w:tc>
          <w:tcPr>
            <w:tcW w:w="1494" w:type="dxa"/>
          </w:tcPr>
          <w:p>
            <w:pPr>
              <w:pStyle w:val="Compact"/>
              <w:jc w:val="left"/>
              <w:spacing w:before="20" w:after="20" w:line="220" w:lineRule="auto"/>
            </w:pPr>
            <w:r>
              <w:rPr>
                <w:sz w:val="13"/>
                <w:szCs w:val="13"/>
              </w:rPr>
              <w:t xml:space="preserve">13.2%</w:t>
            </w:r>
          </w:p>
        </w:tc>
        <w:tc>
          <w:tcPr>
            <w:tcW w:w="774" w:type="dxa"/>
          </w:tcPr>
          <w:p>
            <w:pPr>
              <w:pStyle w:val="Compact"/>
              <w:jc w:val="left"/>
              <w:spacing w:before="20" w:after="20" w:line="220" w:lineRule="auto"/>
            </w:pPr>
            <w:r>
              <w:rPr>
                <w:sz w:val="13"/>
                <w:szCs w:val="13"/>
              </w:rPr>
              <w:t xml:space="preserve">21.4%</w:t>
            </w:r>
          </w:p>
        </w:tc>
        <w:tc>
          <w:tcPr>
            <w:tcW w:w="1206" w:type="dxa"/>
          </w:tcPr>
          <w:p>
            <w:pPr>
              <w:pStyle w:val="Compact"/>
              <w:jc w:val="left"/>
              <w:spacing w:before="20" w:after="20" w:line="220" w:lineRule="auto"/>
            </w:pPr>
            <w:r>
              <w:rPr>
                <w:sz w:val="13"/>
                <w:szCs w:val="13"/>
              </w:rPr>
              <w:t xml:space="preserve">1.4%</w:t>
            </w:r>
          </w:p>
        </w:tc>
        <w:tc>
          <w:tcPr>
            <w:tcW w:w="918" w:type="dxa"/>
          </w:tcPr>
          <w:p>
            <w:pPr>
              <w:pStyle w:val="Compact"/>
              <w:jc w:val="left"/>
              <w:spacing w:before="20" w:after="20" w:line="220" w:lineRule="auto"/>
            </w:pPr>
            <w:r>
              <w:rPr>
                <w:sz w:val="13"/>
                <w:szCs w:val="13"/>
              </w:rPr>
              <w:t xml:space="preserve">6.3%</w:t>
            </w:r>
          </w:p>
        </w:tc>
      </w:tr>
      <w:tr>
        <w:tc>
          <w:tcPr>
            <w:tcW w:w="702" w:type="dxa"/>
          </w:tcPr>
          <w:p>
            <w:pPr>
              <w:pStyle w:val="Compact"/>
              <w:jc w:val="left"/>
              <w:spacing w:before="20" w:after="20" w:line="220" w:lineRule="auto"/>
            </w:pPr>
            <w:r>
              <w:rPr>
                <w:sz w:val="13"/>
                <w:szCs w:val="13"/>
              </w:rPr>
              <w:t xml:space="preserve">M3</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jc w:val="left"/>
              <w:spacing w:before="20" w:after="20" w:line="220" w:lineRule="auto"/>
            </w:pPr>
            <w:r>
              <w:rPr>
                <w:sz w:val="13"/>
                <w:szCs w:val="13"/>
              </w:rPr>
              <w:t xml:space="preserve">10.8%</w:t>
            </w:r>
          </w:p>
        </w:tc>
        <w:tc>
          <w:tcPr>
            <w:tcW w:w="558" w:type="dxa"/>
          </w:tcPr>
          <w:p>
            <w:pPr>
              <w:pStyle w:val="Compact"/>
              <w:jc w:val="left"/>
              <w:spacing w:before="20" w:after="20" w:line="220" w:lineRule="auto"/>
            </w:pPr>
            <w:r>
              <w:rPr>
                <w:sz w:val="13"/>
                <w:szCs w:val="13"/>
              </w:rPr>
              <w:t xml:space="preserve">13</w:t>
            </w:r>
          </w:p>
        </w:tc>
        <w:tc>
          <w:tcPr>
            <w:tcW w:w="774" w:type="dxa"/>
          </w:tcPr>
          <w:p>
            <w:pPr>
              <w:pStyle w:val="Compact"/>
              <w:jc w:val="left"/>
              <w:spacing w:before="20" w:after="20" w:line="220" w:lineRule="auto"/>
            </w:pPr>
            <w:r>
              <w:rPr>
                <w:sz w:val="13"/>
                <w:szCs w:val="13"/>
              </w:rPr>
              <w:t xml:space="preserve">11.1%</w:t>
            </w:r>
          </w:p>
        </w:tc>
        <w:tc>
          <w:tcPr>
            <w:tcW w:w="1494" w:type="dxa"/>
          </w:tcPr>
          <w:p>
            <w:pPr>
              <w:pStyle w:val="Compact"/>
              <w:jc w:val="left"/>
              <w:spacing w:before="20" w:after="20" w:line="220" w:lineRule="auto"/>
            </w:pPr>
            <w:r>
              <w:rPr>
                <w:sz w:val="13"/>
                <w:szCs w:val="13"/>
              </w:rPr>
              <w:t xml:space="preserve">5.6%</w:t>
            </w:r>
          </w:p>
        </w:tc>
        <w:tc>
          <w:tcPr>
            <w:tcW w:w="774" w:type="dxa"/>
          </w:tcPr>
          <w:p>
            <w:pPr>
              <w:pStyle w:val="Compact"/>
              <w:jc w:val="left"/>
              <w:spacing w:before="20" w:after="20" w:line="220" w:lineRule="auto"/>
            </w:pPr>
            <w:r>
              <w:rPr>
                <w:sz w:val="13"/>
                <w:szCs w:val="13"/>
              </w:rPr>
              <w:t xml:space="preserve">14.9%</w:t>
            </w:r>
          </w:p>
        </w:tc>
        <w:tc>
          <w:tcPr>
            <w:tcW w:w="1206" w:type="dxa"/>
          </w:tcPr>
          <w:p>
            <w:pPr>
              <w:pStyle w:val="Compact"/>
              <w:jc w:val="left"/>
              <w:spacing w:before="20" w:after="20" w:line="220" w:lineRule="auto"/>
            </w:pPr>
            <w:r>
              <w:rPr>
                <w:sz w:val="13"/>
                <w:szCs w:val="13"/>
              </w:rPr>
              <w:t xml:space="preserve">-0.3%</w:t>
            </w:r>
          </w:p>
        </w:tc>
        <w:tc>
          <w:tcPr>
            <w:tcW w:w="918" w:type="dxa"/>
          </w:tcPr>
          <w:p>
            <w:pPr>
              <w:pStyle w:val="Compact"/>
              <w:jc w:val="left"/>
              <w:spacing w:before="20" w:after="20" w:line="220" w:lineRule="auto"/>
            </w:pPr>
            <w:r>
              <w:rPr>
                <w:sz w:val="13"/>
                <w:szCs w:val="13"/>
              </w:rPr>
              <w:t xml:space="preserve">5.2%</w:t>
            </w:r>
          </w:p>
        </w:tc>
      </w:tr>
      <w:tr>
        <w:tc>
          <w:tcPr>
            <w:tcW w:w="702" w:type="dxa"/>
          </w:tcPr>
          <w:p>
            <w:pPr>
              <w:pStyle w:val="Compact"/>
              <w:jc w:val="left"/>
              <w:spacing w:before="20" w:after="20" w:line="220" w:lineRule="auto"/>
            </w:pPr>
            <w:r>
              <w:rPr>
                <w:sz w:val="13"/>
                <w:szCs w:val="13"/>
              </w:rPr>
              <w:t xml:space="preserve">M3</w:t>
            </w:r>
          </w:p>
        </w:tc>
        <w:tc>
          <w:tcPr>
            <w:tcW w:w="990" w:type="dxa"/>
          </w:tcPr>
          <w:p>
            <w:pPr>
              <w:pStyle w:val="Compact"/>
              <w:jc w:val="left"/>
              <w:spacing w:before="20" w:after="20" w:line="220" w:lineRule="auto"/>
            </w:pPr>
            <w:r>
              <w:rPr>
                <w:sz w:val="13"/>
                <w:szCs w:val="13"/>
              </w:rPr>
              <w:t xml:space="preserve">composite</w:t>
            </w:r>
          </w:p>
        </w:tc>
        <w:tc>
          <w:tcPr>
            <w:tcW w:w="702" w:type="dxa"/>
          </w:tcPr>
          <w:p>
            <w:pPr>
              <w:pStyle w:val="Compact"/>
              <w:jc w:val="left"/>
              <w:spacing w:before="20" w:after="20" w:line="220" w:lineRule="auto"/>
            </w:pPr>
            <w:r>
              <w:rPr>
                <w:sz w:val="13"/>
                <w:szCs w:val="13"/>
              </w:rPr>
              <w:t xml:space="preserve">6.7%</w:t>
            </w:r>
          </w:p>
        </w:tc>
        <w:tc>
          <w:tcPr>
            <w:tcW w:w="558" w:type="dxa"/>
          </w:tcPr>
          <w:p>
            <w:pPr>
              <w:pStyle w:val="Compact"/>
              <w:jc w:val="left"/>
              <w:spacing w:before="20" w:after="20" w:line="220" w:lineRule="auto"/>
            </w:pPr>
            <w:r>
              <w:rPr>
                <w:sz w:val="13"/>
                <w:szCs w:val="13"/>
              </w:rPr>
              <w:t xml:space="preserve">6</w:t>
            </w:r>
          </w:p>
        </w:tc>
        <w:tc>
          <w:tcPr>
            <w:tcW w:w="774" w:type="dxa"/>
          </w:tcPr>
          <w:p>
            <w:pPr>
              <w:pStyle w:val="Compact"/>
              <w:jc w:val="left"/>
              <w:spacing w:before="20" w:after="20" w:line="220" w:lineRule="auto"/>
            </w:pPr>
            <w:r>
              <w:rPr>
                <w:sz w:val="13"/>
                <w:szCs w:val="13"/>
              </w:rPr>
              <w:t xml:space="preserve">10.6%</w:t>
            </w:r>
          </w:p>
        </w:tc>
        <w:tc>
          <w:tcPr>
            <w:tcW w:w="1494" w:type="dxa"/>
          </w:tcPr>
          <w:p>
            <w:pPr>
              <w:pStyle w:val="Compact"/>
              <w:jc w:val="left"/>
              <w:spacing w:before="20" w:after="20" w:line="220" w:lineRule="auto"/>
            </w:pPr>
            <w:r>
              <w:rPr>
                <w:sz w:val="13"/>
                <w:szCs w:val="13"/>
              </w:rPr>
              <w:t xml:space="preserve">6.5%</w:t>
            </w:r>
          </w:p>
        </w:tc>
        <w:tc>
          <w:tcPr>
            <w:tcW w:w="774" w:type="dxa"/>
          </w:tcPr>
          <w:p>
            <w:pPr>
              <w:pStyle w:val="Compact"/>
              <w:jc w:val="left"/>
              <w:spacing w:before="20" w:after="20" w:line="220" w:lineRule="auto"/>
            </w:pPr>
            <w:r>
              <w:rPr>
                <w:sz w:val="13"/>
                <w:szCs w:val="13"/>
              </w:rPr>
              <w:t xml:space="preserve">14.0%</w:t>
            </w:r>
          </w:p>
        </w:tc>
        <w:tc>
          <w:tcPr>
            <w:tcW w:w="1206" w:type="dxa"/>
          </w:tcPr>
          <w:p>
            <w:pPr>
              <w:pStyle w:val="Compact"/>
              <w:jc w:val="left"/>
              <w:spacing w:before="20" w:after="20" w:line="220" w:lineRule="auto"/>
            </w:pPr>
            <w:r>
              <w:rPr>
                <w:sz w:val="13"/>
                <w:szCs w:val="13"/>
              </w:rPr>
              <w:t xml:space="preserve">-3.9%</w:t>
            </w:r>
          </w:p>
        </w:tc>
        <w:tc>
          <w:tcPr>
            <w:tcW w:w="918" w:type="dxa"/>
          </w:tcPr>
          <w:p>
            <w:pPr>
              <w:pStyle w:val="Compact"/>
              <w:jc w:val="left"/>
              <w:spacing w:before="20" w:after="20" w:line="220" w:lineRule="auto"/>
            </w:pPr>
            <w:r>
              <w:rPr>
                <w:sz w:val="13"/>
                <w:szCs w:val="13"/>
              </w:rPr>
              <w:t xml:space="preserve">0.2%</w:t>
            </w:r>
          </w:p>
        </w:tc>
      </w:tr>
      <w:tr>
        <w:tc>
          <w:tcPr>
            <w:tcW w:w="702" w:type="dxa"/>
          </w:tcPr>
          <w:p>
            <w:pPr>
              <w:pStyle w:val="Compact"/>
              <w:jc w:val="left"/>
              <w:spacing w:before="20" w:after="20" w:line="220" w:lineRule="auto"/>
            </w:pPr>
            <w:r>
              <w:rPr>
                <w:sz w:val="13"/>
                <w:szCs w:val="13"/>
              </w:rPr>
              <w:t xml:space="preserve">M3</w:t>
            </w:r>
          </w:p>
        </w:tc>
        <w:tc>
          <w:tcPr>
            <w:tcW w:w="990" w:type="dxa"/>
          </w:tcPr>
          <w:p>
            <w:pPr>
              <w:pStyle w:val="Compact"/>
              <w:jc w:val="left"/>
              <w:spacing w:before="20" w:after="20" w:line="220" w:lineRule="auto"/>
            </w:pPr>
            <w:r>
              <w:rPr>
                <w:sz w:val="13"/>
                <w:szCs w:val="13"/>
              </w:rPr>
              <w:t xml:space="preserve">life</w:t>
            </w:r>
          </w:p>
        </w:tc>
        <w:tc>
          <w:tcPr>
            <w:tcW w:w="702" w:type="dxa"/>
          </w:tcPr>
          <w:p>
            <w:pPr>
              <w:pStyle w:val="Compact"/>
              <w:jc w:val="left"/>
              <w:spacing w:before="20" w:after="20" w:line="220" w:lineRule="auto"/>
            </w:pPr>
            <w:r>
              <w:rPr>
                <w:sz w:val="13"/>
                <w:szCs w:val="13"/>
              </w:rPr>
              <w:t xml:space="preserve">8.4%</w:t>
            </w:r>
          </w:p>
        </w:tc>
        <w:tc>
          <w:tcPr>
            <w:tcW w:w="558" w:type="dxa"/>
          </w:tcPr>
          <w:p>
            <w:pPr>
              <w:pStyle w:val="Compact"/>
              <w:jc w:val="left"/>
              <w:spacing w:before="20" w:after="20" w:line="220" w:lineRule="auto"/>
            </w:pPr>
            <w:r>
              <w:rPr>
                <w:sz w:val="13"/>
                <w:szCs w:val="13"/>
              </w:rPr>
              <w:t xml:space="preserve">3</w:t>
            </w:r>
          </w:p>
        </w:tc>
        <w:tc>
          <w:tcPr>
            <w:tcW w:w="774" w:type="dxa"/>
          </w:tcPr>
          <w:p>
            <w:pPr>
              <w:pStyle w:val="Compact"/>
              <w:jc w:val="left"/>
              <w:spacing w:before="20" w:after="20" w:line="220" w:lineRule="auto"/>
            </w:pPr>
            <w:r>
              <w:rPr>
                <w:sz w:val="13"/>
                <w:szCs w:val="13"/>
              </w:rPr>
              <w:t xml:space="preserve">8.7%</w:t>
            </w:r>
          </w:p>
        </w:tc>
        <w:tc>
          <w:tcPr>
            <w:tcW w:w="1494" w:type="dxa"/>
          </w:tcPr>
          <w:p>
            <w:pPr>
              <w:pStyle w:val="Compact"/>
              <w:jc w:val="left"/>
              <w:spacing w:before="20" w:after="20" w:line="220" w:lineRule="auto"/>
            </w:pPr>
            <w:r>
              <w:rPr>
                <w:sz w:val="13"/>
                <w:szCs w:val="13"/>
              </w:rPr>
              <w:t xml:space="preserve">4.4%</w:t>
            </w:r>
          </w:p>
        </w:tc>
        <w:tc>
          <w:tcPr>
            <w:tcW w:w="774" w:type="dxa"/>
          </w:tcPr>
          <w:p>
            <w:pPr>
              <w:pStyle w:val="Compact"/>
              <w:jc w:val="left"/>
              <w:spacing w:before="20" w:after="20" w:line="220" w:lineRule="auto"/>
            </w:pPr>
            <w:r>
              <w:rPr>
                <w:sz w:val="13"/>
                <w:szCs w:val="13"/>
              </w:rPr>
              <w:t xml:space="preserve">10.7%</w:t>
            </w:r>
          </w:p>
        </w:tc>
        <w:tc>
          <w:tcPr>
            <w:tcW w:w="1206" w:type="dxa"/>
          </w:tcPr>
          <w:p>
            <w:pPr>
              <w:pStyle w:val="Compact"/>
              <w:jc w:val="left"/>
              <w:spacing w:before="20" w:after="20" w:line="220" w:lineRule="auto"/>
            </w:pPr>
            <w:r>
              <w:rPr>
                <w:sz w:val="13"/>
                <w:szCs w:val="13"/>
              </w:rPr>
              <w:t xml:space="preserve">-0.2%</w:t>
            </w:r>
          </w:p>
        </w:tc>
        <w:tc>
          <w:tcPr>
            <w:tcW w:w="918" w:type="dxa"/>
          </w:tcPr>
          <w:p>
            <w:pPr>
              <w:pStyle w:val="Compact"/>
              <w:jc w:val="left"/>
              <w:spacing w:before="20" w:after="20" w:line="220" w:lineRule="auto"/>
            </w:pPr>
            <w:r>
              <w:rPr>
                <w:sz w:val="13"/>
                <w:szCs w:val="13"/>
              </w:rPr>
              <w:t xml:space="preserve">4.1%</w:t>
            </w:r>
          </w:p>
        </w:tc>
      </w:tr>
      <w:tr>
        <w:tc>
          <w:tcPr>
            <w:tcW w:w="702" w:type="dxa"/>
          </w:tcPr>
          <w:p>
            <w:pPr>
              <w:pStyle w:val="Compact"/>
              <w:jc w:val="left"/>
              <w:spacing w:before="20" w:after="20" w:line="220" w:lineRule="auto"/>
            </w:pPr>
            <w:r>
              <w:rPr>
                <w:sz w:val="13"/>
                <w:szCs w:val="13"/>
              </w:rPr>
              <w:t xml:space="preserve">M3</w:t>
            </w:r>
          </w:p>
        </w:tc>
        <w:tc>
          <w:tcPr>
            <w:tcW w:w="990" w:type="dxa"/>
          </w:tcPr>
          <w:p>
            <w:pPr>
              <w:pStyle w:val="Compact"/>
              <w:jc w:val="left"/>
              <w:spacing w:before="20" w:after="20" w:line="220" w:lineRule="auto"/>
            </w:pPr>
            <w:r>
              <w:rPr>
                <w:sz w:val="13"/>
                <w:szCs w:val="13"/>
              </w:rPr>
              <w:t xml:space="preserve">nonlife</w:t>
            </w:r>
          </w:p>
        </w:tc>
        <w:tc>
          <w:tcPr>
            <w:tcW w:w="702" w:type="dxa"/>
          </w:tcPr>
          <w:p>
            <w:pPr>
              <w:pStyle w:val="Compact"/>
              <w:jc w:val="left"/>
              <w:spacing w:before="20" w:after="20" w:line="220" w:lineRule="auto"/>
            </w:pPr>
            <w:r>
              <w:rPr>
                <w:sz w:val="13"/>
                <w:szCs w:val="13"/>
              </w:rPr>
              <w:t xml:space="preserve">13.0%</w:t>
            </w:r>
          </w:p>
        </w:tc>
        <w:tc>
          <w:tcPr>
            <w:tcW w:w="558" w:type="dxa"/>
          </w:tcPr>
          <w:p>
            <w:pPr>
              <w:pStyle w:val="Compact"/>
              <w:jc w:val="left"/>
              <w:spacing w:before="20" w:after="20" w:line="220" w:lineRule="auto"/>
            </w:pPr>
            <w:r>
              <w:rPr>
                <w:sz w:val="13"/>
                <w:szCs w:val="13"/>
              </w:rPr>
              <w:t xml:space="preserve">4</w:t>
            </w:r>
          </w:p>
        </w:tc>
        <w:tc>
          <w:tcPr>
            <w:tcW w:w="774" w:type="dxa"/>
          </w:tcPr>
          <w:p>
            <w:pPr>
              <w:pStyle w:val="Compact"/>
              <w:jc w:val="left"/>
              <w:spacing w:before="20" w:after="20" w:line="220" w:lineRule="auto"/>
            </w:pPr>
            <w:r>
              <w:rPr>
                <w:sz w:val="13"/>
                <w:szCs w:val="13"/>
              </w:rPr>
              <w:t xml:space="preserve">13.9%</w:t>
            </w:r>
          </w:p>
        </w:tc>
        <w:tc>
          <w:tcPr>
            <w:tcW w:w="1494" w:type="dxa"/>
          </w:tcPr>
          <w:p>
            <w:pPr>
              <w:pStyle w:val="Compact"/>
              <w:jc w:val="left"/>
              <w:spacing w:before="20" w:after="20" w:line="220" w:lineRule="auto"/>
            </w:pPr>
            <w:r>
              <w:rPr>
                <w:sz w:val="13"/>
                <w:szCs w:val="13"/>
              </w:rPr>
              <w:t xml:space="preserve">10.7%</w:t>
            </w:r>
          </w:p>
        </w:tc>
        <w:tc>
          <w:tcPr>
            <w:tcW w:w="774" w:type="dxa"/>
          </w:tcPr>
          <w:p>
            <w:pPr>
              <w:pStyle w:val="Compact"/>
              <w:jc w:val="left"/>
              <w:spacing w:before="20" w:after="20" w:line="220" w:lineRule="auto"/>
            </w:pPr>
            <w:r>
              <w:rPr>
                <w:sz w:val="13"/>
                <w:szCs w:val="13"/>
              </w:rPr>
              <w:t xml:space="preserve">15.8%</w:t>
            </w:r>
          </w:p>
        </w:tc>
        <w:tc>
          <w:tcPr>
            <w:tcW w:w="1206" w:type="dxa"/>
          </w:tcPr>
          <w:p>
            <w:pPr>
              <w:pStyle w:val="Compact"/>
              <w:jc w:val="left"/>
              <w:spacing w:before="20" w:after="20" w:line="220" w:lineRule="auto"/>
            </w:pPr>
            <w:r>
              <w:rPr>
                <w:sz w:val="13"/>
                <w:szCs w:val="13"/>
              </w:rPr>
              <w:t xml:space="preserve">-0.9%</w:t>
            </w:r>
          </w:p>
        </w:tc>
        <w:tc>
          <w:tcPr>
            <w:tcW w:w="918" w:type="dxa"/>
          </w:tcPr>
          <w:p>
            <w:pPr>
              <w:pStyle w:val="Compact"/>
              <w:jc w:val="left"/>
              <w:spacing w:before="20" w:after="20" w:line="220" w:lineRule="auto"/>
            </w:pPr>
            <w:r>
              <w:rPr>
                <w:sz w:val="13"/>
                <w:szCs w:val="13"/>
              </w:rPr>
              <w:t xml:space="preserve">2.3%</w:t>
            </w:r>
          </w:p>
        </w:tc>
      </w:tr>
      <w:tr>
        <w:tc>
          <w:tcPr>
            <w:tcW w:w="702" w:type="dxa"/>
          </w:tcPr>
          <w:p>
            <w:pPr>
              <w:pStyle w:val="Compact"/>
              <w:jc w:val="left"/>
              <w:spacing w:before="20" w:after="20" w:line="220" w:lineRule="auto"/>
            </w:pPr>
            <w:r>
              <w:rPr>
                <w:sz w:val="13"/>
                <w:szCs w:val="13"/>
              </w:rPr>
              <w:t xml:space="preserve">M4</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jc w:val="left"/>
              <w:spacing w:before="20" w:after="20" w:line="220" w:lineRule="auto"/>
            </w:pPr>
            <w:r>
              <w:rPr>
                <w:sz w:val="13"/>
                <w:szCs w:val="13"/>
              </w:rPr>
              <w:t xml:space="preserve">12.9%</w:t>
            </w:r>
          </w:p>
        </w:tc>
        <w:tc>
          <w:tcPr>
            <w:tcW w:w="558" w:type="dxa"/>
          </w:tcPr>
          <w:p>
            <w:pPr>
              <w:pStyle w:val="Compact"/>
              <w:jc w:val="left"/>
              <w:spacing w:before="20" w:after="20" w:line="220" w:lineRule="auto"/>
            </w:pPr>
            <w:r>
              <w:rPr>
                <w:sz w:val="13"/>
                <w:szCs w:val="13"/>
              </w:rPr>
              <w:t xml:space="preserve">4</w:t>
            </w:r>
          </w:p>
        </w:tc>
        <w:tc>
          <w:tcPr>
            <w:tcW w:w="774" w:type="dxa"/>
          </w:tcPr>
          <w:p>
            <w:pPr>
              <w:pStyle w:val="Compact"/>
              <w:jc w:val="left"/>
              <w:spacing w:before="20" w:after="20" w:line="220" w:lineRule="auto"/>
            </w:pPr>
            <w:r>
              <w:rPr>
                <w:sz w:val="13"/>
                <w:szCs w:val="13"/>
              </w:rPr>
              <w:t xml:space="preserve">8.3%</w:t>
            </w:r>
          </w:p>
        </w:tc>
        <w:tc>
          <w:tcPr>
            <w:tcW w:w="1494" w:type="dxa"/>
          </w:tcPr>
          <w:p>
            <w:pPr>
              <w:pStyle w:val="Compact"/>
              <w:jc w:val="left"/>
              <w:spacing w:before="20" w:after="20" w:line="220" w:lineRule="auto"/>
            </w:pPr>
            <w:r>
              <w:rPr>
                <w:sz w:val="13"/>
                <w:szCs w:val="13"/>
              </w:rPr>
              <w:t xml:space="preserve">4.9%</w:t>
            </w:r>
          </w:p>
        </w:tc>
        <w:tc>
          <w:tcPr>
            <w:tcW w:w="774" w:type="dxa"/>
          </w:tcPr>
          <w:p>
            <w:pPr>
              <w:pStyle w:val="Compact"/>
              <w:jc w:val="left"/>
              <w:spacing w:before="20" w:after="20" w:line="220" w:lineRule="auto"/>
            </w:pPr>
            <w:r>
              <w:rPr>
                <w:sz w:val="13"/>
                <w:szCs w:val="13"/>
              </w:rPr>
              <w:t xml:space="preserve">12.9%</w:t>
            </w:r>
          </w:p>
        </w:tc>
        <w:tc>
          <w:tcPr>
            <w:tcW w:w="1206" w:type="dxa"/>
          </w:tcPr>
          <w:p>
            <w:pPr>
              <w:pStyle w:val="Compact"/>
              <w:jc w:val="left"/>
              <w:spacing w:before="20" w:after="20" w:line="220" w:lineRule="auto"/>
            </w:pPr>
            <w:r>
              <w:rPr>
                <w:sz w:val="13"/>
                <w:szCs w:val="13"/>
              </w:rPr>
              <w:t xml:space="preserve">4.6%</w:t>
            </w:r>
          </w:p>
        </w:tc>
        <w:tc>
          <w:tcPr>
            <w:tcW w:w="918" w:type="dxa"/>
          </w:tcPr>
          <w:p>
            <w:pPr>
              <w:pStyle w:val="Compact"/>
              <w:jc w:val="left"/>
              <w:spacing w:before="20" w:after="20" w:line="220" w:lineRule="auto"/>
            </w:pPr>
            <w:r>
              <w:rPr>
                <w:sz w:val="13"/>
                <w:szCs w:val="13"/>
              </w:rPr>
              <w:t xml:space="preserve">8.0%</w:t>
            </w:r>
          </w:p>
        </w:tc>
      </w:tr>
      <w:tr>
        <w:tc>
          <w:tcPr>
            <w:tcW w:w="702" w:type="dxa"/>
          </w:tcPr>
          <w:p>
            <w:pPr>
              <w:pStyle w:val="Compact"/>
              <w:jc w:val="left"/>
              <w:spacing w:before="20" w:after="20" w:line="220" w:lineRule="auto"/>
            </w:pPr>
            <w:r>
              <w:rPr>
                <w:sz w:val="13"/>
                <w:szCs w:val="13"/>
              </w:rPr>
              <w:t xml:space="preserve">M5</w:t>
            </w:r>
          </w:p>
        </w:tc>
        <w:tc>
          <w:tcPr>
            <w:tcW w:w="990" w:type="dxa"/>
          </w:tcPr>
          <w:p>
            <w:pPr>
              <w:pStyle w:val="Compact"/>
              <w:jc w:val="left"/>
              <w:spacing w:before="20" w:after="20" w:line="220" w:lineRule="auto"/>
            </w:pPr>
            <w:r>
              <w:rPr>
                <w:sz w:val="13"/>
                <w:szCs w:val="13"/>
              </w:rPr>
              <w:t xml:space="preserve">nonlife</w:t>
            </w:r>
          </w:p>
        </w:tc>
        <w:tc>
          <w:tcPr>
            <w:tcW w:w="702" w:type="dxa"/>
          </w:tcPr>
          <w:p>
            <w:pPr>
              <w:pStyle w:val="Compact"/>
              <w:jc w:val="left"/>
              <w:spacing w:before="20" w:after="20" w:line="220" w:lineRule="auto"/>
            </w:pPr>
            <w:r>
              <w:rPr>
                <w:sz w:val="13"/>
                <w:szCs w:val="13"/>
              </w:rPr>
              <w:t xml:space="preserve">81.5%</w:t>
            </w:r>
          </w:p>
        </w:tc>
        <w:tc>
          <w:tcPr>
            <w:tcW w:w="558" w:type="dxa"/>
          </w:tcPr>
          <w:p>
            <w:pPr>
              <w:pStyle w:val="Compact"/>
              <w:jc w:val="left"/>
              <w:spacing w:before="20" w:after="20" w:line="220" w:lineRule="auto"/>
            </w:pPr>
            <w:r>
              <w:rPr>
                <w:sz w:val="13"/>
                <w:szCs w:val="13"/>
              </w:rPr>
              <w:t xml:space="preserve">6</w:t>
            </w:r>
          </w:p>
        </w:tc>
        <w:tc>
          <w:tcPr>
            <w:tcW w:w="774" w:type="dxa"/>
          </w:tcPr>
          <w:p>
            <w:pPr>
              <w:pStyle w:val="Compact"/>
              <w:jc w:val="left"/>
              <w:spacing w:before="20" w:after="20" w:line="220" w:lineRule="auto"/>
            </w:pPr>
            <w:r>
              <w:rPr>
                <w:sz w:val="13"/>
                <w:szCs w:val="13"/>
              </w:rPr>
              <w:t xml:space="preserve">89.5%</w:t>
            </w:r>
          </w:p>
        </w:tc>
        <w:tc>
          <w:tcPr>
            <w:tcW w:w="1494" w:type="dxa"/>
          </w:tcPr>
          <w:p>
            <w:pPr>
              <w:pStyle w:val="Compact"/>
              <w:jc w:val="left"/>
              <w:spacing w:before="20" w:after="20" w:line="220" w:lineRule="auto"/>
            </w:pPr>
            <w:r>
              <w:rPr>
                <w:sz w:val="13"/>
                <w:szCs w:val="13"/>
              </w:rPr>
              <w:t xml:space="preserve">87.7%</w:t>
            </w:r>
          </w:p>
        </w:tc>
        <w:tc>
          <w:tcPr>
            <w:tcW w:w="774" w:type="dxa"/>
          </w:tcPr>
          <w:p>
            <w:pPr>
              <w:pStyle w:val="Compact"/>
              <w:jc w:val="left"/>
              <w:spacing w:before="20" w:after="20" w:line="220" w:lineRule="auto"/>
            </w:pPr>
            <w:r>
              <w:rPr>
                <w:sz w:val="13"/>
                <w:szCs w:val="13"/>
              </w:rPr>
              <w:t xml:space="preserve">92.4%</w:t>
            </w:r>
          </w:p>
        </w:tc>
        <w:tc>
          <w:tcPr>
            <w:tcW w:w="1206" w:type="dxa"/>
          </w:tcPr>
          <w:p>
            <w:pPr>
              <w:pStyle w:val="Compact"/>
              <w:jc w:val="left"/>
              <w:spacing w:before="20" w:after="20" w:line="220" w:lineRule="auto"/>
            </w:pPr>
            <w:r>
              <w:rPr>
                <w:sz w:val="13"/>
                <w:szCs w:val="13"/>
              </w:rPr>
              <w:t xml:space="preserve">-8.0%</w:t>
            </w:r>
          </w:p>
        </w:tc>
        <w:tc>
          <w:tcPr>
            <w:tcW w:w="918" w:type="dxa"/>
          </w:tcPr>
          <w:p>
            <w:pPr>
              <w:pStyle w:val="Compact"/>
              <w:jc w:val="left"/>
              <w:spacing w:before="20" w:after="20" w:line="220" w:lineRule="auto"/>
            </w:pPr>
            <w:r>
              <w:rPr>
                <w:sz w:val="13"/>
                <w:szCs w:val="13"/>
              </w:rPr>
              <w:t xml:space="preserve">-6.2%</w:t>
            </w:r>
          </w:p>
        </w:tc>
      </w:tr>
      <w:tr>
        <w:tc>
          <w:tcPr>
            <w:tcW w:w="702" w:type="dxa"/>
          </w:tcPr>
          <w:p>
            <w:pPr>
              <w:pStyle w:val="Compact"/>
              <w:jc w:val="left"/>
              <w:spacing w:before="20" w:after="20" w:line="220" w:lineRule="auto"/>
            </w:pPr>
            <w:r>
              <w:rPr>
                <w:sz w:val="13"/>
                <w:szCs w:val="13"/>
              </w:rPr>
              <w:t xml:space="preserve">M5b</w:t>
            </w:r>
          </w:p>
        </w:tc>
        <w:tc>
          <w:tcPr>
            <w:tcW w:w="990" w:type="dxa"/>
          </w:tcPr>
          <w:p>
            <w:pPr>
              <w:pStyle w:val="Compact"/>
              <w:jc w:val="left"/>
              <w:spacing w:before="20" w:after="20" w:line="220" w:lineRule="auto"/>
            </w:pPr>
            <w:r>
              <w:rPr>
                <w:sz w:val="13"/>
                <w:szCs w:val="13"/>
              </w:rPr>
              <w:t xml:space="preserve">nonlife</w:t>
            </w:r>
          </w:p>
        </w:tc>
        <w:tc>
          <w:tcPr>
            <w:tcW w:w="702" w:type="dxa"/>
          </w:tcPr>
          <w:p>
            <w:pPr>
              <w:pStyle w:val="Compact"/>
              <w:jc w:val="left"/>
              <w:spacing w:before="20" w:after="20" w:line="220" w:lineRule="auto"/>
            </w:pPr>
            <w:r>
              <w:rPr>
                <w:sz w:val="13"/>
                <w:szCs w:val="13"/>
              </w:rPr>
              <w:t xml:space="preserve">93.8%</w:t>
            </w:r>
          </w:p>
        </w:tc>
        <w:tc>
          <w:tcPr>
            <w:tcW w:w="558" w:type="dxa"/>
          </w:tcPr>
          <w:p>
            <w:pPr>
              <w:pStyle w:val="Compact"/>
              <w:jc w:val="left"/>
              <w:spacing w:before="20" w:after="20" w:line="220" w:lineRule="auto"/>
            </w:pPr>
            <w:r>
              <w:rPr>
                <w:sz w:val="13"/>
                <w:szCs w:val="13"/>
              </w:rPr>
              <w:t xml:space="preserve">6</w:t>
            </w:r>
          </w:p>
        </w:tc>
        <w:tc>
          <w:tcPr>
            <w:tcW w:w="774" w:type="dxa"/>
          </w:tcPr>
          <w:p>
            <w:pPr>
              <w:pStyle w:val="Compact"/>
              <w:jc w:val="left"/>
              <w:spacing w:before="20" w:after="20" w:line="220" w:lineRule="auto"/>
            </w:pPr>
            <w:r>
              <w:rPr>
                <w:sz w:val="13"/>
                <w:szCs w:val="13"/>
              </w:rPr>
              <w:t xml:space="preserve">93.0%</w:t>
            </w:r>
          </w:p>
        </w:tc>
        <w:tc>
          <w:tcPr>
            <w:tcW w:w="1494" w:type="dxa"/>
          </w:tcPr>
          <w:p>
            <w:pPr>
              <w:pStyle w:val="Compact"/>
              <w:jc w:val="left"/>
              <w:spacing w:before="20" w:after="20" w:line="220" w:lineRule="auto"/>
            </w:pPr>
            <w:r>
              <w:rPr>
                <w:sz w:val="13"/>
                <w:szCs w:val="13"/>
              </w:rPr>
              <w:t xml:space="preserve">90.7%</w:t>
            </w:r>
          </w:p>
        </w:tc>
        <w:tc>
          <w:tcPr>
            <w:tcW w:w="774" w:type="dxa"/>
          </w:tcPr>
          <w:p>
            <w:pPr>
              <w:pStyle w:val="Compact"/>
              <w:jc w:val="left"/>
              <w:spacing w:before="20" w:after="20" w:line="220" w:lineRule="auto"/>
            </w:pPr>
            <w:r>
              <w:rPr>
                <w:sz w:val="13"/>
                <w:szCs w:val="13"/>
              </w:rPr>
              <w:t xml:space="preserve">95.9%</w:t>
            </w:r>
          </w:p>
        </w:tc>
        <w:tc>
          <w:tcPr>
            <w:tcW w:w="1206" w:type="dxa"/>
          </w:tcPr>
          <w:p>
            <w:pPr>
              <w:pStyle w:val="Compact"/>
              <w:jc w:val="left"/>
              <w:spacing w:before="20" w:after="20" w:line="220" w:lineRule="auto"/>
            </w:pPr>
            <w:r>
              <w:rPr>
                <w:sz w:val="13"/>
                <w:szCs w:val="13"/>
              </w:rPr>
              <w:t xml:space="preserve">0.8%</w:t>
            </w:r>
          </w:p>
        </w:tc>
        <w:tc>
          <w:tcPr>
            <w:tcW w:w="918" w:type="dxa"/>
          </w:tcPr>
          <w:p>
            <w:pPr>
              <w:pStyle w:val="Compact"/>
              <w:jc w:val="left"/>
              <w:spacing w:before="20" w:after="20" w:line="220" w:lineRule="auto"/>
            </w:pPr>
            <w:r>
              <w:rPr>
                <w:sz w:val="13"/>
                <w:szCs w:val="13"/>
              </w:rPr>
              <w:t xml:space="preserve">3.1%</w:t>
            </w:r>
          </w:p>
        </w:tc>
      </w:tr>
      <w:tr>
        <w:tc>
          <w:tcPr>
            <w:tcW w:w="702" w:type="dxa"/>
          </w:tcPr>
          <w:p>
            <w:pPr>
              <w:pStyle w:val="Compact"/>
              <w:jc w:val="left"/>
              <w:spacing w:before="20" w:after="20" w:line="220" w:lineRule="auto"/>
            </w:pPr>
            <w:r>
              <w:rPr>
                <w:sz w:val="13"/>
                <w:szCs w:val="13"/>
              </w:rPr>
              <w:t xml:space="preserve">M5r</w:t>
            </w:r>
          </w:p>
        </w:tc>
        <w:tc>
          <w:tcPr>
            <w:tcW w:w="990" w:type="dxa"/>
          </w:tcPr>
          <w:p>
            <w:pPr>
              <w:pStyle w:val="Compact"/>
              <w:jc w:val="left"/>
              <w:spacing w:before="20" w:after="20" w:line="220" w:lineRule="auto"/>
            </w:pPr>
            <w:r>
              <w:rPr>
                <w:sz w:val="13"/>
                <w:szCs w:val="13"/>
              </w:rPr>
              <w:t xml:space="preserve">nonlife</w:t>
            </w:r>
          </w:p>
        </w:tc>
        <w:tc>
          <w:tcPr>
            <w:tcW w:w="702" w:type="dxa"/>
          </w:tcPr>
          <w:p>
            <w:pPr>
              <w:pStyle w:val="Compact"/>
              <w:jc w:val="left"/>
              <w:spacing w:before="20" w:after="20" w:line="220" w:lineRule="auto"/>
            </w:pPr>
            <w:r>
              <w:rPr>
                <w:sz w:val="13"/>
                <w:szCs w:val="13"/>
              </w:rPr>
              <w:t xml:space="preserve">92.4%</w:t>
            </w:r>
          </w:p>
        </w:tc>
        <w:tc>
          <w:tcPr>
            <w:tcW w:w="558" w:type="dxa"/>
          </w:tcPr>
          <w:p>
            <w:pPr>
              <w:pStyle w:val="Compact"/>
              <w:jc w:val="left"/>
              <w:spacing w:before="20" w:after="20" w:line="220" w:lineRule="auto"/>
            </w:pPr>
            <w:r>
              <w:rPr>
                <w:sz w:val="13"/>
                <w:szCs w:val="13"/>
              </w:rPr>
              <w:t xml:space="preserve">9</w:t>
            </w:r>
          </w:p>
        </w:tc>
        <w:tc>
          <w:tcPr>
            <w:tcW w:w="774" w:type="dxa"/>
          </w:tcPr>
          <w:p>
            <w:pPr>
              <w:pStyle w:val="Compact"/>
              <w:jc w:val="left"/>
              <w:spacing w:before="20" w:after="20" w:line="220" w:lineRule="auto"/>
            </w:pPr>
            <w:r>
              <w:rPr>
                <w:sz w:val="13"/>
                <w:szCs w:val="13"/>
              </w:rPr>
              <w:t xml:space="preserve">88.7%</w:t>
            </w:r>
          </w:p>
        </w:tc>
        <w:tc>
          <w:tcPr>
            <w:tcW w:w="1494" w:type="dxa"/>
          </w:tcPr>
          <w:p>
            <w:pPr>
              <w:pStyle w:val="Compact"/>
              <w:jc w:val="left"/>
              <w:spacing w:before="20" w:after="20" w:line="220" w:lineRule="auto"/>
            </w:pPr>
            <w:r>
              <w:rPr>
                <w:sz w:val="13"/>
                <w:szCs w:val="13"/>
              </w:rPr>
              <w:t xml:space="preserve">87.0%</w:t>
            </w:r>
          </w:p>
        </w:tc>
        <w:tc>
          <w:tcPr>
            <w:tcW w:w="774" w:type="dxa"/>
          </w:tcPr>
          <w:p>
            <w:pPr>
              <w:pStyle w:val="Compact"/>
              <w:jc w:val="left"/>
              <w:spacing w:before="20" w:after="20" w:line="220" w:lineRule="auto"/>
            </w:pPr>
            <w:r>
              <w:rPr>
                <w:sz w:val="13"/>
                <w:szCs w:val="13"/>
              </w:rPr>
              <w:t xml:space="preserve">90.5%</w:t>
            </w:r>
          </w:p>
        </w:tc>
        <w:tc>
          <w:tcPr>
            <w:tcW w:w="1206" w:type="dxa"/>
          </w:tcPr>
          <w:p>
            <w:pPr>
              <w:pStyle w:val="Compact"/>
              <w:jc w:val="left"/>
              <w:spacing w:before="20" w:after="20" w:line="220" w:lineRule="auto"/>
            </w:pPr>
            <w:r>
              <w:rPr>
                <w:sz w:val="13"/>
                <w:szCs w:val="13"/>
              </w:rPr>
              <w:t xml:space="preserve">3.7%</w:t>
            </w:r>
          </w:p>
        </w:tc>
        <w:tc>
          <w:tcPr>
            <w:tcW w:w="918" w:type="dxa"/>
          </w:tcPr>
          <w:p>
            <w:pPr>
              <w:pStyle w:val="Compact"/>
              <w:jc w:val="left"/>
              <w:spacing w:before="20" w:after="20" w:line="220" w:lineRule="auto"/>
            </w:pPr>
            <w:r>
              <w:rPr>
                <w:sz w:val="13"/>
                <w:szCs w:val="13"/>
              </w:rPr>
              <w:t xml:space="preserve">5.4%</w:t>
            </w:r>
          </w:p>
        </w:tc>
      </w:tr>
      <w:tr>
        <w:tc>
          <w:tcPr>
            <w:tcW w:w="702" w:type="dxa"/>
          </w:tcPr>
          <w:p>
            <w:pPr>
              <w:pStyle w:val="Compact"/>
              <w:jc w:val="left"/>
              <w:spacing w:before="20" w:after="20" w:line="220" w:lineRule="auto"/>
            </w:pPr>
            <w:r>
              <w:rPr>
                <w:sz w:val="13"/>
                <w:szCs w:val="13"/>
              </w:rPr>
              <w:t xml:space="preserve">M6</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spacing w:before="20" w:after="20" w:line="220" w:lineRule="auto"/>
            </w:pPr>
          </w:p>
        </w:tc>
        <w:tc>
          <w:tcPr>
            <w:tcW w:w="558" w:type="dxa"/>
          </w:tcPr>
          <w:p>
            <w:pPr>
              <w:pStyle w:val="Compact"/>
              <w:jc w:val="left"/>
              <w:spacing w:before="20" w:after="20" w:line="220" w:lineRule="auto"/>
            </w:pPr>
            <w:r>
              <w:rPr>
                <w:sz w:val="13"/>
                <w:szCs w:val="13"/>
              </w:rPr>
              <w:t xml:space="preserve">6</w:t>
            </w:r>
          </w:p>
        </w:tc>
        <w:tc>
          <w:tcPr>
            <w:tcW w:w="774" w:type="dxa"/>
          </w:tcPr>
          <w:p>
            <w:pPr>
              <w:pStyle w:val="Compact"/>
              <w:jc w:val="left"/>
              <w:spacing w:before="20" w:after="20" w:line="220" w:lineRule="auto"/>
            </w:pPr>
            <w:r>
              <w:rPr>
                <w:sz w:val="13"/>
                <w:szCs w:val="13"/>
              </w:rPr>
              <w:t xml:space="preserve">R1 422</w:t>
            </w:r>
          </w:p>
        </w:tc>
        <w:tc>
          <w:tcPr>
            <w:tcW w:w="1494" w:type="dxa"/>
          </w:tcPr>
          <w:p>
            <w:pPr>
              <w:pStyle w:val="Compact"/>
              <w:jc w:val="left"/>
              <w:spacing w:before="20" w:after="20" w:line="220" w:lineRule="auto"/>
            </w:pPr>
            <w:r>
              <w:rPr>
                <w:sz w:val="13"/>
                <w:szCs w:val="13"/>
              </w:rPr>
              <w:t xml:space="preserve">R236</w:t>
            </w:r>
          </w:p>
        </w:tc>
        <w:tc>
          <w:tcPr>
            <w:tcW w:w="774" w:type="dxa"/>
          </w:tcPr>
          <w:p>
            <w:pPr>
              <w:pStyle w:val="Compact"/>
              <w:jc w:val="left"/>
              <w:spacing w:before="20" w:after="20" w:line="220" w:lineRule="auto"/>
            </w:pPr>
            <w:r>
              <w:rPr>
                <w:sz w:val="13"/>
                <w:szCs w:val="13"/>
              </w:rPr>
              <w:t xml:space="preserve">R2 547</w:t>
            </w:r>
          </w:p>
        </w:tc>
        <w:tc>
          <w:tcPr>
            <w:tcW w:w="1206" w:type="dxa"/>
          </w:tcPr>
          <w:p>
            <w:pPr>
              <w:pStyle w:val="Compact"/>
              <w:spacing w:before="20" w:after="20" w:line="220" w:lineRule="auto"/>
            </w:pPr>
          </w:p>
        </w:tc>
        <w:tc>
          <w:tcPr>
            <w:tcW w:w="918" w:type="dxa"/>
          </w:tcPr>
          <w:p>
            <w:pPr>
              <w:pStyle w:val="Compact"/>
              <w:spacing w:before="20" w:after="20" w:line="220" w:lineRule="auto"/>
            </w:pPr>
          </w:p>
        </w:tc>
      </w:tr>
      <w:tr>
        <w:tc>
          <w:tcPr>
            <w:tcW w:w="702" w:type="dxa"/>
          </w:tcPr>
          <w:p>
            <w:pPr>
              <w:pStyle w:val="Compact"/>
              <w:jc w:val="left"/>
              <w:spacing w:before="20" w:after="20" w:line="220" w:lineRule="auto"/>
            </w:pPr>
            <w:r>
              <w:rPr>
                <w:sz w:val="13"/>
                <w:szCs w:val="13"/>
              </w:rPr>
              <w:t xml:space="preserve">M7</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spacing w:before="20" w:after="20" w:line="220" w:lineRule="auto"/>
            </w:pPr>
          </w:p>
        </w:tc>
        <w:tc>
          <w:tcPr>
            <w:tcW w:w="558" w:type="dxa"/>
          </w:tcPr>
          <w:p>
            <w:pPr>
              <w:pStyle w:val="Compact"/>
              <w:jc w:val="left"/>
              <w:spacing w:before="20" w:after="20" w:line="220" w:lineRule="auto"/>
            </w:pPr>
            <w:r>
              <w:rPr>
                <w:sz w:val="13"/>
                <w:szCs w:val="13"/>
              </w:rPr>
              <w:t xml:space="preserve">10</w:t>
            </w:r>
          </w:p>
        </w:tc>
        <w:tc>
          <w:tcPr>
            <w:tcW w:w="774" w:type="dxa"/>
          </w:tcPr>
          <w:p>
            <w:pPr>
              <w:pStyle w:val="Compact"/>
              <w:jc w:val="left"/>
              <w:spacing w:before="20" w:after="20" w:line="220" w:lineRule="auto"/>
            </w:pPr>
            <w:r>
              <w:rPr>
                <w:sz w:val="13"/>
                <w:szCs w:val="13"/>
              </w:rPr>
              <w:t xml:space="preserve">R1.54m</w:t>
            </w:r>
          </w:p>
        </w:tc>
        <w:tc>
          <w:tcPr>
            <w:tcW w:w="1494" w:type="dxa"/>
          </w:tcPr>
          <w:p>
            <w:pPr>
              <w:pStyle w:val="Compact"/>
              <w:jc w:val="left"/>
              <w:spacing w:before="20" w:after="20" w:line="220" w:lineRule="auto"/>
            </w:pPr>
            <w:r>
              <w:rPr>
                <w:sz w:val="13"/>
                <w:szCs w:val="13"/>
              </w:rPr>
              <w:t xml:space="preserve">R1.04m</w:t>
            </w:r>
          </w:p>
        </w:tc>
        <w:tc>
          <w:tcPr>
            <w:tcW w:w="774" w:type="dxa"/>
          </w:tcPr>
          <w:p>
            <w:pPr>
              <w:pStyle w:val="Compact"/>
              <w:jc w:val="left"/>
              <w:spacing w:before="20" w:after="20" w:line="220" w:lineRule="auto"/>
            </w:pPr>
            <w:r>
              <w:rPr>
                <w:sz w:val="13"/>
                <w:szCs w:val="13"/>
              </w:rPr>
              <w:t xml:space="preserve">R2.40m</w:t>
            </w:r>
          </w:p>
        </w:tc>
        <w:tc>
          <w:tcPr>
            <w:tcW w:w="1206" w:type="dxa"/>
          </w:tcPr>
          <w:p>
            <w:pPr>
              <w:pStyle w:val="Compact"/>
              <w:spacing w:before="20" w:after="20" w:line="220" w:lineRule="auto"/>
            </w:pPr>
          </w:p>
        </w:tc>
        <w:tc>
          <w:tcPr>
            <w:tcW w:w="918" w:type="dxa"/>
          </w:tcPr>
          <w:p>
            <w:pPr>
              <w:pStyle w:val="Compact"/>
              <w:spacing w:before="20" w:after="20" w:line="220" w:lineRule="auto"/>
            </w:pPr>
          </w:p>
        </w:tc>
      </w:tr>
      <w:tr>
        <w:tc>
          <w:tcPr>
            <w:tcW w:w="702" w:type="dxa"/>
          </w:tcPr>
          <w:p>
            <w:pPr>
              <w:pStyle w:val="Compact"/>
              <w:jc w:val="left"/>
              <w:spacing w:before="20" w:after="20" w:line="220" w:lineRule="auto"/>
            </w:pPr>
            <w:r>
              <w:rPr>
                <w:sz w:val="13"/>
                <w:szCs w:val="13"/>
              </w:rPr>
              <w:t xml:space="preserve">M8</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spacing w:before="20" w:after="20" w:line="220" w:lineRule="auto"/>
            </w:pPr>
          </w:p>
        </w:tc>
        <w:tc>
          <w:tcPr>
            <w:tcW w:w="558" w:type="dxa"/>
          </w:tcPr>
          <w:p>
            <w:pPr>
              <w:pStyle w:val="Compact"/>
              <w:jc w:val="left"/>
              <w:spacing w:before="20" w:after="20" w:line="220" w:lineRule="auto"/>
            </w:pPr>
            <w:r>
              <w:rPr>
                <w:sz w:val="13"/>
                <w:szCs w:val="13"/>
              </w:rPr>
              <w:t xml:space="preserve">13</w:t>
            </w:r>
          </w:p>
        </w:tc>
        <w:tc>
          <w:tcPr>
            <w:tcW w:w="774" w:type="dxa"/>
          </w:tcPr>
          <w:p>
            <w:pPr>
              <w:pStyle w:val="Compact"/>
              <w:jc w:val="left"/>
              <w:spacing w:before="20" w:after="20" w:line="220" w:lineRule="auto"/>
            </w:pPr>
            <w:r>
              <w:rPr>
                <w:sz w:val="13"/>
                <w:szCs w:val="13"/>
              </w:rPr>
              <w:t xml:space="preserve">R16.29m</w:t>
            </w:r>
          </w:p>
        </w:tc>
        <w:tc>
          <w:tcPr>
            <w:tcW w:w="1494" w:type="dxa"/>
          </w:tcPr>
          <w:p>
            <w:pPr>
              <w:pStyle w:val="Compact"/>
              <w:jc w:val="left"/>
              <w:spacing w:before="20" w:after="20" w:line="220" w:lineRule="auto"/>
            </w:pPr>
            <w:r>
              <w:rPr>
                <w:sz w:val="13"/>
                <w:szCs w:val="13"/>
              </w:rPr>
              <w:t xml:space="preserve">R5.15m</w:t>
            </w:r>
          </w:p>
        </w:tc>
        <w:tc>
          <w:tcPr>
            <w:tcW w:w="774" w:type="dxa"/>
          </w:tcPr>
          <w:p>
            <w:pPr>
              <w:pStyle w:val="Compact"/>
              <w:jc w:val="left"/>
              <w:spacing w:before="20" w:after="20" w:line="220" w:lineRule="auto"/>
            </w:pPr>
            <w:r>
              <w:rPr>
                <w:sz w:val="13"/>
                <w:szCs w:val="13"/>
              </w:rPr>
              <w:t xml:space="preserve">R86.54m</w:t>
            </w:r>
          </w:p>
        </w:tc>
        <w:tc>
          <w:tcPr>
            <w:tcW w:w="1206" w:type="dxa"/>
          </w:tcPr>
          <w:p>
            <w:pPr>
              <w:pStyle w:val="Compact"/>
              <w:spacing w:before="20" w:after="20" w:line="220" w:lineRule="auto"/>
            </w:pPr>
          </w:p>
        </w:tc>
        <w:tc>
          <w:tcPr>
            <w:tcW w:w="918" w:type="dxa"/>
          </w:tcPr>
          <w:p>
            <w:pPr>
              <w:pStyle w:val="Compact"/>
              <w:spacing w:before="20" w:after="20" w:line="220" w:lineRule="auto"/>
            </w:pPr>
          </w:p>
        </w:tc>
      </w:tr>
      <w:tr>
        <w:tc>
          <w:tcPr>
            <w:tcW w:w="702" w:type="dxa"/>
          </w:tcPr>
          <w:p>
            <w:pPr>
              <w:pStyle w:val="Compact"/>
              <w:jc w:val="left"/>
              <w:spacing w:before="20" w:after="20" w:line="220" w:lineRule="auto"/>
            </w:pPr>
            <w:r>
              <w:rPr>
                <w:sz w:val="13"/>
                <w:szCs w:val="13"/>
              </w:rPr>
              <w:t xml:space="preserve">M9</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jc w:val="left"/>
              <w:spacing w:before="20" w:after="20" w:line="220" w:lineRule="auto"/>
            </w:pPr>
            <w:r>
              <w:rPr>
                <w:sz w:val="13"/>
                <w:szCs w:val="13"/>
              </w:rPr>
              <w:t xml:space="preserve">40.0%</w:t>
            </w:r>
          </w:p>
        </w:tc>
        <w:tc>
          <w:tcPr>
            <w:tcW w:w="558" w:type="dxa"/>
          </w:tcPr>
          <w:p>
            <w:pPr>
              <w:pStyle w:val="Compact"/>
              <w:jc w:val="left"/>
              <w:spacing w:before="20" w:after="20" w:line="220" w:lineRule="auto"/>
            </w:pPr>
            <w:r>
              <w:rPr>
                <w:sz w:val="13"/>
                <w:szCs w:val="13"/>
              </w:rPr>
              <w:t xml:space="preserve">3</w:t>
            </w:r>
          </w:p>
        </w:tc>
        <w:tc>
          <w:tcPr>
            <w:tcW w:w="774" w:type="dxa"/>
          </w:tcPr>
          <w:p>
            <w:pPr>
              <w:pStyle w:val="Compact"/>
              <w:jc w:val="left"/>
              <w:spacing w:before="20" w:after="20" w:line="220" w:lineRule="auto"/>
            </w:pPr>
            <w:r>
              <w:rPr>
                <w:sz w:val="13"/>
                <w:szCs w:val="13"/>
              </w:rPr>
              <w:t xml:space="preserve">21.4%</w:t>
            </w:r>
          </w:p>
        </w:tc>
        <w:tc>
          <w:tcPr>
            <w:tcW w:w="1494" w:type="dxa"/>
          </w:tcPr>
          <w:p>
            <w:pPr>
              <w:pStyle w:val="Compact"/>
              <w:jc w:val="left"/>
              <w:spacing w:before="20" w:after="20" w:line="220" w:lineRule="auto"/>
            </w:pPr>
            <w:r>
              <w:rPr>
                <w:sz w:val="13"/>
                <w:szCs w:val="13"/>
              </w:rPr>
              <w:t xml:space="preserve">18.7%</w:t>
            </w:r>
          </w:p>
        </w:tc>
        <w:tc>
          <w:tcPr>
            <w:tcW w:w="774" w:type="dxa"/>
          </w:tcPr>
          <w:p>
            <w:pPr>
              <w:pStyle w:val="Compact"/>
              <w:jc w:val="left"/>
              <w:spacing w:before="20" w:after="20" w:line="220" w:lineRule="auto"/>
            </w:pPr>
            <w:r>
              <w:rPr>
                <w:sz w:val="13"/>
                <w:szCs w:val="13"/>
              </w:rPr>
              <w:t xml:space="preserve">47.1%</w:t>
            </w:r>
          </w:p>
        </w:tc>
        <w:tc>
          <w:tcPr>
            <w:tcW w:w="1206" w:type="dxa"/>
          </w:tcPr>
          <w:p>
            <w:pPr>
              <w:pStyle w:val="Compact"/>
              <w:jc w:val="left"/>
              <w:spacing w:before="20" w:after="20" w:line="220" w:lineRule="auto"/>
            </w:pPr>
            <w:r>
              <w:rPr>
                <w:sz w:val="13"/>
                <w:szCs w:val="13"/>
              </w:rPr>
              <w:t xml:space="preserve">18.6%</w:t>
            </w:r>
          </w:p>
        </w:tc>
        <w:tc>
          <w:tcPr>
            <w:tcW w:w="918" w:type="dxa"/>
          </w:tcPr>
          <w:p>
            <w:pPr>
              <w:pStyle w:val="Compact"/>
              <w:jc w:val="left"/>
              <w:spacing w:before="20" w:after="20" w:line="220" w:lineRule="auto"/>
            </w:pPr>
            <w:r>
              <w:rPr>
                <w:sz w:val="13"/>
                <w:szCs w:val="13"/>
              </w:rPr>
              <w:t xml:space="preserve">21.3%</w:t>
            </w:r>
          </w:p>
        </w:tc>
      </w:tr>
      <w:tr>
        <w:tc>
          <w:tcPr>
            <w:tcW w:w="702" w:type="dxa"/>
          </w:tcPr>
          <w:p>
            <w:pPr>
              <w:pStyle w:val="Compact"/>
              <w:jc w:val="left"/>
              <w:spacing w:before="20" w:after="20" w:line="220" w:lineRule="auto"/>
            </w:pPr>
            <w:r>
              <w:rPr>
                <w:sz w:val="13"/>
                <w:szCs w:val="13"/>
              </w:rPr>
              <w:t xml:space="preserve">M11</w:t>
            </w:r>
          </w:p>
        </w:tc>
        <w:tc>
          <w:tcPr>
            <w:tcW w:w="990" w:type="dxa"/>
          </w:tcPr>
          <w:p>
            <w:pPr>
              <w:pStyle w:val="Compact"/>
              <w:jc w:val="left"/>
              <w:spacing w:before="20" w:after="20" w:line="220" w:lineRule="auto"/>
            </w:pPr>
            <w:r>
              <w:rPr>
                <w:sz w:val="13"/>
                <w:szCs w:val="13"/>
              </w:rPr>
              <w:t xml:space="preserve">all</w:t>
            </w:r>
          </w:p>
        </w:tc>
        <w:tc>
          <w:tcPr>
            <w:tcW w:w="702" w:type="dxa"/>
          </w:tcPr>
          <w:p>
            <w:pPr>
              <w:pStyle w:val="Compact"/>
              <w:jc w:val="left"/>
              <w:spacing w:before="20" w:after="20" w:line="220" w:lineRule="auto"/>
            </w:pPr>
            <w:r>
              <w:rPr>
                <w:sz w:val="13"/>
                <w:szCs w:val="13"/>
              </w:rPr>
              <w:t xml:space="preserve">156.2%</w:t>
            </w:r>
          </w:p>
        </w:tc>
        <w:tc>
          <w:tcPr>
            <w:tcW w:w="558" w:type="dxa"/>
          </w:tcPr>
          <w:p>
            <w:pPr>
              <w:pStyle w:val="Compact"/>
              <w:jc w:val="left"/>
              <w:spacing w:before="20" w:after="20" w:line="220" w:lineRule="auto"/>
            </w:pPr>
            <w:r>
              <w:rPr>
                <w:sz w:val="13"/>
                <w:szCs w:val="13"/>
              </w:rPr>
              <w:t xml:space="preserve">1</w:t>
            </w:r>
          </w:p>
        </w:tc>
        <w:tc>
          <w:tcPr>
            <w:tcW w:w="774" w:type="dxa"/>
          </w:tcPr>
          <w:p>
            <w:pPr>
              <w:pStyle w:val="Compact"/>
              <w:jc w:val="left"/>
              <w:spacing w:before="20" w:after="20" w:line="220" w:lineRule="auto"/>
            </w:pPr>
            <w:r>
              <w:rPr>
                <w:sz w:val="13"/>
                <w:szCs w:val="13"/>
              </w:rPr>
              <w:t xml:space="preserve">5.6%</w:t>
            </w:r>
          </w:p>
        </w:tc>
        <w:tc>
          <w:tcPr>
            <w:tcW w:w="1494" w:type="dxa"/>
          </w:tcPr>
          <w:p>
            <w:pPr>
              <w:pStyle w:val="Compact"/>
              <w:spacing w:before="20" w:after="20" w:line="220" w:lineRule="auto"/>
            </w:pPr>
          </w:p>
        </w:tc>
        <w:tc>
          <w:tcPr>
            <w:tcW w:w="774" w:type="dxa"/>
          </w:tcPr>
          <w:p>
            <w:pPr>
              <w:pStyle w:val="Compact"/>
              <w:spacing w:before="20" w:after="20" w:line="220" w:lineRule="auto"/>
            </w:pPr>
          </w:p>
        </w:tc>
        <w:tc>
          <w:tcPr>
            <w:tcW w:w="1206" w:type="dxa"/>
          </w:tcPr>
          <w:p>
            <w:pPr>
              <w:pStyle w:val="Compact"/>
              <w:jc w:val="left"/>
              <w:spacing w:before="20" w:after="20" w:line="220" w:lineRule="auto"/>
            </w:pPr>
            <w:r>
              <w:rPr>
                <w:sz w:val="13"/>
                <w:szCs w:val="13"/>
              </w:rPr>
              <w:t xml:space="preserve">150.6%</w:t>
            </w:r>
          </w:p>
        </w:tc>
        <w:tc>
          <w:tcPr>
            <w:tcW w:w="918" w:type="dxa"/>
          </w:tcPr>
          <w:p>
            <w:pPr>
              <w:pStyle w:val="Compact"/>
              <w:spacing w:before="20" w:after="20" w:line="220" w:lineRule="auto"/>
            </w:pPr>
          </w:p>
        </w:tc>
      </w:tr>
    </w:tbl>
    <w:p>
      <w:pPr>
        <w:pStyle w:val="BodyText"/>
      </w:pPr>
      <w:r>
        <w:t xml:space="preserve">Source: afs_cost_benchmark.xlsx, Benchmark tab summary rows (MEDIAN and QUARTILE over the rows flagged in medians).</w:t>
      </w:r>
    </w:p>
    <w:tbl>
      <w:tblPr>
        <w:tblStyle w:val="Table"/>
        <w:tblLook w:firstRow="1" w:lastRow="0" w:firstColumn="0" w:lastColumn="0" w:noHBand="0" w:noVBand="0" w:val="0020"/>
        <w:jc w:val="start"/>
        <w:tblW w:w="14565" w:type="dxa"/>
        <w:tblLayout w:type="fixed"/>
      </w:tblPr>
      <w:tblGrid>
        <w:gridCol w:w="702"/>
        <w:gridCol w:w="929"/>
        <w:gridCol w:w="630"/>
        <w:gridCol w:w="702"/>
        <w:gridCol w:w="891"/>
        <w:gridCol w:w="721"/>
        <w:gridCol w:w="839"/>
        <w:gridCol w:w="732"/>
        <w:gridCol w:w="839"/>
        <w:gridCol w:w="672"/>
        <w:gridCol w:w="558"/>
        <w:gridCol w:w="558"/>
        <w:gridCol w:w="558"/>
        <w:gridCol w:w="1682"/>
        <w:gridCol w:w="1795"/>
        <w:gridCol w:w="1757"/>
      </w:tblGrid>
      <w:tr>
        <w:trPr>
          <w:tblHeader w:val="true"/>
        </w:trPr>
        <w:tc>
          <w:tcPr>
            <w:tcW w:w="702" w:type="dxa"/>
          </w:tcPr>
          <w:p>
            <w:pPr>
              <w:pStyle w:val="Compact"/>
              <w:jc w:val="left"/>
              <w:spacing w:before="10" w:after="10" w:line="200" w:lineRule="auto"/>
            </w:pPr>
            <w:r>
              <w:rPr>
                <w:sz w:val="13"/>
                <w:szCs w:val="13"/>
              </w:rPr>
              <w:t xml:space="preserve">Metric</w:t>
            </w:r>
          </w:p>
        </w:tc>
        <w:tc>
          <w:tcPr>
            <w:tcW w:w="929" w:type="dxa"/>
          </w:tcPr>
          <w:p>
            <w:pPr>
              <w:pStyle w:val="Compact"/>
              <w:jc w:val="left"/>
              <w:spacing w:before="10" w:after="10" w:line="200" w:lineRule="auto"/>
            </w:pPr>
            <w:r>
              <w:rPr>
                <w:sz w:val="13"/>
                <w:szCs w:val="13"/>
              </w:rPr>
              <w:t xml:space="preserve">Peer group</w:t>
            </w:r>
          </w:p>
        </w:tc>
        <w:tc>
          <w:tcPr>
            <w:tcW w:w="630" w:type="dxa"/>
          </w:tcPr>
          <w:p>
            <w:pPr>
              <w:pStyle w:val="Compact"/>
              <w:jc w:val="left"/>
              <w:spacing w:before="10" w:after="10" w:line="200" w:lineRule="auto"/>
            </w:pPr>
            <w:r>
              <w:rPr>
                <w:sz w:val="13"/>
                <w:szCs w:val="13"/>
              </w:rPr>
              <w:t xml:space="preserve">AFS</w:t>
            </w:r>
          </w:p>
        </w:tc>
        <w:tc>
          <w:tcPr>
            <w:tcW w:w="702" w:type="dxa"/>
          </w:tcPr>
          <w:p>
            <w:pPr>
              <w:pStyle w:val="Compact"/>
              <w:jc w:val="left"/>
              <w:spacing w:before="10" w:after="10" w:line="200" w:lineRule="auto"/>
            </w:pPr>
            <w:r>
              <w:rPr>
                <w:sz w:val="13"/>
                <w:szCs w:val="13"/>
              </w:rPr>
              <w:t xml:space="preserve">Median</w:t>
            </w:r>
          </w:p>
        </w:tc>
        <w:tc>
          <w:tcPr>
            <w:tcW w:w="891" w:type="dxa"/>
          </w:tcPr>
          <w:p>
            <w:pPr>
              <w:pStyle w:val="Compact"/>
              <w:jc w:val="left"/>
              <w:spacing w:before="10" w:after="10" w:line="200" w:lineRule="auto"/>
            </w:pPr>
            <w:r>
              <w:rPr>
                <w:sz w:val="13"/>
                <w:szCs w:val="13"/>
              </w:rPr>
              <w:t xml:space="preserve">Top quartile</w:t>
            </w:r>
          </w:p>
        </w:tc>
        <w:tc>
          <w:tcPr>
            <w:tcW w:w="721" w:type="dxa"/>
          </w:tcPr>
          <w:p>
            <w:pPr>
              <w:pStyle w:val="Compact"/>
              <w:jc w:val="left"/>
              <w:spacing w:before="10" w:after="10" w:line="200" w:lineRule="auto"/>
            </w:pPr>
            <w:r>
              <w:rPr>
                <w:sz w:val="13"/>
                <w:szCs w:val="13"/>
              </w:rPr>
              <w:t xml:space="preserve">AFS base (Rm)</w:t>
            </w:r>
          </w:p>
        </w:tc>
        <w:tc>
          <w:tcPr>
            <w:tcW w:w="839" w:type="dxa"/>
          </w:tcPr>
          <w:p>
            <w:pPr>
              <w:pStyle w:val="Compact"/>
              <w:jc w:val="left"/>
              <w:spacing w:before="10" w:after="10" w:line="200" w:lineRule="auto"/>
            </w:pPr>
            <w:r>
              <w:rPr>
                <w:sz w:val="13"/>
                <w:szCs w:val="13"/>
              </w:rPr>
              <w:t xml:space="preserve">Gap to median (pp)</w:t>
            </w:r>
          </w:p>
        </w:tc>
        <w:tc>
          <w:tcPr>
            <w:tcW w:w="732" w:type="dxa"/>
          </w:tcPr>
          <w:p>
            <w:pPr>
              <w:pStyle w:val="Compact"/>
              <w:jc w:val="left"/>
              <w:spacing w:before="10" w:after="10" w:line="200" w:lineRule="auto"/>
            </w:pPr>
            <w:r>
              <w:rPr>
                <w:sz w:val="13"/>
                <w:szCs w:val="13"/>
              </w:rPr>
              <w:t xml:space="preserve">Gap to Q1 (pp)</w:t>
            </w:r>
          </w:p>
        </w:tc>
        <w:tc>
          <w:tcPr>
            <w:tcW w:w="839" w:type="dxa"/>
          </w:tcPr>
          <w:p>
            <w:pPr>
              <w:pStyle w:val="Compact"/>
              <w:jc w:val="left"/>
              <w:spacing w:before="10" w:after="10" w:line="200" w:lineRule="auto"/>
            </w:pPr>
            <w:r>
              <w:rPr>
                <w:sz w:val="13"/>
                <w:szCs w:val="13"/>
              </w:rPr>
              <w:t xml:space="preserve">Rand gap to median</w:t>
            </w:r>
          </w:p>
        </w:tc>
        <w:tc>
          <w:tcPr>
            <w:tcW w:w="672" w:type="dxa"/>
          </w:tcPr>
          <w:p>
            <w:pPr>
              <w:pStyle w:val="Compact"/>
              <w:jc w:val="left"/>
              <w:spacing w:before="10" w:after="10" w:line="200" w:lineRule="auto"/>
            </w:pPr>
            <w:r>
              <w:rPr>
                <w:sz w:val="13"/>
                <w:szCs w:val="13"/>
              </w:rPr>
              <w:t xml:space="preserve">Rand gap to Q1</w:t>
            </w:r>
          </w:p>
        </w:tc>
        <w:tc>
          <w:tcPr>
            <w:tcW w:w="558" w:type="dxa"/>
          </w:tcPr>
          <w:p>
            <w:pPr>
              <w:pStyle w:val="Compact"/>
              <w:jc w:val="left"/>
              <w:spacing w:before="10" w:after="10" w:line="200" w:lineRule="auto"/>
            </w:pPr>
            <w:r>
              <w:rPr>
                <w:sz w:val="13"/>
                <w:szCs w:val="13"/>
              </w:rPr>
              <w:t xml:space="preserve">Low</w:t>
            </w:r>
          </w:p>
        </w:tc>
        <w:tc>
          <w:tcPr>
            <w:tcW w:w="558" w:type="dxa"/>
          </w:tcPr>
          <w:p>
            <w:pPr>
              <w:pStyle w:val="Compact"/>
              <w:jc w:val="left"/>
              <w:spacing w:before="10" w:after="10" w:line="200" w:lineRule="auto"/>
            </w:pPr>
            <w:r>
              <w:rPr>
                <w:sz w:val="13"/>
                <w:szCs w:val="13"/>
              </w:rPr>
              <w:t xml:space="preserve">Base</w:t>
            </w:r>
          </w:p>
        </w:tc>
        <w:tc>
          <w:tcPr>
            <w:tcW w:w="558" w:type="dxa"/>
          </w:tcPr>
          <w:p>
            <w:pPr>
              <w:pStyle w:val="Compact"/>
              <w:jc w:val="left"/>
              <w:spacing w:before="10" w:after="10" w:line="200" w:lineRule="auto"/>
            </w:pPr>
            <w:r>
              <w:rPr>
                <w:sz w:val="13"/>
                <w:szCs w:val="13"/>
              </w:rPr>
              <w:t xml:space="preserve">High</w:t>
            </w:r>
          </w:p>
        </w:tc>
        <w:tc>
          <w:tcPr>
            <w:tcW w:w="1682" w:type="dxa"/>
          </w:tcPr>
          <w:p>
            <w:pPr>
              <w:pStyle w:val="Compact"/>
              <w:jc w:val="left"/>
              <w:spacing w:before="10" w:after="10" w:line="200" w:lineRule="auto"/>
            </w:pPr>
            <w:r>
              <w:rPr>
                <w:sz w:val="13"/>
                <w:szCs w:val="13"/>
              </w:rPr>
              <w:t xml:space="preserve">Pool</w:t>
            </w:r>
          </w:p>
        </w:tc>
        <w:tc>
          <w:tcPr>
            <w:tcW w:w="1795" w:type="dxa"/>
          </w:tcPr>
          <w:p>
            <w:pPr>
              <w:pStyle w:val="Compact"/>
              <w:jc w:val="left"/>
              <w:spacing w:before="10" w:after="10" w:line="200" w:lineRule="auto"/>
            </w:pPr>
            <w:r>
              <w:rPr>
                <w:sz w:val="13"/>
                <w:szCs w:val="13"/>
              </w:rPr>
              <w:t xml:space="preserve">Function</w:t>
            </w:r>
          </w:p>
        </w:tc>
        <w:tc>
          <w:tcPr>
            <w:tcW w:w="1757" w:type="dxa"/>
          </w:tcPr>
          <w:p>
            <w:pPr>
              <w:pStyle w:val="Compact"/>
              <w:jc w:val="left"/>
              <w:spacing w:before="10" w:after="10" w:line="200" w:lineRule="auto"/>
            </w:pPr>
            <w:r>
              <w:rPr>
                <w:sz w:val="13"/>
                <w:szCs w:val="13"/>
              </w:rPr>
              <w:t xml:space="preserve">Lever class</w:t>
            </w:r>
          </w:p>
        </w:tc>
      </w:tr>
      <w:tr>
        <w:tc>
          <w:tcPr>
            <w:tcW w:w="702" w:type="dxa"/>
          </w:tcPr>
          <w:p>
            <w:pPr>
              <w:pStyle w:val="Compact"/>
              <w:jc w:val="left"/>
              <w:spacing w:before="10" w:after="10" w:line="200" w:lineRule="auto"/>
            </w:pPr>
            <w:r>
              <w:rPr>
                <w:sz w:val="13"/>
                <w:szCs w:val="13"/>
              </w:rPr>
              <w:t xml:space="preserve">M1</w:t>
            </w:r>
          </w:p>
        </w:tc>
        <w:tc>
          <w:tcPr>
            <w:tcW w:w="929" w:type="dxa"/>
          </w:tcPr>
          <w:p>
            <w:pPr>
              <w:pStyle w:val="Compact"/>
              <w:jc w:val="left"/>
              <w:spacing w:before="10" w:after="10" w:line="200" w:lineRule="auto"/>
            </w:pPr>
            <w:r>
              <w:rPr>
                <w:sz w:val="13"/>
                <w:szCs w:val="13"/>
              </w:rPr>
              <w:t xml:space="preserve">all</w:t>
            </w:r>
          </w:p>
        </w:tc>
        <w:tc>
          <w:tcPr>
            <w:tcW w:w="630" w:type="dxa"/>
          </w:tcPr>
          <w:p>
            <w:pPr>
              <w:pStyle w:val="Compact"/>
              <w:jc w:val="left"/>
              <w:spacing w:before="10" w:after="10" w:line="200" w:lineRule="auto"/>
            </w:pPr>
            <w:r>
              <w:rPr>
                <w:sz w:val="13"/>
                <w:szCs w:val="13"/>
              </w:rPr>
              <w:t xml:space="preserve">11.5%</w:t>
            </w:r>
          </w:p>
        </w:tc>
        <w:tc>
          <w:tcPr>
            <w:tcW w:w="702" w:type="dxa"/>
          </w:tcPr>
          <w:p>
            <w:pPr>
              <w:pStyle w:val="Compact"/>
              <w:jc w:val="left"/>
              <w:spacing w:before="10" w:after="10" w:line="200" w:lineRule="auto"/>
            </w:pPr>
            <w:r>
              <w:rPr>
                <w:sz w:val="13"/>
                <w:szCs w:val="13"/>
              </w:rPr>
              <w:t xml:space="preserve">6.8%</w:t>
            </w:r>
          </w:p>
        </w:tc>
        <w:tc>
          <w:tcPr>
            <w:tcW w:w="891" w:type="dxa"/>
          </w:tcPr>
          <w:p>
            <w:pPr>
              <w:pStyle w:val="Compact"/>
              <w:jc w:val="left"/>
              <w:spacing w:before="10" w:after="10" w:line="200" w:lineRule="auto"/>
            </w:pPr>
            <w:r>
              <w:rPr>
                <w:sz w:val="13"/>
                <w:szCs w:val="13"/>
              </w:rPr>
              <w:t xml:space="preserve">3.3%</w:t>
            </w:r>
          </w:p>
        </w:tc>
        <w:tc>
          <w:tcPr>
            <w:tcW w:w="721" w:type="dxa"/>
          </w:tcPr>
          <w:p>
            <w:pPr>
              <w:pStyle w:val="Compact"/>
              <w:jc w:val="left"/>
              <w:spacing w:before="10" w:after="10" w:line="200" w:lineRule="auto"/>
            </w:pPr>
            <w:r>
              <w:rPr>
                <w:sz w:val="13"/>
                <w:szCs w:val="13"/>
              </w:rPr>
              <w:t xml:space="preserve">9,079</w:t>
            </w:r>
          </w:p>
        </w:tc>
        <w:tc>
          <w:tcPr>
            <w:tcW w:w="839" w:type="dxa"/>
          </w:tcPr>
          <w:p>
            <w:pPr>
              <w:pStyle w:val="Compact"/>
              <w:jc w:val="left"/>
              <w:spacing w:before="10" w:after="10" w:line="200" w:lineRule="auto"/>
            </w:pPr>
            <w:r>
              <w:rPr>
                <w:sz w:val="13"/>
                <w:szCs w:val="13"/>
              </w:rPr>
              <w:t xml:space="preserve">4.6%</w:t>
            </w:r>
          </w:p>
        </w:tc>
        <w:tc>
          <w:tcPr>
            <w:tcW w:w="732" w:type="dxa"/>
          </w:tcPr>
          <w:p>
            <w:pPr>
              <w:pStyle w:val="Compact"/>
              <w:jc w:val="left"/>
              <w:spacing w:before="10" w:after="10" w:line="200" w:lineRule="auto"/>
            </w:pPr>
            <w:r>
              <w:rPr>
                <w:sz w:val="13"/>
                <w:szCs w:val="13"/>
              </w:rPr>
              <w:t xml:space="preserve">8.2%</w:t>
            </w:r>
          </w:p>
        </w:tc>
        <w:tc>
          <w:tcPr>
            <w:tcW w:w="839" w:type="dxa"/>
          </w:tcPr>
          <w:p>
            <w:pPr>
              <w:pStyle w:val="Compact"/>
              <w:jc w:val="left"/>
              <w:spacing w:before="10" w:after="10" w:line="200" w:lineRule="auto"/>
            </w:pPr>
            <w:r>
              <w:rPr>
                <w:sz w:val="13"/>
                <w:szCs w:val="13"/>
              </w:rPr>
              <w:t xml:space="preserve">420</w:t>
            </w:r>
          </w:p>
        </w:tc>
        <w:tc>
          <w:tcPr>
            <w:tcW w:w="672" w:type="dxa"/>
          </w:tcPr>
          <w:p>
            <w:pPr>
              <w:pStyle w:val="Compact"/>
              <w:jc w:val="left"/>
              <w:spacing w:before="10" w:after="10" w:line="200" w:lineRule="auto"/>
            </w:pPr>
            <w:r>
              <w:rPr>
                <w:sz w:val="13"/>
                <w:szCs w:val="13"/>
              </w:rPr>
              <w:t xml:space="preserve">742</w:t>
            </w:r>
          </w:p>
        </w:tc>
        <w:tc>
          <w:tcPr>
            <w:tcW w:w="558" w:type="dxa"/>
          </w:tcPr>
          <w:p>
            <w:pPr>
              <w:pStyle w:val="Compact"/>
              <w:jc w:val="left"/>
              <w:spacing w:before="10" w:after="10" w:line="200" w:lineRule="auto"/>
            </w:pPr>
            <w:r>
              <w:rPr>
                <w:sz w:val="13"/>
                <w:szCs w:val="13"/>
              </w:rPr>
              <w:t xml:space="preserve">210</w:t>
            </w:r>
          </w:p>
        </w:tc>
        <w:tc>
          <w:tcPr>
            <w:tcW w:w="558" w:type="dxa"/>
          </w:tcPr>
          <w:p>
            <w:pPr>
              <w:pStyle w:val="Compact"/>
              <w:jc w:val="left"/>
              <w:spacing w:before="10" w:after="10" w:line="200" w:lineRule="auto"/>
            </w:pPr>
            <w:r>
              <w:rPr>
                <w:sz w:val="13"/>
                <w:szCs w:val="13"/>
              </w:rPr>
              <w:t xml:space="preserve">315</w:t>
            </w:r>
          </w:p>
        </w:tc>
        <w:tc>
          <w:tcPr>
            <w:tcW w:w="558" w:type="dxa"/>
          </w:tcPr>
          <w:p>
            <w:pPr>
              <w:pStyle w:val="Compact"/>
              <w:jc w:val="left"/>
              <w:spacing w:before="10" w:after="10" w:line="200" w:lineRule="auto"/>
            </w:pPr>
            <w:r>
              <w:rPr>
                <w:sz w:val="13"/>
                <w:szCs w:val="13"/>
              </w:rPr>
              <w:t xml:space="preserve">556</w:t>
            </w:r>
          </w:p>
        </w:tc>
        <w:tc>
          <w:tcPr>
            <w:tcW w:w="1682" w:type="dxa"/>
          </w:tcPr>
          <w:p>
            <w:pPr>
              <w:pStyle w:val="Compact"/>
              <w:jc w:val="left"/>
              <w:spacing w:before="10" w:after="10" w:line="200" w:lineRule="auto"/>
            </w:pPr>
            <w:r>
              <w:rPr>
                <w:sz w:val="13"/>
                <w:szCs w:val="13"/>
              </w:rPr>
              <w:t xml:space="preserve">Pool 3 operating expense</w:t>
            </w:r>
          </w:p>
        </w:tc>
        <w:tc>
          <w:tcPr>
            <w:tcW w:w="1795" w:type="dxa"/>
          </w:tcPr>
          <w:p>
            <w:pPr>
              <w:pStyle w:val="Compact"/>
              <w:jc w:val="left"/>
              <w:spacing w:before="10" w:after="10" w:line="200" w:lineRule="auto"/>
            </w:pPr>
            <w:r>
              <w:rPr>
                <w:sz w:val="13"/>
                <w:szCs w:val="13"/>
              </w:rPr>
              <w:t xml:space="preserve">All functions (governance, finance, technology weight)</w:t>
            </w:r>
          </w:p>
        </w:tc>
        <w:tc>
          <w:tcPr>
            <w:tcW w:w="1757" w:type="dxa"/>
          </w:tcPr>
          <w:p>
            <w:pPr>
              <w:pStyle w:val="Compact"/>
              <w:jc w:val="left"/>
              <w:spacing w:before="10" w:after="10" w:line="200" w:lineRule="auto"/>
            </w:pPr>
            <w:r>
              <w:rPr>
                <w:sz w:val="13"/>
                <w:szCs w:val="13"/>
              </w:rPr>
              <w:t xml:space="preserve">Consolidation / Structural (direct)</w:t>
            </w:r>
          </w:p>
        </w:tc>
      </w:tr>
      <w:tr>
        <w:tc>
          <w:tcPr>
            <w:tcW w:w="702" w:type="dxa"/>
          </w:tcPr>
          <w:p>
            <w:pPr>
              <w:pStyle w:val="Compact"/>
              <w:jc w:val="left"/>
              <w:spacing w:before="10" w:after="10" w:line="200" w:lineRule="auto"/>
            </w:pPr>
            <w:r>
              <w:rPr>
                <w:sz w:val="13"/>
                <w:szCs w:val="13"/>
              </w:rPr>
              <w:t xml:space="preserve">M1</w:t>
            </w:r>
          </w:p>
        </w:tc>
        <w:tc>
          <w:tcPr>
            <w:tcW w:w="929" w:type="dxa"/>
          </w:tcPr>
          <w:p>
            <w:pPr>
              <w:pStyle w:val="Compact"/>
              <w:jc w:val="left"/>
              <w:spacing w:before="10" w:after="10" w:line="200" w:lineRule="auto"/>
            </w:pPr>
            <w:r>
              <w:rPr>
                <w:sz w:val="13"/>
                <w:szCs w:val="13"/>
              </w:rPr>
              <w:t xml:space="preserve">life</w:t>
            </w:r>
          </w:p>
        </w:tc>
        <w:tc>
          <w:tcPr>
            <w:tcW w:w="630" w:type="dxa"/>
          </w:tcPr>
          <w:p>
            <w:pPr>
              <w:pStyle w:val="Compact"/>
              <w:jc w:val="left"/>
              <w:spacing w:before="10" w:after="10" w:line="200" w:lineRule="auto"/>
            </w:pPr>
            <w:r>
              <w:rPr>
                <w:sz w:val="13"/>
                <w:szCs w:val="13"/>
              </w:rPr>
              <w:t xml:space="preserve">4.0%</w:t>
            </w:r>
          </w:p>
        </w:tc>
        <w:tc>
          <w:tcPr>
            <w:tcW w:w="702" w:type="dxa"/>
          </w:tcPr>
          <w:p>
            <w:pPr>
              <w:pStyle w:val="Compact"/>
              <w:jc w:val="left"/>
              <w:spacing w:before="10" w:after="10" w:line="200" w:lineRule="auto"/>
            </w:pPr>
            <w:r>
              <w:rPr>
                <w:sz w:val="13"/>
                <w:szCs w:val="13"/>
              </w:rPr>
              <w:t xml:space="preserve">13.8%</w:t>
            </w:r>
          </w:p>
        </w:tc>
        <w:tc>
          <w:tcPr>
            <w:tcW w:w="891" w:type="dxa"/>
          </w:tcPr>
          <w:p>
            <w:pPr>
              <w:pStyle w:val="Compact"/>
              <w:jc w:val="left"/>
              <w:spacing w:before="10" w:after="10" w:line="200" w:lineRule="auto"/>
            </w:pPr>
            <w:r>
              <w:rPr>
                <w:sz w:val="13"/>
                <w:szCs w:val="13"/>
              </w:rPr>
              <w:t xml:space="preserve">4.2%</w:t>
            </w:r>
          </w:p>
        </w:tc>
        <w:tc>
          <w:tcPr>
            <w:tcW w:w="721" w:type="dxa"/>
          </w:tcPr>
          <w:p>
            <w:pPr>
              <w:pStyle w:val="Compact"/>
              <w:jc w:val="left"/>
              <w:spacing w:before="10" w:after="10" w:line="200" w:lineRule="auto"/>
            </w:pPr>
            <w:r>
              <w:rPr>
                <w:sz w:val="13"/>
                <w:szCs w:val="13"/>
              </w:rPr>
              <w:t xml:space="preserve">5,310</w:t>
            </w:r>
          </w:p>
        </w:tc>
        <w:tc>
          <w:tcPr>
            <w:tcW w:w="839" w:type="dxa"/>
          </w:tcPr>
          <w:p>
            <w:pPr>
              <w:pStyle w:val="Compact"/>
              <w:jc w:val="left"/>
              <w:spacing w:before="10" w:after="10" w:line="200" w:lineRule="auto"/>
            </w:pPr>
            <w:r>
              <w:rPr>
                <w:sz w:val="13"/>
                <w:szCs w:val="13"/>
              </w:rPr>
              <w:t xml:space="preserve">-9.8%</w:t>
            </w:r>
          </w:p>
        </w:tc>
        <w:tc>
          <w:tcPr>
            <w:tcW w:w="732" w:type="dxa"/>
          </w:tcPr>
          <w:p>
            <w:pPr>
              <w:pStyle w:val="Compact"/>
              <w:jc w:val="left"/>
              <w:spacing w:before="10" w:after="10" w:line="200" w:lineRule="auto"/>
            </w:pPr>
            <w:r>
              <w:rPr>
                <w:sz w:val="13"/>
                <w:szCs w:val="13"/>
              </w:rPr>
              <w:t xml:space="preserve">-0.2%</w:t>
            </w:r>
          </w:p>
        </w:tc>
        <w:tc>
          <w:tcPr>
            <w:tcW w:w="839" w:type="dxa"/>
          </w:tcPr>
          <w:p>
            <w:pPr>
              <w:pStyle w:val="Compact"/>
              <w:jc w:val="left"/>
              <w:spacing w:before="10" w:after="10" w:line="200" w:lineRule="auto"/>
            </w:pPr>
            <w:r>
              <w:rPr>
                <w:sz w:val="13"/>
                <w:szCs w:val="13"/>
              </w:rPr>
              <w:t xml:space="preserve">-522</w:t>
            </w:r>
          </w:p>
        </w:tc>
        <w:tc>
          <w:tcPr>
            <w:tcW w:w="672" w:type="dxa"/>
          </w:tcPr>
          <w:p>
            <w:pPr>
              <w:pStyle w:val="Compact"/>
              <w:jc w:val="left"/>
              <w:spacing w:before="10" w:after="10" w:line="200" w:lineRule="auto"/>
            </w:pPr>
            <w:r>
              <w:rPr>
                <w:sz w:val="13"/>
                <w:szCs w:val="13"/>
              </w:rPr>
              <w:t xml:space="preserve">-9</w:t>
            </w:r>
          </w:p>
        </w:tc>
        <w:tc>
          <w:tcPr>
            <w:tcW w:w="558" w:type="dxa"/>
          </w:tcPr>
          <w:p>
            <w:pPr>
              <w:pStyle w:val="Compact"/>
              <w:jc w:val="left"/>
              <w:spacing w:before="10" w:after="10" w:line="200" w:lineRule="auto"/>
            </w:pPr>
            <w:r>
              <w:rPr>
                <w:sz w:val="13"/>
                <w:szCs w:val="13"/>
              </w:rPr>
              <w:t xml:space="preserve">-261</w:t>
            </w:r>
          </w:p>
        </w:tc>
        <w:tc>
          <w:tcPr>
            <w:tcW w:w="558" w:type="dxa"/>
          </w:tcPr>
          <w:p>
            <w:pPr>
              <w:pStyle w:val="Compact"/>
              <w:jc w:val="left"/>
              <w:spacing w:before="10" w:after="10" w:line="200" w:lineRule="auto"/>
            </w:pPr>
            <w:r>
              <w:rPr>
                <w:sz w:val="13"/>
                <w:szCs w:val="13"/>
              </w:rPr>
              <w:t xml:space="preserve">-392</w:t>
            </w:r>
          </w:p>
        </w:tc>
        <w:tc>
          <w:tcPr>
            <w:tcW w:w="558" w:type="dxa"/>
          </w:tcPr>
          <w:p>
            <w:pPr>
              <w:pStyle w:val="Compact"/>
              <w:jc w:val="left"/>
              <w:spacing w:before="10" w:after="10" w:line="200" w:lineRule="auto"/>
            </w:pPr>
            <w:r>
              <w:rPr>
                <w:sz w:val="13"/>
                <w:szCs w:val="13"/>
              </w:rPr>
              <w:t xml:space="preserve">-7</w:t>
            </w:r>
          </w:p>
        </w:tc>
        <w:tc>
          <w:tcPr>
            <w:tcW w:w="1682" w:type="dxa"/>
          </w:tcPr>
          <w:p>
            <w:pPr>
              <w:pStyle w:val="Compact"/>
              <w:jc w:val="left"/>
              <w:spacing w:before="10" w:after="10" w:line="200" w:lineRule="auto"/>
            </w:pPr>
            <w:r>
              <w:rPr>
                <w:sz w:val="13"/>
                <w:szCs w:val="13"/>
              </w:rPr>
              <w:t xml:space="preserve">Pool 3</w:t>
            </w:r>
          </w:p>
        </w:tc>
        <w:tc>
          <w:tcPr>
            <w:tcW w:w="1795" w:type="dxa"/>
          </w:tcPr>
          <w:p>
            <w:pPr>
              <w:pStyle w:val="Compact"/>
              <w:jc w:val="left"/>
              <w:spacing w:before="10" w:after="10" w:line="200" w:lineRule="auto"/>
            </w:pPr>
            <w:r>
              <w:rPr>
                <w:sz w:val="13"/>
                <w:szCs w:val="13"/>
              </w:rPr>
              <w:t xml:space="preserve">Policy administration, finance</w:t>
            </w:r>
          </w:p>
        </w:tc>
        <w:tc>
          <w:tcPr>
            <w:tcW w:w="1757" w:type="dxa"/>
          </w:tcPr>
          <w:p>
            <w:pPr>
              <w:pStyle w:val="Compact"/>
              <w:jc w:val="left"/>
              <w:spacing w:before="10" w:after="10" w:line="200" w:lineRule="auto"/>
            </w:pPr>
            <w:r>
              <w:rPr>
                <w:sz w:val="13"/>
                <w:szCs w:val="13"/>
              </w:rPr>
              <w:t xml:space="preserve">Consolidation (direct)</w:t>
            </w:r>
          </w:p>
        </w:tc>
      </w:tr>
      <w:tr>
        <w:tc>
          <w:tcPr>
            <w:tcW w:w="702" w:type="dxa"/>
          </w:tcPr>
          <w:p>
            <w:pPr>
              <w:pStyle w:val="Compact"/>
              <w:jc w:val="left"/>
              <w:spacing w:before="10" w:after="10" w:line="200" w:lineRule="auto"/>
            </w:pPr>
            <w:r>
              <w:rPr>
                <w:sz w:val="13"/>
                <w:szCs w:val="13"/>
              </w:rPr>
              <w:t xml:space="preserve">M1</w:t>
            </w:r>
          </w:p>
        </w:tc>
        <w:tc>
          <w:tcPr>
            <w:tcW w:w="929" w:type="dxa"/>
          </w:tcPr>
          <w:p>
            <w:pPr>
              <w:pStyle w:val="Compact"/>
              <w:jc w:val="left"/>
              <w:spacing w:before="10" w:after="10" w:line="200" w:lineRule="auto"/>
            </w:pPr>
            <w:r>
              <w:rPr>
                <w:sz w:val="13"/>
                <w:szCs w:val="13"/>
              </w:rPr>
              <w:t xml:space="preserve">nonlife</w:t>
            </w:r>
          </w:p>
        </w:tc>
        <w:tc>
          <w:tcPr>
            <w:tcW w:w="630" w:type="dxa"/>
          </w:tcPr>
          <w:p>
            <w:pPr>
              <w:pStyle w:val="Compact"/>
              <w:jc w:val="left"/>
              <w:spacing w:before="10" w:after="10" w:line="200" w:lineRule="auto"/>
            </w:pPr>
            <w:r>
              <w:rPr>
                <w:sz w:val="13"/>
                <w:szCs w:val="13"/>
              </w:rPr>
              <w:t xml:space="preserve">12.3%</w:t>
            </w:r>
          </w:p>
        </w:tc>
        <w:tc>
          <w:tcPr>
            <w:tcW w:w="702" w:type="dxa"/>
          </w:tcPr>
          <w:p>
            <w:pPr>
              <w:pStyle w:val="Compact"/>
              <w:jc w:val="left"/>
              <w:spacing w:before="10" w:after="10" w:line="200" w:lineRule="auto"/>
            </w:pPr>
            <w:r>
              <w:rPr>
                <w:sz w:val="13"/>
                <w:szCs w:val="13"/>
              </w:rPr>
              <w:t xml:space="preserve">3.8%</w:t>
            </w:r>
          </w:p>
        </w:tc>
        <w:tc>
          <w:tcPr>
            <w:tcW w:w="891" w:type="dxa"/>
          </w:tcPr>
          <w:p>
            <w:pPr>
              <w:pStyle w:val="Compact"/>
              <w:jc w:val="left"/>
              <w:spacing w:before="10" w:after="10" w:line="200" w:lineRule="auto"/>
            </w:pPr>
            <w:r>
              <w:rPr>
                <w:sz w:val="13"/>
                <w:szCs w:val="13"/>
              </w:rPr>
              <w:t xml:space="preserve">3.0%</w:t>
            </w:r>
          </w:p>
        </w:tc>
        <w:tc>
          <w:tcPr>
            <w:tcW w:w="721" w:type="dxa"/>
          </w:tcPr>
          <w:p>
            <w:pPr>
              <w:pStyle w:val="Compact"/>
              <w:jc w:val="left"/>
              <w:spacing w:before="10" w:after="10" w:line="200" w:lineRule="auto"/>
            </w:pPr>
            <w:r>
              <w:rPr>
                <w:sz w:val="13"/>
                <w:szCs w:val="13"/>
              </w:rPr>
              <w:t xml:space="preserve">4,102</w:t>
            </w:r>
          </w:p>
        </w:tc>
        <w:tc>
          <w:tcPr>
            <w:tcW w:w="839" w:type="dxa"/>
          </w:tcPr>
          <w:p>
            <w:pPr>
              <w:pStyle w:val="Compact"/>
              <w:jc w:val="left"/>
              <w:spacing w:before="10" w:after="10" w:line="200" w:lineRule="auto"/>
            </w:pPr>
            <w:r>
              <w:rPr>
                <w:sz w:val="13"/>
                <w:szCs w:val="13"/>
              </w:rPr>
              <w:t xml:space="preserve">8.5%</w:t>
            </w:r>
          </w:p>
        </w:tc>
        <w:tc>
          <w:tcPr>
            <w:tcW w:w="732" w:type="dxa"/>
          </w:tcPr>
          <w:p>
            <w:pPr>
              <w:pStyle w:val="Compact"/>
              <w:jc w:val="left"/>
              <w:spacing w:before="10" w:after="10" w:line="200" w:lineRule="auto"/>
            </w:pPr>
            <w:r>
              <w:rPr>
                <w:sz w:val="13"/>
                <w:szCs w:val="13"/>
              </w:rPr>
              <w:t xml:space="preserve">9.3%</w:t>
            </w:r>
          </w:p>
        </w:tc>
        <w:tc>
          <w:tcPr>
            <w:tcW w:w="839" w:type="dxa"/>
          </w:tcPr>
          <w:p>
            <w:pPr>
              <w:pStyle w:val="Compact"/>
              <w:jc w:val="left"/>
              <w:spacing w:before="10" w:after="10" w:line="200" w:lineRule="auto"/>
            </w:pPr>
            <w:r>
              <w:rPr>
                <w:sz w:val="13"/>
                <w:szCs w:val="13"/>
              </w:rPr>
              <w:t xml:space="preserve">349</w:t>
            </w:r>
          </w:p>
        </w:tc>
        <w:tc>
          <w:tcPr>
            <w:tcW w:w="672" w:type="dxa"/>
          </w:tcPr>
          <w:p>
            <w:pPr>
              <w:pStyle w:val="Compact"/>
              <w:jc w:val="left"/>
              <w:spacing w:before="10" w:after="10" w:line="200" w:lineRule="auto"/>
            </w:pPr>
            <w:r>
              <w:rPr>
                <w:sz w:val="13"/>
                <w:szCs w:val="13"/>
              </w:rPr>
              <w:t xml:space="preserve">381</w:t>
            </w:r>
          </w:p>
        </w:tc>
        <w:tc>
          <w:tcPr>
            <w:tcW w:w="558" w:type="dxa"/>
          </w:tcPr>
          <w:p>
            <w:pPr>
              <w:pStyle w:val="Compact"/>
              <w:jc w:val="left"/>
              <w:spacing w:before="10" w:after="10" w:line="200" w:lineRule="auto"/>
            </w:pPr>
            <w:r>
              <w:rPr>
                <w:sz w:val="13"/>
                <w:szCs w:val="13"/>
              </w:rPr>
              <w:t xml:space="preserve">175</w:t>
            </w:r>
          </w:p>
        </w:tc>
        <w:tc>
          <w:tcPr>
            <w:tcW w:w="558" w:type="dxa"/>
          </w:tcPr>
          <w:p>
            <w:pPr>
              <w:pStyle w:val="Compact"/>
              <w:jc w:val="left"/>
              <w:spacing w:before="10" w:after="10" w:line="200" w:lineRule="auto"/>
            </w:pPr>
            <w:r>
              <w:rPr>
                <w:sz w:val="13"/>
                <w:szCs w:val="13"/>
              </w:rPr>
              <w:t xml:space="preserve">262</w:t>
            </w:r>
          </w:p>
        </w:tc>
        <w:tc>
          <w:tcPr>
            <w:tcW w:w="558" w:type="dxa"/>
          </w:tcPr>
          <w:p>
            <w:pPr>
              <w:pStyle w:val="Compact"/>
              <w:jc w:val="left"/>
              <w:spacing w:before="10" w:after="10" w:line="200" w:lineRule="auto"/>
            </w:pPr>
            <w:r>
              <w:rPr>
                <w:sz w:val="13"/>
                <w:szCs w:val="13"/>
              </w:rPr>
              <w:t xml:space="preserve">285</w:t>
            </w:r>
          </w:p>
        </w:tc>
        <w:tc>
          <w:tcPr>
            <w:tcW w:w="1682" w:type="dxa"/>
          </w:tcPr>
          <w:p>
            <w:pPr>
              <w:pStyle w:val="Compact"/>
              <w:jc w:val="left"/>
              <w:spacing w:before="10" w:after="10" w:line="200" w:lineRule="auto"/>
            </w:pPr>
            <w:r>
              <w:rPr>
                <w:sz w:val="13"/>
                <w:szCs w:val="13"/>
              </w:rPr>
              <w:t xml:space="preserve">Pool 3</w:t>
            </w:r>
          </w:p>
        </w:tc>
        <w:tc>
          <w:tcPr>
            <w:tcW w:w="1795" w:type="dxa"/>
          </w:tcPr>
          <w:p>
            <w:pPr>
              <w:pStyle w:val="Compact"/>
              <w:jc w:val="left"/>
              <w:spacing w:before="10" w:after="10" w:line="200" w:lineRule="auto"/>
            </w:pPr>
            <w:r>
              <w:rPr>
                <w:sz w:val="13"/>
                <w:szCs w:val="13"/>
              </w:rPr>
              <w:t xml:space="preserve">Policy administration, claims</w:t>
            </w:r>
          </w:p>
        </w:tc>
        <w:tc>
          <w:tcPr>
            <w:tcW w:w="1757" w:type="dxa"/>
          </w:tcPr>
          <w:p>
            <w:pPr>
              <w:pStyle w:val="Compact"/>
              <w:jc w:val="left"/>
              <w:spacing w:before="10" w:after="10" w:line="200" w:lineRule="auto"/>
            </w:pPr>
            <w:r>
              <w:rPr>
                <w:sz w:val="13"/>
                <w:szCs w:val="13"/>
              </w:rPr>
              <w:t xml:space="preserve">Consolidation (direct), Productivity (adjacent)</w:t>
            </w:r>
          </w:p>
        </w:tc>
      </w:tr>
      <w:tr>
        <w:tc>
          <w:tcPr>
            <w:tcW w:w="702" w:type="dxa"/>
          </w:tcPr>
          <w:p>
            <w:pPr>
              <w:pStyle w:val="Compact"/>
              <w:jc w:val="left"/>
              <w:spacing w:before="10" w:after="10" w:line="200" w:lineRule="auto"/>
            </w:pPr>
            <w:r>
              <w:rPr>
                <w:sz w:val="13"/>
                <w:szCs w:val="13"/>
              </w:rPr>
              <w:t xml:space="preserve">M2</w:t>
            </w:r>
          </w:p>
        </w:tc>
        <w:tc>
          <w:tcPr>
            <w:tcW w:w="929" w:type="dxa"/>
          </w:tcPr>
          <w:p>
            <w:pPr>
              <w:pStyle w:val="Compact"/>
              <w:jc w:val="left"/>
              <w:spacing w:before="10" w:after="10" w:line="200" w:lineRule="auto"/>
            </w:pPr>
            <w:r>
              <w:rPr>
                <w:sz w:val="13"/>
                <w:szCs w:val="13"/>
              </w:rPr>
              <w:t xml:space="preserve">all</w:t>
            </w:r>
          </w:p>
        </w:tc>
        <w:tc>
          <w:tcPr>
            <w:tcW w:w="630" w:type="dxa"/>
          </w:tcPr>
          <w:p>
            <w:pPr>
              <w:pStyle w:val="Compact"/>
              <w:jc w:val="left"/>
              <w:spacing w:before="10" w:after="10" w:line="200" w:lineRule="auto"/>
            </w:pPr>
            <w:r>
              <w:rPr>
                <w:sz w:val="13"/>
                <w:szCs w:val="13"/>
              </w:rPr>
              <w:t xml:space="preserve">19.5%</w:t>
            </w:r>
          </w:p>
        </w:tc>
        <w:tc>
          <w:tcPr>
            <w:tcW w:w="702" w:type="dxa"/>
          </w:tcPr>
          <w:p>
            <w:pPr>
              <w:pStyle w:val="Compact"/>
              <w:jc w:val="left"/>
              <w:spacing w:before="10" w:after="10" w:line="200" w:lineRule="auto"/>
            </w:pPr>
            <w:r>
              <w:rPr>
                <w:sz w:val="13"/>
                <w:szCs w:val="13"/>
              </w:rPr>
              <w:t xml:space="preserve">22.0%</w:t>
            </w:r>
          </w:p>
        </w:tc>
        <w:tc>
          <w:tcPr>
            <w:tcW w:w="891" w:type="dxa"/>
          </w:tcPr>
          <w:p>
            <w:pPr>
              <w:pStyle w:val="Compact"/>
              <w:jc w:val="left"/>
              <w:spacing w:before="10" w:after="10" w:line="200" w:lineRule="auto"/>
            </w:pPr>
            <w:r>
              <w:rPr>
                <w:sz w:val="13"/>
                <w:szCs w:val="13"/>
              </w:rPr>
              <w:t xml:space="preserve">13.3%</w:t>
            </w:r>
          </w:p>
        </w:tc>
        <w:tc>
          <w:tcPr>
            <w:tcW w:w="721" w:type="dxa"/>
          </w:tcPr>
          <w:p>
            <w:pPr>
              <w:pStyle w:val="Compact"/>
              <w:jc w:val="left"/>
              <w:spacing w:before="10" w:after="10" w:line="200" w:lineRule="auto"/>
            </w:pPr>
            <w:r>
              <w:rPr>
                <w:sz w:val="13"/>
                <w:szCs w:val="13"/>
              </w:rPr>
              <w:t xml:space="preserve">9,079</w:t>
            </w:r>
          </w:p>
        </w:tc>
        <w:tc>
          <w:tcPr>
            <w:tcW w:w="839" w:type="dxa"/>
          </w:tcPr>
          <w:p>
            <w:pPr>
              <w:pStyle w:val="Compact"/>
              <w:jc w:val="left"/>
              <w:spacing w:before="10" w:after="10" w:line="200" w:lineRule="auto"/>
            </w:pPr>
            <w:r>
              <w:rPr>
                <w:sz w:val="13"/>
                <w:szCs w:val="13"/>
              </w:rPr>
              <w:t xml:space="preserve">-2.6%</w:t>
            </w:r>
          </w:p>
        </w:tc>
        <w:tc>
          <w:tcPr>
            <w:tcW w:w="732" w:type="dxa"/>
          </w:tcPr>
          <w:p>
            <w:pPr>
              <w:pStyle w:val="Compact"/>
              <w:jc w:val="left"/>
              <w:spacing w:before="10" w:after="10" w:line="200" w:lineRule="auto"/>
            </w:pPr>
            <w:r>
              <w:rPr>
                <w:sz w:val="13"/>
                <w:szCs w:val="13"/>
              </w:rPr>
              <w:t xml:space="preserve">6.2%</w:t>
            </w:r>
          </w:p>
        </w:tc>
        <w:tc>
          <w:tcPr>
            <w:tcW w:w="839" w:type="dxa"/>
          </w:tcPr>
          <w:p>
            <w:pPr>
              <w:pStyle w:val="Compact"/>
              <w:jc w:val="left"/>
              <w:spacing w:before="10" w:after="10" w:line="200" w:lineRule="auto"/>
            </w:pPr>
            <w:r>
              <w:rPr>
                <w:sz w:val="13"/>
                <w:szCs w:val="13"/>
              </w:rPr>
              <w:t xml:space="preserve">-233</w:t>
            </w:r>
          </w:p>
        </w:tc>
        <w:tc>
          <w:tcPr>
            <w:tcW w:w="672" w:type="dxa"/>
          </w:tcPr>
          <w:p>
            <w:pPr>
              <w:pStyle w:val="Compact"/>
              <w:jc w:val="left"/>
              <w:spacing w:before="10" w:after="10" w:line="200" w:lineRule="auto"/>
            </w:pPr>
            <w:r>
              <w:rPr>
                <w:sz w:val="13"/>
                <w:szCs w:val="13"/>
              </w:rPr>
              <w:t xml:space="preserve">563</w:t>
            </w:r>
          </w:p>
        </w:tc>
        <w:tc>
          <w:tcPr>
            <w:tcW w:w="558" w:type="dxa"/>
          </w:tcPr>
          <w:p>
            <w:pPr>
              <w:pStyle w:val="Compact"/>
              <w:jc w:val="left"/>
              <w:spacing w:before="10" w:after="10" w:line="200" w:lineRule="auto"/>
            </w:pPr>
            <w:r>
              <w:rPr>
                <w:sz w:val="13"/>
                <w:szCs w:val="13"/>
              </w:rPr>
              <w:t xml:space="preserve">-117</w:t>
            </w:r>
          </w:p>
        </w:tc>
        <w:tc>
          <w:tcPr>
            <w:tcW w:w="558" w:type="dxa"/>
          </w:tcPr>
          <w:p>
            <w:pPr>
              <w:pStyle w:val="Compact"/>
              <w:jc w:val="left"/>
              <w:spacing w:before="10" w:after="10" w:line="200" w:lineRule="auto"/>
            </w:pPr>
            <w:r>
              <w:rPr>
                <w:sz w:val="13"/>
                <w:szCs w:val="13"/>
              </w:rPr>
              <w:t xml:space="preserve">-175</w:t>
            </w:r>
          </w:p>
        </w:tc>
        <w:tc>
          <w:tcPr>
            <w:tcW w:w="558" w:type="dxa"/>
          </w:tcPr>
          <w:p>
            <w:pPr>
              <w:pStyle w:val="Compact"/>
              <w:jc w:val="left"/>
              <w:spacing w:before="10" w:after="10" w:line="200" w:lineRule="auto"/>
            </w:pPr>
            <w:r>
              <w:rPr>
                <w:sz w:val="13"/>
                <w:szCs w:val="13"/>
              </w:rPr>
              <w:t xml:space="preserve">422</w:t>
            </w:r>
          </w:p>
        </w:tc>
        <w:tc>
          <w:tcPr>
            <w:tcW w:w="1682" w:type="dxa"/>
          </w:tcPr>
          <w:p>
            <w:pPr>
              <w:pStyle w:val="Compact"/>
              <w:jc w:val="left"/>
              <w:spacing w:before="10" w:after="10" w:line="200" w:lineRule="auto"/>
            </w:pPr>
            <w:r>
              <w:rPr>
                <w:sz w:val="13"/>
                <w:szCs w:val="13"/>
              </w:rPr>
              <w:t xml:space="preserve">Pool 3 operating expense</w:t>
            </w:r>
          </w:p>
        </w:tc>
        <w:tc>
          <w:tcPr>
            <w:tcW w:w="1795" w:type="dxa"/>
          </w:tcPr>
          <w:p>
            <w:pPr>
              <w:pStyle w:val="Compact"/>
              <w:jc w:val="left"/>
              <w:spacing w:before="10" w:after="10" w:line="200" w:lineRule="auto"/>
            </w:pPr>
            <w:r>
              <w:rPr>
                <w:sz w:val="13"/>
                <w:szCs w:val="13"/>
              </w:rPr>
              <w:t xml:space="preserve">All functions</w:t>
            </w:r>
          </w:p>
        </w:tc>
        <w:tc>
          <w:tcPr>
            <w:tcW w:w="1757" w:type="dxa"/>
          </w:tcPr>
          <w:p>
            <w:pPr>
              <w:pStyle w:val="Compact"/>
              <w:jc w:val="left"/>
              <w:spacing w:before="10" w:after="10" w:line="200" w:lineRule="auto"/>
            </w:pPr>
            <w:r>
              <w:rPr>
                <w:sz w:val="13"/>
                <w:szCs w:val="13"/>
              </w:rPr>
              <w:t xml:space="preserve">Consolidation, Productivity, Demand</w:t>
            </w:r>
          </w:p>
        </w:tc>
      </w:tr>
      <w:tr>
        <w:tc>
          <w:tcPr>
            <w:tcW w:w="702" w:type="dxa"/>
          </w:tcPr>
          <w:p>
            <w:pPr>
              <w:pStyle w:val="Compact"/>
              <w:jc w:val="left"/>
              <w:spacing w:before="10" w:after="10" w:line="200" w:lineRule="auto"/>
            </w:pPr>
            <w:r>
              <w:rPr>
                <w:sz w:val="13"/>
                <w:szCs w:val="13"/>
              </w:rPr>
              <w:t xml:space="preserve">M2</w:t>
            </w:r>
          </w:p>
        </w:tc>
        <w:tc>
          <w:tcPr>
            <w:tcW w:w="929" w:type="dxa"/>
          </w:tcPr>
          <w:p>
            <w:pPr>
              <w:pStyle w:val="Compact"/>
              <w:jc w:val="left"/>
              <w:spacing w:before="10" w:after="10" w:line="200" w:lineRule="auto"/>
            </w:pPr>
            <w:r>
              <w:rPr>
                <w:sz w:val="13"/>
                <w:szCs w:val="13"/>
              </w:rPr>
              <w:t xml:space="preserve">composite</w:t>
            </w:r>
          </w:p>
        </w:tc>
        <w:tc>
          <w:tcPr>
            <w:tcW w:w="630" w:type="dxa"/>
          </w:tcPr>
          <w:p>
            <w:pPr>
              <w:pStyle w:val="Compact"/>
              <w:jc w:val="left"/>
              <w:spacing w:before="10" w:after="10" w:line="200" w:lineRule="auto"/>
            </w:pPr>
            <w:r>
              <w:rPr>
                <w:sz w:val="13"/>
                <w:szCs w:val="13"/>
              </w:rPr>
              <w:t xml:space="preserve">19.5%</w:t>
            </w:r>
          </w:p>
        </w:tc>
        <w:tc>
          <w:tcPr>
            <w:tcW w:w="702" w:type="dxa"/>
          </w:tcPr>
          <w:p>
            <w:pPr>
              <w:pStyle w:val="Compact"/>
              <w:jc w:val="left"/>
              <w:spacing w:before="10" w:after="10" w:line="200" w:lineRule="auto"/>
            </w:pPr>
            <w:r>
              <w:rPr>
                <w:sz w:val="13"/>
                <w:szCs w:val="13"/>
              </w:rPr>
              <w:t xml:space="preserve">23.5%</w:t>
            </w:r>
          </w:p>
        </w:tc>
        <w:tc>
          <w:tcPr>
            <w:tcW w:w="891" w:type="dxa"/>
          </w:tcPr>
          <w:p>
            <w:pPr>
              <w:pStyle w:val="Compact"/>
              <w:jc w:val="left"/>
              <w:spacing w:before="10" w:after="10" w:line="200" w:lineRule="auto"/>
            </w:pPr>
            <w:r>
              <w:rPr>
                <w:sz w:val="13"/>
                <w:szCs w:val="13"/>
              </w:rPr>
              <w:t xml:space="preserve">14.7%</w:t>
            </w:r>
          </w:p>
        </w:tc>
        <w:tc>
          <w:tcPr>
            <w:tcW w:w="721" w:type="dxa"/>
          </w:tcPr>
          <w:p>
            <w:pPr>
              <w:pStyle w:val="Compact"/>
              <w:jc w:val="left"/>
              <w:spacing w:before="10" w:after="10" w:line="200" w:lineRule="auto"/>
            </w:pPr>
            <w:r>
              <w:rPr>
                <w:sz w:val="13"/>
                <w:szCs w:val="13"/>
              </w:rPr>
              <w:t xml:space="preserve">9,079</w:t>
            </w:r>
          </w:p>
        </w:tc>
        <w:tc>
          <w:tcPr>
            <w:tcW w:w="839" w:type="dxa"/>
          </w:tcPr>
          <w:p>
            <w:pPr>
              <w:pStyle w:val="Compact"/>
              <w:jc w:val="left"/>
              <w:spacing w:before="10" w:after="10" w:line="200" w:lineRule="auto"/>
            </w:pPr>
            <w:r>
              <w:rPr>
                <w:sz w:val="13"/>
                <w:szCs w:val="13"/>
              </w:rPr>
              <w:t xml:space="preserve">-4.0%</w:t>
            </w:r>
          </w:p>
        </w:tc>
        <w:tc>
          <w:tcPr>
            <w:tcW w:w="732" w:type="dxa"/>
          </w:tcPr>
          <w:p>
            <w:pPr>
              <w:pStyle w:val="Compact"/>
              <w:jc w:val="left"/>
              <w:spacing w:before="10" w:after="10" w:line="200" w:lineRule="auto"/>
            </w:pPr>
            <w:r>
              <w:rPr>
                <w:sz w:val="13"/>
                <w:szCs w:val="13"/>
              </w:rPr>
              <w:t xml:space="preserve">4.8%</w:t>
            </w:r>
          </w:p>
        </w:tc>
        <w:tc>
          <w:tcPr>
            <w:tcW w:w="839" w:type="dxa"/>
          </w:tcPr>
          <w:p>
            <w:pPr>
              <w:pStyle w:val="Compact"/>
              <w:jc w:val="left"/>
              <w:spacing w:before="10" w:after="10" w:line="200" w:lineRule="auto"/>
            </w:pPr>
            <w:r>
              <w:rPr>
                <w:sz w:val="13"/>
                <w:szCs w:val="13"/>
              </w:rPr>
              <w:t xml:space="preserve">-366</w:t>
            </w:r>
          </w:p>
        </w:tc>
        <w:tc>
          <w:tcPr>
            <w:tcW w:w="672" w:type="dxa"/>
          </w:tcPr>
          <w:p>
            <w:pPr>
              <w:pStyle w:val="Compact"/>
              <w:jc w:val="left"/>
              <w:spacing w:before="10" w:after="10" w:line="200" w:lineRule="auto"/>
            </w:pPr>
            <w:r>
              <w:rPr>
                <w:sz w:val="13"/>
                <w:szCs w:val="13"/>
              </w:rPr>
              <w:t xml:space="preserve">433</w:t>
            </w:r>
          </w:p>
        </w:tc>
        <w:tc>
          <w:tcPr>
            <w:tcW w:w="558" w:type="dxa"/>
          </w:tcPr>
          <w:p>
            <w:pPr>
              <w:pStyle w:val="Compact"/>
              <w:jc w:val="left"/>
              <w:spacing w:before="10" w:after="10" w:line="200" w:lineRule="auto"/>
            </w:pPr>
            <w:r>
              <w:rPr>
                <w:sz w:val="13"/>
                <w:szCs w:val="13"/>
              </w:rPr>
              <w:t xml:space="preserve">-183</w:t>
            </w:r>
          </w:p>
        </w:tc>
        <w:tc>
          <w:tcPr>
            <w:tcW w:w="558" w:type="dxa"/>
          </w:tcPr>
          <w:p>
            <w:pPr>
              <w:pStyle w:val="Compact"/>
              <w:jc w:val="left"/>
              <w:spacing w:before="10" w:after="10" w:line="200" w:lineRule="auto"/>
            </w:pPr>
            <w:r>
              <w:rPr>
                <w:sz w:val="13"/>
                <w:szCs w:val="13"/>
              </w:rPr>
              <w:t xml:space="preserve">-275</w:t>
            </w:r>
          </w:p>
        </w:tc>
        <w:tc>
          <w:tcPr>
            <w:tcW w:w="558" w:type="dxa"/>
          </w:tcPr>
          <w:p>
            <w:pPr>
              <w:pStyle w:val="Compact"/>
              <w:jc w:val="left"/>
              <w:spacing w:before="10" w:after="10" w:line="200" w:lineRule="auto"/>
            </w:pPr>
            <w:r>
              <w:rPr>
                <w:sz w:val="13"/>
                <w:szCs w:val="13"/>
              </w:rPr>
              <w:t xml:space="preserve">324</w:t>
            </w:r>
          </w:p>
        </w:tc>
        <w:tc>
          <w:tcPr>
            <w:tcW w:w="1682" w:type="dxa"/>
          </w:tcPr>
          <w:p>
            <w:pPr>
              <w:pStyle w:val="Compact"/>
              <w:jc w:val="left"/>
              <w:spacing w:before="10" w:after="10" w:line="200" w:lineRule="auto"/>
            </w:pPr>
            <w:r>
              <w:rPr>
                <w:sz w:val="13"/>
                <w:szCs w:val="13"/>
              </w:rPr>
              <w:t xml:space="preserve">Pool 3</w:t>
            </w:r>
          </w:p>
        </w:tc>
        <w:tc>
          <w:tcPr>
            <w:tcW w:w="1795" w:type="dxa"/>
          </w:tcPr>
          <w:p>
            <w:pPr>
              <w:pStyle w:val="Compact"/>
              <w:jc w:val="left"/>
              <w:spacing w:before="10" w:after="10" w:line="200" w:lineRule="auto"/>
            </w:pPr>
            <w:r>
              <w:rPr>
                <w:sz w:val="13"/>
                <w:szCs w:val="13"/>
              </w:rPr>
              <w:t xml:space="preserve">All functions</w:t>
            </w:r>
          </w:p>
        </w:tc>
        <w:tc>
          <w:tcPr>
            <w:tcW w:w="1757" w:type="dxa"/>
          </w:tcPr>
          <w:p>
            <w:pPr>
              <w:pStyle w:val="Compact"/>
              <w:jc w:val="left"/>
              <w:spacing w:before="10" w:after="10" w:line="200" w:lineRule="auto"/>
            </w:pPr>
            <w:r>
              <w:rPr>
                <w:sz w:val="13"/>
                <w:szCs w:val="13"/>
              </w:rPr>
              <w:t xml:space="preserve">Consolidation, Productivity, Demand</w:t>
            </w:r>
          </w:p>
        </w:tc>
      </w:tr>
      <w:tr>
        <w:tc>
          <w:tcPr>
            <w:tcW w:w="702" w:type="dxa"/>
          </w:tcPr>
          <w:p>
            <w:pPr>
              <w:pStyle w:val="Compact"/>
              <w:jc w:val="left"/>
              <w:spacing w:before="10" w:after="10" w:line="200" w:lineRule="auto"/>
            </w:pPr>
            <w:r>
              <w:rPr>
                <w:sz w:val="13"/>
                <w:szCs w:val="13"/>
              </w:rPr>
              <w:t xml:space="preserve">M3</w:t>
            </w:r>
          </w:p>
        </w:tc>
        <w:tc>
          <w:tcPr>
            <w:tcW w:w="929" w:type="dxa"/>
          </w:tcPr>
          <w:p>
            <w:pPr>
              <w:pStyle w:val="Compact"/>
              <w:jc w:val="left"/>
              <w:spacing w:before="10" w:after="10" w:line="200" w:lineRule="auto"/>
            </w:pPr>
            <w:r>
              <w:rPr>
                <w:sz w:val="13"/>
                <w:szCs w:val="13"/>
              </w:rPr>
              <w:t xml:space="preserve">composite</w:t>
            </w:r>
          </w:p>
        </w:tc>
        <w:tc>
          <w:tcPr>
            <w:tcW w:w="630" w:type="dxa"/>
          </w:tcPr>
          <w:p>
            <w:pPr>
              <w:pStyle w:val="Compact"/>
              <w:jc w:val="left"/>
              <w:spacing w:before="10" w:after="10" w:line="200" w:lineRule="auto"/>
            </w:pPr>
            <w:r>
              <w:rPr>
                <w:sz w:val="13"/>
                <w:szCs w:val="13"/>
              </w:rPr>
              <w:t xml:space="preserve">6.7%</w:t>
            </w:r>
          </w:p>
        </w:tc>
        <w:tc>
          <w:tcPr>
            <w:tcW w:w="702" w:type="dxa"/>
          </w:tcPr>
          <w:p>
            <w:pPr>
              <w:pStyle w:val="Compact"/>
              <w:jc w:val="left"/>
              <w:spacing w:before="10" w:after="10" w:line="200" w:lineRule="auto"/>
            </w:pPr>
            <w:r>
              <w:rPr>
                <w:sz w:val="13"/>
                <w:szCs w:val="13"/>
              </w:rPr>
              <w:t xml:space="preserve">10.6%</w:t>
            </w:r>
          </w:p>
        </w:tc>
        <w:tc>
          <w:tcPr>
            <w:tcW w:w="891" w:type="dxa"/>
          </w:tcPr>
          <w:p>
            <w:pPr>
              <w:pStyle w:val="Compact"/>
              <w:jc w:val="left"/>
              <w:spacing w:before="10" w:after="10" w:line="200" w:lineRule="auto"/>
            </w:pPr>
            <w:r>
              <w:rPr>
                <w:sz w:val="13"/>
                <w:szCs w:val="13"/>
              </w:rPr>
              <w:t xml:space="preserve">6.5%</w:t>
            </w:r>
          </w:p>
        </w:tc>
        <w:tc>
          <w:tcPr>
            <w:tcW w:w="721" w:type="dxa"/>
          </w:tcPr>
          <w:p>
            <w:pPr>
              <w:pStyle w:val="Compact"/>
              <w:jc w:val="left"/>
              <w:spacing w:before="10" w:after="10" w:line="200" w:lineRule="auto"/>
            </w:pPr>
            <w:r>
              <w:rPr>
                <w:sz w:val="13"/>
                <w:szCs w:val="13"/>
              </w:rPr>
              <w:t xml:space="preserve">9,079</w:t>
            </w:r>
          </w:p>
        </w:tc>
        <w:tc>
          <w:tcPr>
            <w:tcW w:w="839" w:type="dxa"/>
          </w:tcPr>
          <w:p>
            <w:pPr>
              <w:pStyle w:val="Compact"/>
              <w:jc w:val="left"/>
              <w:spacing w:before="10" w:after="10" w:line="200" w:lineRule="auto"/>
            </w:pPr>
            <w:r>
              <w:rPr>
                <w:sz w:val="13"/>
                <w:szCs w:val="13"/>
              </w:rPr>
              <w:t xml:space="preserve">-3.9%</w:t>
            </w:r>
          </w:p>
        </w:tc>
        <w:tc>
          <w:tcPr>
            <w:tcW w:w="732" w:type="dxa"/>
          </w:tcPr>
          <w:p>
            <w:pPr>
              <w:pStyle w:val="Compact"/>
              <w:jc w:val="left"/>
              <w:spacing w:before="10" w:after="10" w:line="200" w:lineRule="auto"/>
            </w:pPr>
            <w:r>
              <w:rPr>
                <w:sz w:val="13"/>
                <w:szCs w:val="13"/>
              </w:rPr>
              <w:t xml:space="preserve">0.2%</w:t>
            </w:r>
          </w:p>
        </w:tc>
        <w:tc>
          <w:tcPr>
            <w:tcW w:w="839" w:type="dxa"/>
          </w:tcPr>
          <w:p>
            <w:pPr>
              <w:pStyle w:val="Compact"/>
              <w:jc w:val="left"/>
              <w:spacing w:before="10" w:after="10" w:line="200" w:lineRule="auto"/>
            </w:pPr>
            <w:r>
              <w:rPr>
                <w:sz w:val="13"/>
                <w:szCs w:val="13"/>
              </w:rPr>
              <w:t xml:space="preserve">-350</w:t>
            </w:r>
          </w:p>
        </w:tc>
        <w:tc>
          <w:tcPr>
            <w:tcW w:w="672" w:type="dxa"/>
          </w:tcPr>
          <w:p>
            <w:pPr>
              <w:pStyle w:val="Compact"/>
              <w:jc w:val="left"/>
              <w:spacing w:before="10" w:after="10" w:line="200" w:lineRule="auto"/>
            </w:pPr>
            <w:r>
              <w:rPr>
                <w:sz w:val="13"/>
                <w:szCs w:val="13"/>
              </w:rPr>
              <w:t xml:space="preserve">21</w:t>
            </w:r>
          </w:p>
        </w:tc>
        <w:tc>
          <w:tcPr>
            <w:tcW w:w="558" w:type="dxa"/>
          </w:tcPr>
          <w:p>
            <w:pPr>
              <w:pStyle w:val="Compact"/>
              <w:jc w:val="left"/>
              <w:spacing w:before="10" w:after="10" w:line="200" w:lineRule="auto"/>
            </w:pPr>
            <w:r>
              <w:rPr>
                <w:sz w:val="13"/>
                <w:szCs w:val="13"/>
              </w:rPr>
              <w:t xml:space="preserve">-175</w:t>
            </w:r>
          </w:p>
        </w:tc>
        <w:tc>
          <w:tcPr>
            <w:tcW w:w="558" w:type="dxa"/>
          </w:tcPr>
          <w:p>
            <w:pPr>
              <w:pStyle w:val="Compact"/>
              <w:jc w:val="left"/>
              <w:spacing w:before="10" w:after="10" w:line="200" w:lineRule="auto"/>
            </w:pPr>
            <w:r>
              <w:rPr>
                <w:sz w:val="13"/>
                <w:szCs w:val="13"/>
              </w:rPr>
              <w:t xml:space="preserve">-263</w:t>
            </w:r>
          </w:p>
        </w:tc>
        <w:tc>
          <w:tcPr>
            <w:tcW w:w="558" w:type="dxa"/>
          </w:tcPr>
          <w:p>
            <w:pPr>
              <w:pStyle w:val="Compact"/>
              <w:jc w:val="left"/>
              <w:spacing w:before="10" w:after="10" w:line="200" w:lineRule="auto"/>
            </w:pPr>
            <w:r>
              <w:rPr>
                <w:sz w:val="13"/>
                <w:szCs w:val="13"/>
              </w:rPr>
              <w:t xml:space="preserve">16</w:t>
            </w:r>
          </w:p>
        </w:tc>
        <w:tc>
          <w:tcPr>
            <w:tcW w:w="1682" w:type="dxa"/>
          </w:tcPr>
          <w:p>
            <w:pPr>
              <w:pStyle w:val="Compact"/>
              <w:jc w:val="left"/>
              <w:spacing w:before="10" w:after="10" w:line="200" w:lineRule="auto"/>
            </w:pPr>
            <w:r>
              <w:rPr>
                <w:sz w:val="13"/>
                <w:szCs w:val="13"/>
              </w:rPr>
              <w:t xml:space="preserve">Pool 2 acquisition cost</w:t>
            </w:r>
          </w:p>
        </w:tc>
        <w:tc>
          <w:tcPr>
            <w:tcW w:w="1795" w:type="dxa"/>
          </w:tcPr>
          <w:p>
            <w:pPr>
              <w:pStyle w:val="Compact"/>
              <w:jc w:val="left"/>
              <w:spacing w:before="10" w:after="10" w:line="200" w:lineRule="auto"/>
            </w:pPr>
            <w:r>
              <w:rPr>
                <w:sz w:val="13"/>
                <w:szCs w:val="13"/>
              </w:rPr>
              <w:t xml:space="preserve">Distribution</w:t>
            </w:r>
          </w:p>
        </w:tc>
        <w:tc>
          <w:tcPr>
            <w:tcW w:w="1757" w:type="dxa"/>
          </w:tcPr>
          <w:p>
            <w:pPr>
              <w:pStyle w:val="Compact"/>
              <w:jc w:val="left"/>
              <w:spacing w:before="10" w:after="10" w:line="200" w:lineRule="auto"/>
            </w:pPr>
            <w:r>
              <w:rPr>
                <w:sz w:val="13"/>
                <w:szCs w:val="13"/>
              </w:rPr>
              <w:t xml:space="preserve">Price (adjacent), Structural (FSP consolidation)</w:t>
            </w:r>
          </w:p>
        </w:tc>
      </w:tr>
      <w:tr>
        <w:tc>
          <w:tcPr>
            <w:tcW w:w="702" w:type="dxa"/>
          </w:tcPr>
          <w:p>
            <w:pPr>
              <w:pStyle w:val="Compact"/>
              <w:jc w:val="left"/>
              <w:spacing w:before="10" w:after="10" w:line="200" w:lineRule="auto"/>
            </w:pPr>
            <w:r>
              <w:rPr>
                <w:sz w:val="13"/>
                <w:szCs w:val="13"/>
              </w:rPr>
              <w:t xml:space="preserve">M3</w:t>
            </w:r>
          </w:p>
        </w:tc>
        <w:tc>
          <w:tcPr>
            <w:tcW w:w="929" w:type="dxa"/>
          </w:tcPr>
          <w:p>
            <w:pPr>
              <w:pStyle w:val="Compact"/>
              <w:jc w:val="left"/>
              <w:spacing w:before="10" w:after="10" w:line="200" w:lineRule="auto"/>
            </w:pPr>
            <w:r>
              <w:rPr>
                <w:sz w:val="13"/>
                <w:szCs w:val="13"/>
              </w:rPr>
              <w:t xml:space="preserve">nonlife</w:t>
            </w:r>
          </w:p>
        </w:tc>
        <w:tc>
          <w:tcPr>
            <w:tcW w:w="630" w:type="dxa"/>
          </w:tcPr>
          <w:p>
            <w:pPr>
              <w:pStyle w:val="Compact"/>
              <w:jc w:val="left"/>
              <w:spacing w:before="10" w:after="10" w:line="200" w:lineRule="auto"/>
            </w:pPr>
            <w:r>
              <w:rPr>
                <w:sz w:val="13"/>
                <w:szCs w:val="13"/>
              </w:rPr>
              <w:t xml:space="preserve">13.0%</w:t>
            </w:r>
          </w:p>
        </w:tc>
        <w:tc>
          <w:tcPr>
            <w:tcW w:w="702" w:type="dxa"/>
          </w:tcPr>
          <w:p>
            <w:pPr>
              <w:pStyle w:val="Compact"/>
              <w:jc w:val="left"/>
              <w:spacing w:before="10" w:after="10" w:line="200" w:lineRule="auto"/>
            </w:pPr>
            <w:r>
              <w:rPr>
                <w:sz w:val="13"/>
                <w:szCs w:val="13"/>
              </w:rPr>
              <w:t xml:space="preserve">13.9%</w:t>
            </w:r>
          </w:p>
        </w:tc>
        <w:tc>
          <w:tcPr>
            <w:tcW w:w="891" w:type="dxa"/>
          </w:tcPr>
          <w:p>
            <w:pPr>
              <w:pStyle w:val="Compact"/>
              <w:jc w:val="left"/>
              <w:spacing w:before="10" w:after="10" w:line="200" w:lineRule="auto"/>
            </w:pPr>
            <w:r>
              <w:rPr>
                <w:sz w:val="13"/>
                <w:szCs w:val="13"/>
              </w:rPr>
              <w:t xml:space="preserve">10.7%</w:t>
            </w:r>
          </w:p>
        </w:tc>
        <w:tc>
          <w:tcPr>
            <w:tcW w:w="721" w:type="dxa"/>
          </w:tcPr>
          <w:p>
            <w:pPr>
              <w:pStyle w:val="Compact"/>
              <w:jc w:val="left"/>
              <w:spacing w:before="10" w:after="10" w:line="200" w:lineRule="auto"/>
            </w:pPr>
            <w:r>
              <w:rPr>
                <w:sz w:val="13"/>
                <w:szCs w:val="13"/>
              </w:rPr>
              <w:t xml:space="preserve">4,102</w:t>
            </w:r>
          </w:p>
        </w:tc>
        <w:tc>
          <w:tcPr>
            <w:tcW w:w="839" w:type="dxa"/>
          </w:tcPr>
          <w:p>
            <w:pPr>
              <w:pStyle w:val="Compact"/>
              <w:jc w:val="left"/>
              <w:spacing w:before="10" w:after="10" w:line="200" w:lineRule="auto"/>
            </w:pPr>
            <w:r>
              <w:rPr>
                <w:sz w:val="13"/>
                <w:szCs w:val="13"/>
              </w:rPr>
              <w:t xml:space="preserve">-0.9%</w:t>
            </w:r>
          </w:p>
        </w:tc>
        <w:tc>
          <w:tcPr>
            <w:tcW w:w="732" w:type="dxa"/>
          </w:tcPr>
          <w:p>
            <w:pPr>
              <w:pStyle w:val="Compact"/>
              <w:jc w:val="left"/>
              <w:spacing w:before="10" w:after="10" w:line="200" w:lineRule="auto"/>
            </w:pPr>
            <w:r>
              <w:rPr>
                <w:sz w:val="13"/>
                <w:szCs w:val="13"/>
              </w:rPr>
              <w:t xml:space="preserve">2.3%</w:t>
            </w:r>
          </w:p>
        </w:tc>
        <w:tc>
          <w:tcPr>
            <w:tcW w:w="839" w:type="dxa"/>
          </w:tcPr>
          <w:p>
            <w:pPr>
              <w:pStyle w:val="Compact"/>
              <w:jc w:val="left"/>
              <w:spacing w:before="10" w:after="10" w:line="200" w:lineRule="auto"/>
            </w:pPr>
            <w:r>
              <w:rPr>
                <w:sz w:val="13"/>
                <w:szCs w:val="13"/>
              </w:rPr>
              <w:t xml:space="preserve">-37</w:t>
            </w:r>
          </w:p>
        </w:tc>
        <w:tc>
          <w:tcPr>
            <w:tcW w:w="672" w:type="dxa"/>
          </w:tcPr>
          <w:p>
            <w:pPr>
              <w:pStyle w:val="Compact"/>
              <w:jc w:val="left"/>
              <w:spacing w:before="10" w:after="10" w:line="200" w:lineRule="auto"/>
            </w:pPr>
            <w:r>
              <w:rPr>
                <w:sz w:val="13"/>
                <w:szCs w:val="13"/>
              </w:rPr>
              <w:t xml:space="preserve">94</w:t>
            </w:r>
          </w:p>
        </w:tc>
        <w:tc>
          <w:tcPr>
            <w:tcW w:w="558" w:type="dxa"/>
          </w:tcPr>
          <w:p>
            <w:pPr>
              <w:pStyle w:val="Compact"/>
              <w:jc w:val="left"/>
              <w:spacing w:before="10" w:after="10" w:line="200" w:lineRule="auto"/>
            </w:pPr>
            <w:r>
              <w:rPr>
                <w:sz w:val="13"/>
                <w:szCs w:val="13"/>
              </w:rPr>
              <w:t xml:space="preserve">-19</w:t>
            </w:r>
          </w:p>
        </w:tc>
        <w:tc>
          <w:tcPr>
            <w:tcW w:w="558" w:type="dxa"/>
          </w:tcPr>
          <w:p>
            <w:pPr>
              <w:pStyle w:val="Compact"/>
              <w:jc w:val="left"/>
              <w:spacing w:before="10" w:after="10" w:line="200" w:lineRule="auto"/>
            </w:pPr>
            <w:r>
              <w:rPr>
                <w:sz w:val="13"/>
                <w:szCs w:val="13"/>
              </w:rPr>
              <w:t xml:space="preserve">-28</w:t>
            </w:r>
          </w:p>
        </w:tc>
        <w:tc>
          <w:tcPr>
            <w:tcW w:w="558" w:type="dxa"/>
          </w:tcPr>
          <w:p>
            <w:pPr>
              <w:pStyle w:val="Compact"/>
              <w:jc w:val="left"/>
              <w:spacing w:before="10" w:after="10" w:line="200" w:lineRule="auto"/>
            </w:pPr>
            <w:r>
              <w:rPr>
                <w:sz w:val="13"/>
                <w:szCs w:val="13"/>
              </w:rPr>
              <w:t xml:space="preserve">71</w:t>
            </w:r>
          </w:p>
        </w:tc>
        <w:tc>
          <w:tcPr>
            <w:tcW w:w="1682" w:type="dxa"/>
          </w:tcPr>
          <w:p>
            <w:pPr>
              <w:pStyle w:val="Compact"/>
              <w:jc w:val="left"/>
              <w:spacing w:before="10" w:after="10" w:line="200" w:lineRule="auto"/>
            </w:pPr>
            <w:r>
              <w:rPr>
                <w:sz w:val="13"/>
                <w:szCs w:val="13"/>
              </w:rPr>
              <w:t xml:space="preserve">Pool 2</w:t>
            </w:r>
          </w:p>
        </w:tc>
        <w:tc>
          <w:tcPr>
            <w:tcW w:w="1795" w:type="dxa"/>
          </w:tcPr>
          <w:p>
            <w:pPr>
              <w:pStyle w:val="Compact"/>
              <w:jc w:val="left"/>
              <w:spacing w:before="10" w:after="10" w:line="200" w:lineRule="auto"/>
            </w:pPr>
            <w:r>
              <w:rPr>
                <w:sz w:val="13"/>
                <w:szCs w:val="13"/>
              </w:rPr>
              <w:t xml:space="preserve">Distribution</w:t>
            </w:r>
          </w:p>
        </w:tc>
        <w:tc>
          <w:tcPr>
            <w:tcW w:w="1757" w:type="dxa"/>
          </w:tcPr>
          <w:p>
            <w:pPr>
              <w:pStyle w:val="Compact"/>
              <w:jc w:val="left"/>
              <w:spacing w:before="10" w:after="10" w:line="200" w:lineRule="auto"/>
            </w:pPr>
            <w:r>
              <w:rPr>
                <w:sz w:val="13"/>
                <w:szCs w:val="13"/>
              </w:rPr>
              <w:t xml:space="preserve">Price (adjacent)</w:t>
            </w:r>
          </w:p>
        </w:tc>
      </w:tr>
      <w:tr>
        <w:tc>
          <w:tcPr>
            <w:tcW w:w="702" w:type="dxa"/>
          </w:tcPr>
          <w:p>
            <w:pPr>
              <w:pStyle w:val="Compact"/>
              <w:jc w:val="left"/>
              <w:spacing w:before="10" w:after="10" w:line="200" w:lineRule="auto"/>
            </w:pPr>
            <w:r>
              <w:rPr>
                <w:sz w:val="13"/>
                <w:szCs w:val="13"/>
              </w:rPr>
              <w:t xml:space="preserve">M5</w:t>
            </w:r>
          </w:p>
        </w:tc>
        <w:tc>
          <w:tcPr>
            <w:tcW w:w="929" w:type="dxa"/>
          </w:tcPr>
          <w:p>
            <w:pPr>
              <w:pStyle w:val="Compact"/>
              <w:jc w:val="left"/>
              <w:spacing w:before="10" w:after="10" w:line="200" w:lineRule="auto"/>
            </w:pPr>
            <w:r>
              <w:rPr>
                <w:sz w:val="13"/>
                <w:szCs w:val="13"/>
              </w:rPr>
              <w:t xml:space="preserve">nonlife</w:t>
            </w:r>
          </w:p>
        </w:tc>
        <w:tc>
          <w:tcPr>
            <w:tcW w:w="630" w:type="dxa"/>
          </w:tcPr>
          <w:p>
            <w:pPr>
              <w:pStyle w:val="Compact"/>
              <w:jc w:val="left"/>
              <w:spacing w:before="10" w:after="10" w:line="200" w:lineRule="auto"/>
            </w:pPr>
            <w:r>
              <w:rPr>
                <w:sz w:val="13"/>
                <w:szCs w:val="13"/>
              </w:rPr>
              <w:t xml:space="preserve">81.5%</w:t>
            </w:r>
          </w:p>
        </w:tc>
        <w:tc>
          <w:tcPr>
            <w:tcW w:w="702" w:type="dxa"/>
          </w:tcPr>
          <w:p>
            <w:pPr>
              <w:pStyle w:val="Compact"/>
              <w:jc w:val="left"/>
              <w:spacing w:before="10" w:after="10" w:line="200" w:lineRule="auto"/>
            </w:pPr>
            <w:r>
              <w:rPr>
                <w:sz w:val="13"/>
                <w:szCs w:val="13"/>
              </w:rPr>
              <w:t xml:space="preserve">89.5%</w:t>
            </w:r>
          </w:p>
        </w:tc>
        <w:tc>
          <w:tcPr>
            <w:tcW w:w="891" w:type="dxa"/>
          </w:tcPr>
          <w:p>
            <w:pPr>
              <w:pStyle w:val="Compact"/>
              <w:jc w:val="left"/>
              <w:spacing w:before="10" w:after="10" w:line="200" w:lineRule="auto"/>
            </w:pPr>
            <w:r>
              <w:rPr>
                <w:sz w:val="13"/>
                <w:szCs w:val="13"/>
              </w:rPr>
              <w:t xml:space="preserve">87.7%</w:t>
            </w:r>
          </w:p>
        </w:tc>
        <w:tc>
          <w:tcPr>
            <w:tcW w:w="721" w:type="dxa"/>
          </w:tcPr>
          <w:p>
            <w:pPr>
              <w:pStyle w:val="Compact"/>
              <w:jc w:val="left"/>
              <w:spacing w:before="10" w:after="10" w:line="200" w:lineRule="auto"/>
            </w:pPr>
            <w:r>
              <w:rPr>
                <w:sz w:val="13"/>
                <w:szCs w:val="13"/>
              </w:rPr>
              <w:t xml:space="preserve">4,102</w:t>
            </w:r>
          </w:p>
        </w:tc>
        <w:tc>
          <w:tcPr>
            <w:tcW w:w="839" w:type="dxa"/>
          </w:tcPr>
          <w:p>
            <w:pPr>
              <w:pStyle w:val="Compact"/>
              <w:jc w:val="left"/>
              <w:spacing w:before="10" w:after="10" w:line="200" w:lineRule="auto"/>
            </w:pPr>
            <w:r>
              <w:rPr>
                <w:sz w:val="13"/>
                <w:szCs w:val="13"/>
              </w:rPr>
              <w:t xml:space="preserve">-8.0%</w:t>
            </w:r>
          </w:p>
        </w:tc>
        <w:tc>
          <w:tcPr>
            <w:tcW w:w="732" w:type="dxa"/>
          </w:tcPr>
          <w:p>
            <w:pPr>
              <w:pStyle w:val="Compact"/>
              <w:jc w:val="left"/>
              <w:spacing w:before="10" w:after="10" w:line="200" w:lineRule="auto"/>
            </w:pPr>
            <w:r>
              <w:rPr>
                <w:sz w:val="13"/>
                <w:szCs w:val="13"/>
              </w:rPr>
              <w:t xml:space="preserve">-6.2%</w:t>
            </w:r>
          </w:p>
        </w:tc>
        <w:tc>
          <w:tcPr>
            <w:tcW w:w="839" w:type="dxa"/>
          </w:tcPr>
          <w:p>
            <w:pPr>
              <w:pStyle w:val="Compact"/>
              <w:jc w:val="left"/>
              <w:spacing w:before="10" w:after="10" w:line="200" w:lineRule="auto"/>
            </w:pPr>
            <w:r>
              <w:rPr>
                <w:sz w:val="13"/>
                <w:szCs w:val="13"/>
              </w:rPr>
              <w:t xml:space="preserve">-327</w:t>
            </w:r>
          </w:p>
        </w:tc>
        <w:tc>
          <w:tcPr>
            <w:tcW w:w="672" w:type="dxa"/>
          </w:tcPr>
          <w:p>
            <w:pPr>
              <w:pStyle w:val="Compact"/>
              <w:jc w:val="left"/>
              <w:spacing w:before="10" w:after="10" w:line="200" w:lineRule="auto"/>
            </w:pPr>
            <w:r>
              <w:rPr>
                <w:sz w:val="13"/>
                <w:szCs w:val="13"/>
              </w:rPr>
              <w:t xml:space="preserve">-254</w:t>
            </w:r>
          </w:p>
        </w:tc>
        <w:tc>
          <w:tcPr>
            <w:tcW w:w="558" w:type="dxa"/>
          </w:tcPr>
          <w:p>
            <w:pPr>
              <w:pStyle w:val="Compact"/>
              <w:jc w:val="left"/>
              <w:spacing w:before="10" w:after="10" w:line="200" w:lineRule="auto"/>
            </w:pPr>
            <w:r>
              <w:rPr>
                <w:sz w:val="13"/>
                <w:szCs w:val="13"/>
              </w:rPr>
              <w:t xml:space="preserve">-164</w:t>
            </w:r>
          </w:p>
        </w:tc>
        <w:tc>
          <w:tcPr>
            <w:tcW w:w="558" w:type="dxa"/>
          </w:tcPr>
          <w:p>
            <w:pPr>
              <w:pStyle w:val="Compact"/>
              <w:jc w:val="left"/>
              <w:spacing w:before="10" w:after="10" w:line="200" w:lineRule="auto"/>
            </w:pPr>
            <w:r>
              <w:rPr>
                <w:sz w:val="13"/>
                <w:szCs w:val="13"/>
              </w:rPr>
              <w:t xml:space="preserve">-245</w:t>
            </w:r>
          </w:p>
        </w:tc>
        <w:tc>
          <w:tcPr>
            <w:tcW w:w="558" w:type="dxa"/>
          </w:tcPr>
          <w:p>
            <w:pPr>
              <w:pStyle w:val="Compact"/>
              <w:jc w:val="left"/>
              <w:spacing w:before="10" w:after="10" w:line="200" w:lineRule="auto"/>
            </w:pPr>
            <w:r>
              <w:rPr>
                <w:sz w:val="13"/>
                <w:szCs w:val="13"/>
              </w:rPr>
              <w:t xml:space="preserve">-190</w:t>
            </w:r>
          </w:p>
        </w:tc>
        <w:tc>
          <w:tcPr>
            <w:tcW w:w="1682" w:type="dxa"/>
          </w:tcPr>
          <w:p>
            <w:pPr>
              <w:pStyle w:val="Compact"/>
              <w:jc w:val="left"/>
              <w:spacing w:before="10" w:after="10" w:line="200" w:lineRule="auto"/>
            </w:pPr>
            <w:r>
              <w:rPr>
                <w:sz w:val="13"/>
                <w:szCs w:val="13"/>
              </w:rPr>
              <w:t xml:space="preserve">Pool 1 claims and benefits (with attributable handling cost)</w:t>
            </w:r>
          </w:p>
        </w:tc>
        <w:tc>
          <w:tcPr>
            <w:tcW w:w="1795" w:type="dxa"/>
          </w:tcPr>
          <w:p>
            <w:pPr>
              <w:pStyle w:val="Compact"/>
              <w:jc w:val="left"/>
              <w:spacing w:before="10" w:after="10" w:line="200" w:lineRule="auto"/>
            </w:pPr>
            <w:r>
              <w:rPr>
                <w:sz w:val="13"/>
                <w:szCs w:val="13"/>
              </w:rPr>
              <w:t xml:space="preserve">Claims, Product and pricing</w:t>
            </w:r>
          </w:p>
        </w:tc>
        <w:tc>
          <w:tcPr>
            <w:tcW w:w="1757" w:type="dxa"/>
          </w:tcPr>
          <w:p>
            <w:pPr>
              <w:pStyle w:val="Compact"/>
              <w:jc w:val="left"/>
              <w:spacing w:before="10" w:after="10" w:line="200" w:lineRule="auto"/>
            </w:pPr>
            <w:r>
              <w:rPr>
                <w:sz w:val="13"/>
                <w:szCs w:val="13"/>
              </w:rPr>
              <w:t xml:space="preserve">Leakage (independent), Price (reinsurance), Productivity</w:t>
            </w:r>
          </w:p>
        </w:tc>
      </w:tr>
      <w:tr>
        <w:tc>
          <w:tcPr>
            <w:tcW w:w="702" w:type="dxa"/>
          </w:tcPr>
          <w:p>
            <w:pPr>
              <w:pStyle w:val="Compact"/>
              <w:jc w:val="left"/>
              <w:spacing w:before="10" w:after="10" w:line="200" w:lineRule="auto"/>
            </w:pPr>
            <w:r>
              <w:rPr>
                <w:sz w:val="13"/>
                <w:szCs w:val="13"/>
              </w:rPr>
              <w:t xml:space="preserve">M5b</w:t>
            </w:r>
          </w:p>
        </w:tc>
        <w:tc>
          <w:tcPr>
            <w:tcW w:w="929" w:type="dxa"/>
          </w:tcPr>
          <w:p>
            <w:pPr>
              <w:pStyle w:val="Compact"/>
              <w:jc w:val="left"/>
              <w:spacing w:before="10" w:after="10" w:line="200" w:lineRule="auto"/>
            </w:pPr>
            <w:r>
              <w:rPr>
                <w:sz w:val="13"/>
                <w:szCs w:val="13"/>
              </w:rPr>
              <w:t xml:space="preserve">nonlife</w:t>
            </w:r>
          </w:p>
        </w:tc>
        <w:tc>
          <w:tcPr>
            <w:tcW w:w="630" w:type="dxa"/>
          </w:tcPr>
          <w:p>
            <w:pPr>
              <w:pStyle w:val="Compact"/>
              <w:jc w:val="left"/>
              <w:spacing w:before="10" w:after="10" w:line="200" w:lineRule="auto"/>
            </w:pPr>
            <w:r>
              <w:rPr>
                <w:sz w:val="13"/>
                <w:szCs w:val="13"/>
              </w:rPr>
              <w:t xml:space="preserve">93.8%</w:t>
            </w:r>
          </w:p>
        </w:tc>
        <w:tc>
          <w:tcPr>
            <w:tcW w:w="702" w:type="dxa"/>
          </w:tcPr>
          <w:p>
            <w:pPr>
              <w:pStyle w:val="Compact"/>
              <w:jc w:val="left"/>
              <w:spacing w:before="10" w:after="10" w:line="200" w:lineRule="auto"/>
            </w:pPr>
            <w:r>
              <w:rPr>
                <w:sz w:val="13"/>
                <w:szCs w:val="13"/>
              </w:rPr>
              <w:t xml:space="preserve">93.0%</w:t>
            </w:r>
          </w:p>
        </w:tc>
        <w:tc>
          <w:tcPr>
            <w:tcW w:w="891" w:type="dxa"/>
          </w:tcPr>
          <w:p>
            <w:pPr>
              <w:pStyle w:val="Compact"/>
              <w:jc w:val="left"/>
              <w:spacing w:before="10" w:after="10" w:line="200" w:lineRule="auto"/>
            </w:pPr>
            <w:r>
              <w:rPr>
                <w:sz w:val="13"/>
                <w:szCs w:val="13"/>
              </w:rPr>
              <w:t xml:space="preserve">90.7%</w:t>
            </w:r>
          </w:p>
        </w:tc>
        <w:tc>
          <w:tcPr>
            <w:tcW w:w="721" w:type="dxa"/>
          </w:tcPr>
          <w:p>
            <w:pPr>
              <w:pStyle w:val="Compact"/>
              <w:jc w:val="left"/>
              <w:spacing w:before="10" w:after="10" w:line="200" w:lineRule="auto"/>
            </w:pPr>
            <w:r>
              <w:rPr>
                <w:sz w:val="13"/>
                <w:szCs w:val="13"/>
              </w:rPr>
              <w:t xml:space="preserve">4,102</w:t>
            </w:r>
          </w:p>
        </w:tc>
        <w:tc>
          <w:tcPr>
            <w:tcW w:w="839" w:type="dxa"/>
          </w:tcPr>
          <w:p>
            <w:pPr>
              <w:pStyle w:val="Compact"/>
              <w:jc w:val="left"/>
              <w:spacing w:before="10" w:after="10" w:line="200" w:lineRule="auto"/>
            </w:pPr>
            <w:r>
              <w:rPr>
                <w:sz w:val="13"/>
                <w:szCs w:val="13"/>
              </w:rPr>
              <w:t xml:space="preserve">0.8%</w:t>
            </w:r>
          </w:p>
        </w:tc>
        <w:tc>
          <w:tcPr>
            <w:tcW w:w="732" w:type="dxa"/>
          </w:tcPr>
          <w:p>
            <w:pPr>
              <w:pStyle w:val="Compact"/>
              <w:jc w:val="left"/>
              <w:spacing w:before="10" w:after="10" w:line="200" w:lineRule="auto"/>
            </w:pPr>
            <w:r>
              <w:rPr>
                <w:sz w:val="13"/>
                <w:szCs w:val="13"/>
              </w:rPr>
              <w:t xml:space="preserve">3.1%</w:t>
            </w:r>
          </w:p>
        </w:tc>
        <w:tc>
          <w:tcPr>
            <w:tcW w:w="839" w:type="dxa"/>
          </w:tcPr>
          <w:p>
            <w:pPr>
              <w:pStyle w:val="Compact"/>
              <w:jc w:val="left"/>
              <w:spacing w:before="10" w:after="10" w:line="200" w:lineRule="auto"/>
            </w:pPr>
            <w:r>
              <w:rPr>
                <w:sz w:val="13"/>
                <w:szCs w:val="13"/>
              </w:rPr>
              <w:t xml:space="preserve">35</w:t>
            </w:r>
          </w:p>
        </w:tc>
        <w:tc>
          <w:tcPr>
            <w:tcW w:w="672" w:type="dxa"/>
          </w:tcPr>
          <w:p>
            <w:pPr>
              <w:pStyle w:val="Compact"/>
              <w:jc w:val="left"/>
              <w:spacing w:before="10" w:after="10" w:line="200" w:lineRule="auto"/>
            </w:pPr>
            <w:r>
              <w:rPr>
                <w:sz w:val="13"/>
                <w:szCs w:val="13"/>
              </w:rPr>
              <w:t xml:space="preserve">127</w:t>
            </w:r>
          </w:p>
        </w:tc>
        <w:tc>
          <w:tcPr>
            <w:tcW w:w="558" w:type="dxa"/>
          </w:tcPr>
          <w:p>
            <w:pPr>
              <w:pStyle w:val="Compact"/>
              <w:jc w:val="left"/>
              <w:spacing w:before="10" w:after="10" w:line="200" w:lineRule="auto"/>
            </w:pPr>
            <w:r>
              <w:rPr>
                <w:sz w:val="13"/>
                <w:szCs w:val="13"/>
              </w:rPr>
              <w:t xml:space="preserve">17</w:t>
            </w:r>
          </w:p>
        </w:tc>
        <w:tc>
          <w:tcPr>
            <w:tcW w:w="558" w:type="dxa"/>
          </w:tcPr>
          <w:p>
            <w:pPr>
              <w:pStyle w:val="Compact"/>
              <w:jc w:val="left"/>
              <w:spacing w:before="10" w:after="10" w:line="200" w:lineRule="auto"/>
            </w:pPr>
            <w:r>
              <w:rPr>
                <w:sz w:val="13"/>
                <w:szCs w:val="13"/>
              </w:rPr>
              <w:t xml:space="preserve">26</w:t>
            </w:r>
          </w:p>
        </w:tc>
        <w:tc>
          <w:tcPr>
            <w:tcW w:w="558" w:type="dxa"/>
          </w:tcPr>
          <w:p>
            <w:pPr>
              <w:pStyle w:val="Compact"/>
              <w:jc w:val="left"/>
              <w:spacing w:before="10" w:after="10" w:line="200" w:lineRule="auto"/>
            </w:pPr>
            <w:r>
              <w:rPr>
                <w:sz w:val="13"/>
                <w:szCs w:val="13"/>
              </w:rPr>
              <w:t xml:space="preserve">95</w:t>
            </w:r>
          </w:p>
        </w:tc>
        <w:tc>
          <w:tcPr>
            <w:tcW w:w="1682" w:type="dxa"/>
          </w:tcPr>
          <w:p>
            <w:pPr>
              <w:pStyle w:val="Compact"/>
              <w:jc w:val="left"/>
              <w:spacing w:before="10" w:after="10" w:line="200" w:lineRule="auto"/>
            </w:pPr>
            <w:r>
              <w:rPr>
                <w:sz w:val="13"/>
                <w:szCs w:val="13"/>
              </w:rPr>
              <w:t xml:space="preserve">Pools 1 and 3</w:t>
            </w:r>
          </w:p>
        </w:tc>
        <w:tc>
          <w:tcPr>
            <w:tcW w:w="1795" w:type="dxa"/>
          </w:tcPr>
          <w:p>
            <w:pPr>
              <w:pStyle w:val="Compact"/>
              <w:jc w:val="left"/>
              <w:spacing w:before="10" w:after="10" w:line="200" w:lineRule="auto"/>
            </w:pPr>
            <w:r>
              <w:rPr>
                <w:sz w:val="13"/>
                <w:szCs w:val="13"/>
              </w:rPr>
              <w:t xml:space="preserve">Claims, Policy administration</w:t>
            </w:r>
          </w:p>
        </w:tc>
        <w:tc>
          <w:tcPr>
            <w:tcW w:w="1757" w:type="dxa"/>
          </w:tcPr>
          <w:p>
            <w:pPr>
              <w:pStyle w:val="Compact"/>
              <w:jc w:val="left"/>
              <w:spacing w:before="10" w:after="10" w:line="200" w:lineRule="auto"/>
            </w:pPr>
            <w:r>
              <w:rPr>
                <w:sz w:val="13"/>
                <w:szCs w:val="13"/>
              </w:rPr>
              <w:t xml:space="preserve">Leakage, Consolidation</w:t>
            </w:r>
          </w:p>
        </w:tc>
      </w:tr>
    </w:tbl>
    <w:p>
      <w:pPr>
        <w:pStyle w:val="BodyText"/>
      </w:pPr>
      <w:r>
        <w:t xml:space="preserve">Source: afs_cost_benchmark.xlsx, Benchmark and Gap sizing tabs. Gaps are hypothesis ranges, not targets. Low and base apply the realisation factors on the gap to median; high applies the factor on the gap to top quartile. Negative values mean AFS is already better than the statistic.</w:t>
      </w:r>
    </w:p>
    <w:p>
      <w:pPr>
        <w:pStyle w:val="BodyText"/>
        <w:sectPr>
          <w:pgSz w:w="16838" w:h="11906" w:orient="landscape"/>
          <w:pgMar w:top="1134" w:right="1134" w:bottom="1134" w:left="1134" w:header="708" w:footer="708" w:gutter="0"/>
        </w:sectPr>
      </w:pPr>
    </w:p>
    <w:bookmarkEnd w:id="45"/>
    <w:bookmarkEnd w:id="46"/>
    <w:bookmarkStart w:id="52" w:name="the-five-hypotheses"/>
    <w:p>
      <w:pPr>
        <w:pStyle w:val="Heading2"/>
      </w:pPr>
      <w:r>
        <w:t xml:space="preserve">5. The five hypotheses</w:t>
      </w:r>
    </w:p>
    <w:p>
      <w:pPr>
        <w:pStyle w:val="FirstParagraph"/>
      </w:pPr>
      <w:r>
        <w:t xml:space="preserve">Each hypothesis states the claim, the evidence with its data_ids, the cells of the cost tree it maps to, the lever class, the rand range, the regulatory constraint that binds it and the management information that would confirm or kill it. The tree, the classification and the constraints are set out in full in the framework document and summarised in section 6.</w:t>
      </w:r>
    </w:p>
    <w:bookmarkStart w:id="47" w:name="Xca856e0e888bd0cfc857f55cf0883d343a2cbdf"/>
    <w:p>
      <w:pPr>
        <w:pStyle w:val="Heading3"/>
      </w:pPr>
      <w:r>
        <w:t xml:space="preserve">5.1 The overhead problem is non-life and head office, not life</w:t>
      </w:r>
    </w:p>
    <w:p>
      <w:pPr>
        <w:pStyle w:val="FirstParagraph"/>
      </w:pPr>
      <w:r>
        <w:t xml:space="preserve">Non-Life SA carries R504m of non-attributable cost on R4 102m of revenue, 12.3 percent against a non-life peer median of 3.8 percent and a top quartile of 3.0 percent [AFS-106, AFS-095; Benchmark M1 non-life, n=8]. Its service expense ratio of 77.6 percent and its combined ratio before overhead of 81.5 percent are the best in the South African non-life set. Life SA by contrast carries R212m on R5 310m, 4.0 percent, below its peer median of 13.8 percent [AFS-070, AFS-057]. The head office column adds R326m, up 18 percent in a year, and loses R288m before tax [AFS-140, AFS-157, AFS-143].</w:t>
      </w:r>
    </w:p>
    <w:p>
      <w:pPr>
        <w:pStyle w:val="BodyText"/>
      </w:pPr>
      <w:r>
        <w:t xml:space="preserve">The tree cells are pool 3 across policy administration and servicing, claims, technology and governance. The levers are consolidation (one policy administration and claims platform across Absa Life, Instant Life and AIC, one contact centre estate, fewer vendors), which is directly enabled by centralisation, and productivity in claims handling and the contact centre, which is adjacent. The rand range is R175m to R285m on the non-life overhead gap alone (Gap sizing M1 non-life) and R210m to R556m on the Insurance SA overhead gap as a whole (Gap sizing M1 all). The binding constraint is that a platform shared across the life and non-life licences must be run as an intra-group outsourcing arrangement with each insurer’s board remaining accountable, and that any policy transfer between licences needs statutory approval. The management information that decides it is expense by nature for Non-Life SA and the head office, and the attributable split by function.</w:t>
      </w:r>
    </w:p>
    <w:bookmarkEnd w:id="47"/>
    <w:bookmarkStart w:id="48" w:name="X0fa5151a849a6e77474329ab899407b66fcd079"/>
    <w:p>
      <w:pPr>
        <w:pStyle w:val="Heading3"/>
      </w:pPr>
      <w:r>
        <w:t xml:space="preserve">5.2 The advice and investment businesses are the larger problem and the weaker disclosure</w:t>
      </w:r>
    </w:p>
    <w:p>
      <w:pPr>
        <w:pStyle w:val="FirstParagraph"/>
      </w:pPr>
      <w:r>
        <w:t xml:space="preserve">The Non-Banking Financial Services segment, which housed AIFA, AIMS, Absa Trust and the stockbroker, spent R1 724m against R1 104m of non-interest income in FY2023 and reported a headline loss of R389m [AFS-677, AFS-676, AFS-683]. In FY2024 the block was merged with the Product Solutions Cluster head office and lost R515m on R2 073m of cost [AFS-682, AFS-683], and from FY2025 it is folded into Transactions and Deposits and no longer visible. A captive broker reference, BB Corretora in Brazil, runs at 5.6 percent operating cost to brokerage revenue [EM-337]; the business models differ, but the direction is unmistakable. The AFS block costs more than the underwriters’ entire reported overhead.</w:t>
      </w:r>
    </w:p>
    <w:p>
      <w:pPr>
        <w:pStyle w:val="BodyText"/>
      </w:pPr>
      <w:r>
        <w:t xml:space="preserve">The tree cells are pool 3 and pool 2 in distribution and investments. The levers are structural (FSP register consolidation across AIFA, Instant Life, AIMS and the stockbroker, which is directly enabled by centralisation), productivity (adviser productivity and digital advice, adjacent) and demand (fewer product versions and platforms, adjacent). The rand range is inside the R1 500m to R1 900m† intermediary block in the addressable base, where a 6 to 13 percent precedent saving is R90m to R247m. The binding constraints are the FAIS licence requirements for key individuals, compliance officers and representative registers per FSP, and the commission regulations. The management information that decides it is the FY2025 income statement of the block, adviser headcount and annual premium equivalent per adviser.</w:t>
      </w:r>
    </w:p>
    <w:bookmarkEnd w:id="48"/>
    <w:bookmarkStart w:id="49" w:name="X61f2990920138216c361f9f24f8fa6d18ef2363"/>
    <w:p>
      <w:pPr>
        <w:pStyle w:val="Heading3"/>
      </w:pPr>
      <w:r>
        <w:t xml:space="preserve">5.3 Acquisition cost is a transfer-pricing question, not a saving</w:t>
      </w:r>
    </w:p>
    <w:p>
      <w:pPr>
        <w:pStyle w:val="FirstParagraph"/>
      </w:pPr>
      <w:r>
        <w:t xml:space="preserve">Absa Bank Limited received R774m of insurance commission in FY2025, as in FY2024, and R739m in FY2023 [AFS-1267, AFS-1268, AFS-1269]. Against R1 387m of acquisition cash flows allocated to South Africa, the fee is 56 percent of acquisition. Including it, the cash acquisition ratio is 15.3 percent of revenue; excluding it, 6.7 percent, which is at the composite peer top quartile of 6.5 percent (Benchmark M3 composite, n=6). The amortised expense view gives 10.8 percent against a median of 10.6 percent.</w:t>
      </w:r>
    </w:p>
    <w:p>
      <w:pPr>
        <w:pStyle w:val="BodyText"/>
      </w:pPr>
      <w:r>
        <w:t xml:space="preserve">The tree cell is pool 2 in distribution. The lever is price, which is adjacent, and the saving at group level is nil because the fee eliminates on consolidation. The point of view must say where the economics of centralisation land, in AFS or in the bank, before it sizes anything in pool 2, because a renegotiated fee moves profit between segments and changes the AFS return on equity of 18.2 percent [AFS-810] without creating value for the Group. The binding constraints are the binder and commission regulations that cap what can be paid to an associate. The management information that decides it is the distribution agreement and the fee by product.</w:t>
      </w:r>
    </w:p>
    <w:bookmarkEnd w:id="49"/>
    <w:bookmarkStart w:id="50" w:name="X52eff8a60cb55c805f65f203063490c64269cbb"/>
    <w:p>
      <w:pPr>
        <w:pStyle w:val="Heading3"/>
      </w:pPr>
      <w:r>
        <w:t xml:space="preserve">5.4 The combined ratio advantage is being spent on overhead</w:t>
      </w:r>
    </w:p>
    <w:p>
      <w:pPr>
        <w:pStyle w:val="FirstParagraph"/>
      </w:pPr>
      <w:r>
        <w:t xml:space="preserve">Non-Life SA’s combined ratio before overhead is 81.5 percent, best of the six South African non-life peers whose median is 89.5 percent. After overhead it is 93.8 percent against 93.0 percent (Benchmark M5 and M5b, n=6). On the reported basis, one minus the 7.6 percent underwriting margin gives 92.4 percent against a reported median of 88.7 percent [AFS-055 series; Benchmark M5r, n=9]. The underwriting is good and the overhead gives the advantage away.</w:t>
      </w:r>
    </w:p>
    <w:p>
      <w:pPr>
        <w:pStyle w:val="BodyText"/>
      </w:pPr>
      <w:r>
        <w:t xml:space="preserve">The tree cells are pool 1 and pool 3 in claims. The levers are leakage (claims leakage audit, independent of centralisation), price (group-wide reinsurance placement under the insurance group designation, which is directly enabled) and productivity (straight-through adjudication, adjacent). The rand range is R55m to R183m for claims leakage at 1 to 3 percent of net claims† and R10m to R30m for reinsurance repricing†, with the overhead gap counted in hypothesis one. The binding constraint is that reinsurance is contracted per licensed entity and group placement needs each board’s approval. The management information that decides it is the reinsurance programme by entity and a claims leakage sample.</w:t>
      </w:r>
    </w:p>
    <w:bookmarkEnd w:id="50"/>
    <w:bookmarkStart w:id="51" w:name="X299d267321d58e6e74c814af43d6c465f3fb1dc"/>
    <w:p>
      <w:pPr>
        <w:pStyle w:val="Heading3"/>
      </w:pPr>
      <w:r>
        <w:t xml:space="preserve">5.5 The size of the prize is R276m to R806m, base R505m</w:t>
      </w:r>
    </w:p>
    <w:p>
      <w:pPr>
        <w:pStyle w:val="FirstParagraph"/>
      </w:pPr>
      <w:r>
        <w:t xml:space="preserve">The addressable accounting base is R3 524m to R4 566m, base R4 115m: pool 3 total of R2 905m to R3 941m, other commission and adviser remuneration of R613m and shareholder investment cost of R7m to R13m. Applying the precedent range of 6 to 13 percent† gives R211m to R594m. With claims leakage and reinsurance the total on accounting lines is R276m to R806m, base R505m, about a third of Insurance SA profit before tax. The benchmark route gives R210m to R556m on the overhead pools alone. Trapped capital above target cover and one avoidable licence add R10m to R169m of economic value, kept separate. Cost to achieve at precedent multiples of 0.5 to 1.8 times† is R138m to R1 451m.</w:t>
      </w:r>
    </w:p>
    <w:p>
      <w:pPr>
        <w:pStyle w:val="BodyText"/>
      </w:pPr>
      <w:r>
        <w:t xml:space="preserve">The tree cells are every pool. The lever classes split 18 direct, 25 adjacent and 11 independent across the 54 cells. The binding constraint on the size of the prize is the choice between a shared services programme and a licence and platform consolidation: the precedents put the first at 0.25 to 0.7 times cost to achieve and the second at 1.5 to 2 times, and the licence constraints in section 6 decide which of the two this is. The management information that decides it is the full set of ten items in section 8.</w:t>
      </w:r>
    </w:p>
    <w:bookmarkEnd w:id="51"/>
    <w:bookmarkEnd w:id="52"/>
    <w:bookmarkStart w:id="53" w:name="what-centralisation-can-and-cannot-do"/>
    <w:p>
      <w:pPr>
        <w:pStyle w:val="Heading2"/>
      </w:pPr>
      <w:r>
        <w:t xml:space="preserve">6. What centralisation can and cannot do</w:t>
      </w:r>
    </w:p>
    <w:p>
      <w:pPr>
        <w:pStyle w:val="FirstParagraph"/>
      </w:pPr>
      <w:r>
        <w:t xml:space="preserve">The cost tree places every rand in one of five pools by nature, one of nine value chain functions by location, and attaches six levers by mechanism: structural, consolidation, productivity, demand, price and leakage. Each lever cell is classified as directly enabled by centralisation, adjacent to it or independent of it. Of the 54 cells, 18 are direct, 25 adjacent and 11 independent. The direct cells cluster in technology, finance and actuarial, governance and investments. Claims and policy administration carry the largest cost but their levers are mostly adjacent: centralisation makes them cheaper and faster, not possible. The eleven independent cells are seven leakage cells, one external price cell and the three functions with no structural lever. Leakage is often the fastest money and it does not need the operating model to change.</w:t>
      </w:r>
    </w:p>
    <w:p>
      <w:pPr>
        <w:pStyle w:val="BodyText"/>
      </w:pPr>
      <w:r>
        <w:t xml:space="preserve">Seven constraints bind, and they are facts about the regime. Life and non-life cannot share a licence, so two boards, two heads of actuarial function, two audits, two own risk and solvency assessments and two solvency capital requirements remain. Control functions may be shared by intra-group outsourcing but each board stays accountable. FAIS licences are entity-bound with their own key individuals and representative registers. Policy transfers between insurers need statutory approval, which Absa has done before with Guardrisk in 2020 and 2021. The cell captive is ring-fenced with its own licence conditions and cover. Binder and outsourcing rules cap and condition distribution fees. And South Africa has no group VAT registration, so recharging a shared service into exempt entities can create irrecoverable VAT that did not exist when each entity employed its own staff; the governance leakage cell is marked as possibly negative for that reason, and tax input is needed before any shared service case is signed off.</w:t>
      </w:r>
    </w:p>
    <w:tbl>
      <w:tblPr>
        <w:tblStyle w:val="Table"/>
        <w:tblLook w:firstRow="1" w:lastRow="0" w:firstColumn="0" w:lastColumn="0" w:noHBand="0" w:noVBand="0" w:val="0020"/>
        <w:jc w:val="start"/>
        <w:tblW w:w="9065" w:type="dxa"/>
        <w:tblLayout w:type="fixed"/>
      </w:tblPr>
      <w:tblGrid>
        <w:gridCol w:w="1244"/>
        <w:gridCol w:w="1387"/>
        <w:gridCol w:w="1387"/>
        <w:gridCol w:w="1387"/>
        <w:gridCol w:w="1172"/>
        <w:gridCol w:w="1244"/>
        <w:gridCol w:w="1244"/>
      </w:tblGrid>
      <w:tr>
        <w:trPr>
          <w:tblHeader w:val="true"/>
        </w:trPr>
        <w:tc>
          <w:tcPr>
            <w:tcW w:w="1244" w:type="dxa"/>
          </w:tcPr>
          <w:p>
            <w:pPr>
              <w:pStyle w:val="Compact"/>
              <w:jc w:val="left"/>
              <w:spacing w:before="20" w:after="20" w:line="220" w:lineRule="auto"/>
            </w:pPr>
            <w:r>
              <w:rPr>
                <w:sz w:val="15"/>
                <w:szCs w:val="15"/>
              </w:rPr>
              <w:t xml:space="preserve">Function</w:t>
            </w:r>
          </w:p>
        </w:tc>
        <w:tc>
          <w:tcPr>
            <w:tcW w:w="1387" w:type="dxa"/>
          </w:tcPr>
          <w:p>
            <w:pPr>
              <w:pStyle w:val="Compact"/>
              <w:jc w:val="left"/>
              <w:spacing w:before="20" w:after="20" w:line="220" w:lineRule="auto"/>
            </w:pPr>
            <w:r>
              <w:rPr>
                <w:sz w:val="15"/>
                <w:szCs w:val="15"/>
              </w:rPr>
              <w:t xml:space="preserve">Structural</w:t>
            </w:r>
          </w:p>
        </w:tc>
        <w:tc>
          <w:tcPr>
            <w:tcW w:w="1387" w:type="dxa"/>
          </w:tcPr>
          <w:p>
            <w:pPr>
              <w:pStyle w:val="Compact"/>
              <w:jc w:val="left"/>
              <w:spacing w:before="20" w:after="20" w:line="220" w:lineRule="auto"/>
            </w:pPr>
            <w:r>
              <w:rPr>
                <w:sz w:val="15"/>
                <w:szCs w:val="15"/>
              </w:rPr>
              <w:t xml:space="preserve">Consolidation</w:t>
            </w:r>
          </w:p>
        </w:tc>
        <w:tc>
          <w:tcPr>
            <w:tcW w:w="1387" w:type="dxa"/>
          </w:tcPr>
          <w:p>
            <w:pPr>
              <w:pStyle w:val="Compact"/>
              <w:jc w:val="left"/>
              <w:spacing w:before="20" w:after="20" w:line="220" w:lineRule="auto"/>
            </w:pPr>
            <w:r>
              <w:rPr>
                <w:sz w:val="15"/>
                <w:szCs w:val="15"/>
              </w:rPr>
              <w:t xml:space="preserve">Productivity</w:t>
            </w:r>
          </w:p>
        </w:tc>
        <w:tc>
          <w:tcPr>
            <w:tcW w:w="1172" w:type="dxa"/>
          </w:tcPr>
          <w:p>
            <w:pPr>
              <w:pStyle w:val="Compact"/>
              <w:jc w:val="left"/>
              <w:spacing w:before="20" w:after="20" w:line="220" w:lineRule="auto"/>
            </w:pPr>
            <w:r>
              <w:rPr>
                <w:sz w:val="15"/>
                <w:szCs w:val="15"/>
              </w:rPr>
              <w:t xml:space="preserve">Demand</w:t>
            </w:r>
          </w:p>
        </w:tc>
        <w:tc>
          <w:tcPr>
            <w:tcW w:w="1244" w:type="dxa"/>
          </w:tcPr>
          <w:p>
            <w:pPr>
              <w:pStyle w:val="Compact"/>
              <w:jc w:val="left"/>
              <w:spacing w:before="20" w:after="20" w:line="220" w:lineRule="auto"/>
            </w:pPr>
            <w:r>
              <w:rPr>
                <w:sz w:val="15"/>
                <w:szCs w:val="15"/>
              </w:rPr>
              <w:t xml:space="preserve">Price</w:t>
            </w:r>
          </w:p>
        </w:tc>
        <w:tc>
          <w:tcPr>
            <w:tcW w:w="1244" w:type="dxa"/>
          </w:tcPr>
          <w:p>
            <w:pPr>
              <w:pStyle w:val="Compact"/>
              <w:jc w:val="left"/>
              <w:spacing w:before="20" w:after="20" w:line="220" w:lineRule="auto"/>
            </w:pPr>
            <w:r>
              <w:rPr>
                <w:sz w:val="15"/>
                <w:szCs w:val="15"/>
              </w:rPr>
              <w:t xml:space="preserve">Leakage</w:t>
            </w:r>
          </w:p>
        </w:tc>
      </w:tr>
      <w:tr>
        <w:tc>
          <w:tcPr>
            <w:tcW w:w="1244" w:type="dxa"/>
          </w:tcPr>
          <w:p>
            <w:pPr>
              <w:pStyle w:val="Compact"/>
              <w:jc w:val="left"/>
              <w:spacing w:before="20" w:after="20" w:line="220" w:lineRule="auto"/>
            </w:pPr>
            <w:r>
              <w:rPr>
                <w:sz w:val="15"/>
                <w:szCs w:val="15"/>
              </w:rPr>
              <w:t xml:space="preserve">Product and pricing</w:t>
            </w:r>
          </w:p>
        </w:tc>
        <w:tc>
          <w:tcPr>
            <w:tcW w:w="1387" w:type="dxa"/>
          </w:tcPr>
          <w:p>
            <w:pPr>
              <w:pStyle w:val="Compact"/>
              <w:jc w:val="left"/>
              <w:spacing w:before="20" w:after="20" w:line="220" w:lineRule="auto"/>
            </w:pPr>
            <w:r>
              <w:rPr>
                <w:sz w:val="15"/>
                <w:szCs w:val="15"/>
              </w:rPr>
              <w:t xml:space="preserve">One product governance forum serving both insurer boards, which still each approve [A]</w:t>
            </w:r>
          </w:p>
        </w:tc>
        <w:tc>
          <w:tcPr>
            <w:tcW w:w="1387" w:type="dxa"/>
          </w:tcPr>
          <w:p>
            <w:pPr>
              <w:pStyle w:val="Compact"/>
              <w:jc w:val="left"/>
              <w:spacing w:before="20" w:after="20" w:line="220" w:lineRule="auto"/>
            </w:pPr>
            <w:r>
              <w:rPr>
                <w:sz w:val="15"/>
                <w:szCs w:val="15"/>
              </w:rPr>
              <w:t xml:space="preserve">One pricing and product team, one data and experience base across life and non-life [D]</w:t>
            </w:r>
          </w:p>
        </w:tc>
        <w:tc>
          <w:tcPr>
            <w:tcW w:w="1387" w:type="dxa"/>
          </w:tcPr>
          <w:p>
            <w:pPr>
              <w:pStyle w:val="Compact"/>
              <w:jc w:val="left"/>
              <w:spacing w:before="20" w:after="20" w:line="220" w:lineRule="auto"/>
            </w:pPr>
            <w:r>
              <w:rPr>
                <w:sz w:val="15"/>
                <w:szCs w:val="15"/>
              </w:rPr>
              <w:t xml:space="preserve">Pricing model automation, faster repricing cycles [A]</w:t>
            </w:r>
          </w:p>
        </w:tc>
        <w:tc>
          <w:tcPr>
            <w:tcW w:w="1172" w:type="dxa"/>
          </w:tcPr>
          <w:p>
            <w:pPr>
              <w:pStyle w:val="Compact"/>
              <w:jc w:val="left"/>
              <w:spacing w:before="20" w:after="20" w:line="220" w:lineRule="auto"/>
            </w:pPr>
            <w:r>
              <w:rPr>
                <w:sz w:val="15"/>
                <w:szCs w:val="15"/>
              </w:rPr>
              <w:t xml:space="preserve">Retire legacy product versions and rate tables [A]</w:t>
            </w:r>
          </w:p>
        </w:tc>
        <w:tc>
          <w:tcPr>
            <w:tcW w:w="1244" w:type="dxa"/>
          </w:tcPr>
          <w:p>
            <w:pPr>
              <w:pStyle w:val="Compact"/>
              <w:jc w:val="left"/>
              <w:spacing w:before="20" w:after="20" w:line="220" w:lineRule="auto"/>
            </w:pPr>
            <w:r>
              <w:rPr>
                <w:sz w:val="15"/>
                <w:szCs w:val="15"/>
              </w:rPr>
              <w:t xml:space="preserve">Data and pricing vendor contracts on group terms [I]</w:t>
            </w:r>
          </w:p>
        </w:tc>
        <w:tc>
          <w:tcPr>
            <w:tcW w:w="1244" w:type="dxa"/>
          </w:tcPr>
          <w:p>
            <w:pPr>
              <w:pStyle w:val="Compact"/>
              <w:jc w:val="left"/>
              <w:spacing w:before="20" w:after="20" w:line="220" w:lineRule="auto"/>
            </w:pPr>
            <w:r>
              <w:rPr>
                <w:sz w:val="15"/>
                <w:szCs w:val="15"/>
              </w:rPr>
              <w:t xml:space="preserve">Rating and premium calculation errors found by audit [I]</w:t>
            </w:r>
          </w:p>
        </w:tc>
      </w:tr>
      <w:tr>
        <w:tc>
          <w:tcPr>
            <w:tcW w:w="1244" w:type="dxa"/>
          </w:tcPr>
          <w:p>
            <w:pPr>
              <w:pStyle w:val="Compact"/>
              <w:jc w:val="left"/>
              <w:spacing w:before="20" w:after="20" w:line="220" w:lineRule="auto"/>
            </w:pPr>
            <w:r>
              <w:rPr>
                <w:sz w:val="15"/>
                <w:szCs w:val="15"/>
              </w:rPr>
              <w:t xml:space="preserve">Distribution</w:t>
            </w:r>
          </w:p>
        </w:tc>
        <w:tc>
          <w:tcPr>
            <w:tcW w:w="1387" w:type="dxa"/>
          </w:tcPr>
          <w:p>
            <w:pPr>
              <w:pStyle w:val="Compact"/>
              <w:jc w:val="left"/>
              <w:spacing w:before="20" w:after="20" w:line="220" w:lineRule="auto"/>
            </w:pPr>
            <w:r>
              <w:rPr>
                <w:sz w:val="15"/>
                <w:szCs w:val="15"/>
              </w:rPr>
              <w:t xml:space="preserve">Fewer FSP licences: fold Instant Life, AIMS and stockbroking representatives into fewer registers where categories allow [D]</w:t>
            </w:r>
          </w:p>
        </w:tc>
        <w:tc>
          <w:tcPr>
            <w:tcW w:w="1387" w:type="dxa"/>
          </w:tcPr>
          <w:p>
            <w:pPr>
              <w:pStyle w:val="Compact"/>
              <w:jc w:val="left"/>
              <w:spacing w:before="20" w:after="20" w:line="220" w:lineRule="auto"/>
            </w:pPr>
            <w:r>
              <w:rPr>
                <w:sz w:val="15"/>
                <w:szCs w:val="15"/>
              </w:rPr>
              <w:t xml:space="preserve">One sales enablement, lead and adviser platform across life, non-life and investments [D]</w:t>
            </w:r>
          </w:p>
        </w:tc>
        <w:tc>
          <w:tcPr>
            <w:tcW w:w="1387" w:type="dxa"/>
          </w:tcPr>
          <w:p>
            <w:pPr>
              <w:pStyle w:val="Compact"/>
              <w:jc w:val="left"/>
              <w:spacing w:before="20" w:after="20" w:line="220" w:lineRule="auto"/>
            </w:pPr>
            <w:r>
              <w:rPr>
                <w:sz w:val="15"/>
                <w:szCs w:val="15"/>
              </w:rPr>
              <w:t xml:space="preserve">Digital advice tools, adviser productivity, straight-through new business [A]</w:t>
            </w:r>
          </w:p>
        </w:tc>
        <w:tc>
          <w:tcPr>
            <w:tcW w:w="1172" w:type="dxa"/>
          </w:tcPr>
          <w:p>
            <w:pPr>
              <w:pStyle w:val="Compact"/>
              <w:jc w:val="left"/>
              <w:spacing w:before="20" w:after="20" w:line="220" w:lineRule="auto"/>
            </w:pPr>
            <w:r>
              <w:rPr>
                <w:sz w:val="15"/>
                <w:szCs w:val="15"/>
              </w:rPr>
              <w:t xml:space="preserve">Cut not-taken-up and first-premium failures that drive rework [A]</w:t>
            </w:r>
          </w:p>
        </w:tc>
        <w:tc>
          <w:tcPr>
            <w:tcW w:w="1244" w:type="dxa"/>
          </w:tcPr>
          <w:p>
            <w:pPr>
              <w:pStyle w:val="Compact"/>
              <w:jc w:val="left"/>
              <w:spacing w:before="20" w:after="20" w:line="220" w:lineRule="auto"/>
            </w:pPr>
            <w:r>
              <w:rPr>
                <w:sz w:val="15"/>
                <w:szCs w:val="15"/>
              </w:rPr>
              <w:t xml:space="preserve">Bank distribution fee and profit share terms (intra-group), third-party binder and commission terms for the intermediary [A]</w:t>
            </w:r>
          </w:p>
        </w:tc>
        <w:tc>
          <w:tcPr>
            <w:tcW w:w="1244" w:type="dxa"/>
          </w:tcPr>
          <w:p>
            <w:pPr>
              <w:pStyle w:val="Compact"/>
              <w:jc w:val="left"/>
              <w:spacing w:before="20" w:after="20" w:line="220" w:lineRule="auto"/>
            </w:pPr>
            <w:r>
              <w:rPr>
                <w:sz w:val="15"/>
                <w:szCs w:val="15"/>
              </w:rPr>
              <w:t xml:space="preserve">Commission on lapsed business, unenforced clawback, duplicate commission [I]</w:t>
            </w:r>
          </w:p>
        </w:tc>
      </w:tr>
      <w:tr>
        <w:tc>
          <w:tcPr>
            <w:tcW w:w="1244" w:type="dxa"/>
          </w:tcPr>
          <w:p>
            <w:pPr>
              <w:pStyle w:val="Compact"/>
              <w:jc w:val="left"/>
              <w:spacing w:before="20" w:after="20" w:line="220" w:lineRule="auto"/>
            </w:pPr>
            <w:r>
              <w:rPr>
                <w:sz w:val="15"/>
                <w:szCs w:val="15"/>
              </w:rPr>
              <w:t xml:space="preserve">Underwriting and onboarding</w:t>
            </w:r>
          </w:p>
        </w:tc>
        <w:tc>
          <w:tcPr>
            <w:tcW w:w="1387" w:type="dxa"/>
          </w:tcPr>
          <w:p>
            <w:pPr>
              <w:pStyle w:val="Compact"/>
              <w:jc w:val="left"/>
              <w:spacing w:before="20" w:after="20" w:line="220" w:lineRule="auto"/>
            </w:pPr>
            <w:r>
              <w:rPr>
                <w:sz w:val="15"/>
                <w:szCs w:val="15"/>
              </w:rPr>
              <w:t xml:space="preserve">None. Each insurer underwrites on its own licence [I]</w:t>
            </w:r>
          </w:p>
        </w:tc>
        <w:tc>
          <w:tcPr>
            <w:tcW w:w="1387" w:type="dxa"/>
          </w:tcPr>
          <w:p>
            <w:pPr>
              <w:pStyle w:val="Compact"/>
              <w:jc w:val="left"/>
              <w:spacing w:before="20" w:after="20" w:line="220" w:lineRule="auto"/>
            </w:pPr>
            <w:r>
              <w:rPr>
                <w:sz w:val="15"/>
                <w:szCs w:val="15"/>
              </w:rPr>
              <w:t xml:space="preserve">Shared onboarding, KYC and document capture with the bank [D]</w:t>
            </w:r>
          </w:p>
        </w:tc>
        <w:tc>
          <w:tcPr>
            <w:tcW w:w="1387" w:type="dxa"/>
          </w:tcPr>
          <w:p>
            <w:pPr>
              <w:pStyle w:val="Compact"/>
              <w:jc w:val="left"/>
              <w:spacing w:before="20" w:after="20" w:line="220" w:lineRule="auto"/>
            </w:pPr>
            <w:r>
              <w:rPr>
                <w:sz w:val="15"/>
                <w:szCs w:val="15"/>
              </w:rPr>
              <w:t xml:space="preserve">Automated underwriting rules, straight-through acceptance [A]</w:t>
            </w:r>
          </w:p>
        </w:tc>
        <w:tc>
          <w:tcPr>
            <w:tcW w:w="1172" w:type="dxa"/>
          </w:tcPr>
          <w:p>
            <w:pPr>
              <w:pStyle w:val="Compact"/>
              <w:jc w:val="left"/>
              <w:spacing w:before="20" w:after="20" w:line="220" w:lineRule="auto"/>
            </w:pPr>
            <w:r>
              <w:rPr>
                <w:sz w:val="15"/>
                <w:szCs w:val="15"/>
              </w:rPr>
              <w:t xml:space="preserve">Fewer underwriting questions and manual exception paths [A]</w:t>
            </w:r>
          </w:p>
        </w:tc>
        <w:tc>
          <w:tcPr>
            <w:tcW w:w="1244" w:type="dxa"/>
          </w:tcPr>
          <w:p>
            <w:pPr>
              <w:pStyle w:val="Compact"/>
              <w:jc w:val="left"/>
              <w:spacing w:before="20" w:after="20" w:line="220" w:lineRule="auto"/>
            </w:pPr>
            <w:r>
              <w:rPr>
                <w:sz w:val="15"/>
                <w:szCs w:val="15"/>
              </w:rPr>
              <w:t xml:space="preserve">Medical evidence and data vendor rates on group volume [A]</w:t>
            </w:r>
          </w:p>
        </w:tc>
        <w:tc>
          <w:tcPr>
            <w:tcW w:w="1244" w:type="dxa"/>
          </w:tcPr>
          <w:p>
            <w:pPr>
              <w:pStyle w:val="Compact"/>
              <w:jc w:val="left"/>
              <w:spacing w:before="20" w:after="20" w:line="220" w:lineRule="auto"/>
            </w:pPr>
            <w:r>
              <w:rPr>
                <w:sz w:val="15"/>
                <w:szCs w:val="15"/>
              </w:rPr>
              <w:t xml:space="preserve">Anti-selection and mis-rated risks surfacing in pool 1 [I]</w:t>
            </w:r>
          </w:p>
        </w:tc>
      </w:tr>
      <w:tr>
        <w:tc>
          <w:tcPr>
            <w:tcW w:w="1244" w:type="dxa"/>
          </w:tcPr>
          <w:p>
            <w:pPr>
              <w:pStyle w:val="Compact"/>
              <w:jc w:val="left"/>
              <w:spacing w:before="20" w:after="20" w:line="220" w:lineRule="auto"/>
            </w:pPr>
            <w:r>
              <w:rPr>
                <w:sz w:val="15"/>
                <w:szCs w:val="15"/>
              </w:rPr>
              <w:t xml:space="preserve">Policy administration and servicing</w:t>
            </w:r>
          </w:p>
        </w:tc>
        <w:tc>
          <w:tcPr>
            <w:tcW w:w="1387" w:type="dxa"/>
          </w:tcPr>
          <w:p>
            <w:pPr>
              <w:pStyle w:val="Compact"/>
              <w:jc w:val="left"/>
              <w:spacing w:before="20" w:after="20" w:line="220" w:lineRule="auto"/>
            </w:pPr>
            <w:r>
              <w:rPr>
                <w:sz w:val="15"/>
                <w:szCs w:val="15"/>
              </w:rPr>
              <w:t xml:space="preserve">None [I]</w:t>
            </w:r>
          </w:p>
        </w:tc>
        <w:tc>
          <w:tcPr>
            <w:tcW w:w="1387" w:type="dxa"/>
          </w:tcPr>
          <w:p>
            <w:pPr>
              <w:pStyle w:val="Compact"/>
              <w:jc w:val="left"/>
              <w:spacing w:before="20" w:after="20" w:line="220" w:lineRule="auto"/>
            </w:pPr>
            <w:r>
              <w:rPr>
                <w:sz w:val="15"/>
                <w:szCs w:val="15"/>
              </w:rPr>
              <w:t xml:space="preserve">One policy administration platform across Absa Life, Instant Life and AIC, one contact centre estate, fewer vendors [D]</w:t>
            </w:r>
          </w:p>
        </w:tc>
        <w:tc>
          <w:tcPr>
            <w:tcW w:w="1387" w:type="dxa"/>
          </w:tcPr>
          <w:p>
            <w:pPr>
              <w:pStyle w:val="Compact"/>
              <w:jc w:val="left"/>
              <w:spacing w:before="20" w:after="20" w:line="220" w:lineRule="auto"/>
            </w:pPr>
            <w:r>
              <w:rPr>
                <w:sz w:val="15"/>
                <w:szCs w:val="15"/>
              </w:rPr>
              <w:t xml:space="preserve">Self-service, robotics for endorsements, contact centre spans and layers [A]</w:t>
            </w:r>
          </w:p>
        </w:tc>
        <w:tc>
          <w:tcPr>
            <w:tcW w:w="1172" w:type="dxa"/>
          </w:tcPr>
          <w:p>
            <w:pPr>
              <w:pStyle w:val="Compact"/>
              <w:jc w:val="left"/>
              <w:spacing w:before="20" w:after="20" w:line="220" w:lineRule="auto"/>
            </w:pPr>
            <w:r>
              <w:rPr>
                <w:sz w:val="15"/>
                <w:szCs w:val="15"/>
              </w:rPr>
              <w:t xml:space="preserve">Failure demand: repeat calls, chasing unpaid premiums, re-keying [A]</w:t>
            </w:r>
          </w:p>
        </w:tc>
        <w:tc>
          <w:tcPr>
            <w:tcW w:w="1244" w:type="dxa"/>
          </w:tcPr>
          <w:p>
            <w:pPr>
              <w:pStyle w:val="Compact"/>
              <w:jc w:val="left"/>
              <w:spacing w:before="20" w:after="20" w:line="220" w:lineRule="auto"/>
            </w:pPr>
            <w:r>
              <w:rPr>
                <w:sz w:val="15"/>
                <w:szCs w:val="15"/>
              </w:rPr>
              <w:t xml:space="preserve">Third-party administrator and outsourced call centre fees [A]</w:t>
            </w:r>
          </w:p>
        </w:tc>
        <w:tc>
          <w:tcPr>
            <w:tcW w:w="1244" w:type="dxa"/>
          </w:tcPr>
          <w:p>
            <w:pPr>
              <w:pStyle w:val="Compact"/>
              <w:jc w:val="left"/>
              <w:spacing w:before="20" w:after="20" w:line="220" w:lineRule="auto"/>
            </w:pPr>
            <w:r>
              <w:rPr>
                <w:sz w:val="15"/>
                <w:szCs w:val="15"/>
              </w:rPr>
              <w:t xml:space="preserve">Premium collection: unpaid debit orders not retried, retro cancellations, reinstatement not pursued [I]</w:t>
            </w:r>
          </w:p>
        </w:tc>
      </w:tr>
      <w:tr>
        <w:tc>
          <w:tcPr>
            <w:tcW w:w="1244" w:type="dxa"/>
          </w:tcPr>
          <w:p>
            <w:pPr>
              <w:pStyle w:val="Compact"/>
              <w:jc w:val="left"/>
              <w:spacing w:before="20" w:after="20" w:line="220" w:lineRule="auto"/>
            </w:pPr>
            <w:r>
              <w:rPr>
                <w:sz w:val="15"/>
                <w:szCs w:val="15"/>
              </w:rPr>
              <w:t xml:space="preserve">Claims</w:t>
            </w:r>
          </w:p>
        </w:tc>
        <w:tc>
          <w:tcPr>
            <w:tcW w:w="1387" w:type="dxa"/>
          </w:tcPr>
          <w:p>
            <w:pPr>
              <w:pStyle w:val="Compact"/>
              <w:jc w:val="left"/>
              <w:spacing w:before="20" w:after="20" w:line="220" w:lineRule="auto"/>
            </w:pPr>
            <w:r>
              <w:rPr>
                <w:sz w:val="15"/>
                <w:szCs w:val="15"/>
              </w:rPr>
              <w:t xml:space="preserve">Group-wide reinsurance programme under the insurance group designation instead of entity-by-entity placement [D]</w:t>
            </w:r>
          </w:p>
        </w:tc>
        <w:tc>
          <w:tcPr>
            <w:tcW w:w="1387" w:type="dxa"/>
          </w:tcPr>
          <w:p>
            <w:pPr>
              <w:pStyle w:val="Compact"/>
              <w:jc w:val="left"/>
              <w:spacing w:before="20" w:after="20" w:line="220" w:lineRule="auto"/>
            </w:pPr>
            <w:r>
              <w:rPr>
                <w:sz w:val="15"/>
                <w:szCs w:val="15"/>
              </w:rPr>
              <w:t xml:space="preserve">One claims platform, shared assessor and supplier panels, one fraud analytics capability across life and non-life [D]</w:t>
            </w:r>
          </w:p>
        </w:tc>
        <w:tc>
          <w:tcPr>
            <w:tcW w:w="1387" w:type="dxa"/>
          </w:tcPr>
          <w:p>
            <w:pPr>
              <w:pStyle w:val="Compact"/>
              <w:jc w:val="left"/>
              <w:spacing w:before="20" w:after="20" w:line="220" w:lineRule="auto"/>
            </w:pPr>
            <w:r>
              <w:rPr>
                <w:sz w:val="15"/>
                <w:szCs w:val="15"/>
              </w:rPr>
              <w:t xml:space="preserve">Straight-through adjudication for low-value claims, triage [A]</w:t>
            </w:r>
          </w:p>
        </w:tc>
        <w:tc>
          <w:tcPr>
            <w:tcW w:w="1172" w:type="dxa"/>
          </w:tcPr>
          <w:p>
            <w:pPr>
              <w:pStyle w:val="Compact"/>
              <w:jc w:val="left"/>
              <w:spacing w:before="20" w:after="20" w:line="220" w:lineRule="auto"/>
            </w:pPr>
            <w:r>
              <w:rPr>
                <w:sz w:val="15"/>
                <w:szCs w:val="15"/>
              </w:rPr>
              <w:t xml:space="preserve">Reduce reopens and repeat requirements [A]</w:t>
            </w:r>
          </w:p>
        </w:tc>
        <w:tc>
          <w:tcPr>
            <w:tcW w:w="1244" w:type="dxa"/>
          </w:tcPr>
          <w:p>
            <w:pPr>
              <w:pStyle w:val="Compact"/>
              <w:jc w:val="left"/>
              <w:spacing w:before="20" w:after="20" w:line="220" w:lineRule="auto"/>
            </w:pPr>
            <w:r>
              <w:rPr>
                <w:sz w:val="15"/>
                <w:szCs w:val="15"/>
              </w:rPr>
              <w:t xml:space="preserve">Repairer, parts, assessor and reinsurance pricing on combined volume [A]</w:t>
            </w:r>
          </w:p>
        </w:tc>
        <w:tc>
          <w:tcPr>
            <w:tcW w:w="1244" w:type="dxa"/>
          </w:tcPr>
          <w:p>
            <w:pPr>
              <w:pStyle w:val="Compact"/>
              <w:jc w:val="left"/>
              <w:spacing w:before="20" w:after="20" w:line="220" w:lineRule="auto"/>
            </w:pPr>
            <w:r>
              <w:rPr>
                <w:sz w:val="15"/>
                <w:szCs w:val="15"/>
              </w:rPr>
              <w:t xml:space="preserve">Claims leakage: overpayment, fraud, missed recoveries, salvage and subrogation [I]</w:t>
            </w:r>
          </w:p>
        </w:tc>
      </w:tr>
      <w:tr>
        <w:tc>
          <w:tcPr>
            <w:tcW w:w="1244" w:type="dxa"/>
          </w:tcPr>
          <w:p>
            <w:pPr>
              <w:pStyle w:val="Compact"/>
              <w:jc w:val="left"/>
              <w:spacing w:before="20" w:after="20" w:line="220" w:lineRule="auto"/>
            </w:pPr>
            <w:r>
              <w:rPr>
                <w:sz w:val="15"/>
                <w:szCs w:val="15"/>
              </w:rPr>
              <w:t xml:space="preserve">Investments</w:t>
            </w:r>
          </w:p>
        </w:tc>
        <w:tc>
          <w:tcPr>
            <w:tcW w:w="1387" w:type="dxa"/>
          </w:tcPr>
          <w:p>
            <w:pPr>
              <w:pStyle w:val="Compact"/>
              <w:jc w:val="left"/>
              <w:spacing w:before="20" w:after="20" w:line="220" w:lineRule="auto"/>
            </w:pPr>
            <w:r>
              <w:rPr>
                <w:sz w:val="15"/>
                <w:szCs w:val="15"/>
              </w:rPr>
              <w:t xml:space="preserve">One wealth FSP for AIMS, stockbroking and trust, fewer nominee entities [D]</w:t>
            </w:r>
          </w:p>
        </w:tc>
        <w:tc>
          <w:tcPr>
            <w:tcW w:w="1387" w:type="dxa"/>
          </w:tcPr>
          <w:p>
            <w:pPr>
              <w:pStyle w:val="Compact"/>
              <w:jc w:val="left"/>
              <w:spacing w:before="20" w:after="20" w:line="220" w:lineRule="auto"/>
            </w:pPr>
            <w:r>
              <w:rPr>
                <w:sz w:val="15"/>
                <w:szCs w:val="15"/>
              </w:rPr>
              <w:t xml:space="preserve">One mandate structure for shareholder and policyholder assets across Absa Life, AIC and ARTIC [D]</w:t>
            </w:r>
          </w:p>
        </w:tc>
        <w:tc>
          <w:tcPr>
            <w:tcW w:w="1387" w:type="dxa"/>
          </w:tcPr>
          <w:p>
            <w:pPr>
              <w:pStyle w:val="Compact"/>
              <w:jc w:val="left"/>
              <w:spacing w:before="20" w:after="20" w:line="220" w:lineRule="auto"/>
            </w:pPr>
            <w:r>
              <w:rPr>
                <w:sz w:val="15"/>
                <w:szCs w:val="15"/>
              </w:rPr>
              <w:t xml:space="preserve">Automated investment accounting and reconciliation [A]</w:t>
            </w:r>
          </w:p>
        </w:tc>
        <w:tc>
          <w:tcPr>
            <w:tcW w:w="1172" w:type="dxa"/>
          </w:tcPr>
          <w:p>
            <w:pPr>
              <w:pStyle w:val="Compact"/>
              <w:jc w:val="left"/>
              <w:spacing w:before="20" w:after="20" w:line="220" w:lineRule="auto"/>
            </w:pPr>
            <w:r>
              <w:rPr>
                <w:sz w:val="15"/>
                <w:szCs w:val="15"/>
              </w:rPr>
              <w:t xml:space="preserve">Fewer portfolios and mandates to administer [A]</w:t>
            </w:r>
          </w:p>
        </w:tc>
        <w:tc>
          <w:tcPr>
            <w:tcW w:w="1244" w:type="dxa"/>
          </w:tcPr>
          <w:p>
            <w:pPr>
              <w:pStyle w:val="Compact"/>
              <w:jc w:val="left"/>
              <w:spacing w:before="20" w:after="20" w:line="220" w:lineRule="auto"/>
            </w:pPr>
            <w:r>
              <w:rPr>
                <w:sz w:val="15"/>
                <w:szCs w:val="15"/>
              </w:rPr>
              <w:t xml:space="preserve">Management fee basis points on combined assets, within the ten-year distribution agreement with Sanlam Investment Holdings [D]</w:t>
            </w:r>
          </w:p>
        </w:tc>
        <w:tc>
          <w:tcPr>
            <w:tcW w:w="1244" w:type="dxa"/>
          </w:tcPr>
          <w:p>
            <w:pPr>
              <w:pStyle w:val="Compact"/>
              <w:jc w:val="left"/>
              <w:spacing w:before="20" w:after="20" w:line="220" w:lineRule="auto"/>
            </w:pPr>
            <w:r>
              <w:rPr>
                <w:sz w:val="15"/>
                <w:szCs w:val="15"/>
              </w:rPr>
              <w:t xml:space="preserve">Uninvested cash, custody and transaction cost slippage [I]</w:t>
            </w:r>
          </w:p>
        </w:tc>
      </w:tr>
      <w:tr>
        <w:tc>
          <w:tcPr>
            <w:tcW w:w="1244" w:type="dxa"/>
          </w:tcPr>
          <w:p>
            <w:pPr>
              <w:pStyle w:val="Compact"/>
              <w:jc w:val="left"/>
              <w:spacing w:before="20" w:after="20" w:line="220" w:lineRule="auto"/>
            </w:pPr>
            <w:r>
              <w:rPr>
                <w:sz w:val="15"/>
                <w:szCs w:val="15"/>
              </w:rPr>
              <w:t xml:space="preserve">Technology</w:t>
            </w:r>
          </w:p>
        </w:tc>
        <w:tc>
          <w:tcPr>
            <w:tcW w:w="1387" w:type="dxa"/>
          </w:tcPr>
          <w:p>
            <w:pPr>
              <w:pStyle w:val="Compact"/>
              <w:jc w:val="left"/>
              <w:spacing w:before="20" w:after="20" w:line="220" w:lineRule="auto"/>
            </w:pPr>
            <w:r>
              <w:rPr>
                <w:sz w:val="15"/>
                <w:szCs w:val="15"/>
              </w:rPr>
              <w:t xml:space="preserve">None [I]</w:t>
            </w:r>
          </w:p>
        </w:tc>
        <w:tc>
          <w:tcPr>
            <w:tcW w:w="1387" w:type="dxa"/>
          </w:tcPr>
          <w:p>
            <w:pPr>
              <w:pStyle w:val="Compact"/>
              <w:jc w:val="left"/>
              <w:spacing w:before="20" w:after="20" w:line="220" w:lineRule="auto"/>
            </w:pPr>
            <w:r>
              <w:rPr>
                <w:sz w:val="15"/>
                <w:szCs w:val="15"/>
              </w:rPr>
              <w:t xml:space="preserve">Platform and vendor rationalisation, one hosting estate, shared licences, alignment to group technology [D]</w:t>
            </w:r>
          </w:p>
        </w:tc>
        <w:tc>
          <w:tcPr>
            <w:tcW w:w="1387" w:type="dxa"/>
          </w:tcPr>
          <w:p>
            <w:pPr>
              <w:pStyle w:val="Compact"/>
              <w:jc w:val="left"/>
              <w:spacing w:before="20" w:after="20" w:line="220" w:lineRule="auto"/>
            </w:pPr>
            <w:r>
              <w:rPr>
                <w:sz w:val="15"/>
                <w:szCs w:val="15"/>
              </w:rPr>
              <w:t xml:space="preserve">Cloud migration, decommissioning, DevOps throughput [A]</w:t>
            </w:r>
          </w:p>
        </w:tc>
        <w:tc>
          <w:tcPr>
            <w:tcW w:w="1172" w:type="dxa"/>
          </w:tcPr>
          <w:p>
            <w:pPr>
              <w:pStyle w:val="Compact"/>
              <w:jc w:val="left"/>
              <w:spacing w:before="20" w:after="20" w:line="220" w:lineRule="auto"/>
            </w:pPr>
            <w:r>
              <w:rPr>
                <w:sz w:val="15"/>
                <w:szCs w:val="15"/>
              </w:rPr>
              <w:t xml:space="preserve">Less change demand once product versions are cut [A]</w:t>
            </w:r>
          </w:p>
        </w:tc>
        <w:tc>
          <w:tcPr>
            <w:tcW w:w="1244" w:type="dxa"/>
          </w:tcPr>
          <w:p>
            <w:pPr>
              <w:pStyle w:val="Compact"/>
              <w:jc w:val="left"/>
              <w:spacing w:before="20" w:after="20" w:line="220" w:lineRule="auto"/>
            </w:pPr>
            <w:r>
              <w:rPr>
                <w:sz w:val="15"/>
                <w:szCs w:val="15"/>
              </w:rPr>
              <w:t xml:space="preserve">Software licence renegotiation on group volume [A]</w:t>
            </w:r>
          </w:p>
        </w:tc>
        <w:tc>
          <w:tcPr>
            <w:tcW w:w="1244" w:type="dxa"/>
          </w:tcPr>
          <w:p>
            <w:pPr>
              <w:pStyle w:val="Compact"/>
              <w:jc w:val="left"/>
              <w:spacing w:before="20" w:after="20" w:line="220" w:lineRule="auto"/>
            </w:pPr>
            <w:r>
              <w:rPr>
                <w:sz w:val="15"/>
                <w:szCs w:val="15"/>
              </w:rPr>
              <w:t xml:space="preserve">Unused licences and shadow IT [I]</w:t>
            </w:r>
          </w:p>
        </w:tc>
      </w:tr>
      <w:tr>
        <w:tc>
          <w:tcPr>
            <w:tcW w:w="1244" w:type="dxa"/>
          </w:tcPr>
          <w:p>
            <w:pPr>
              <w:pStyle w:val="Compact"/>
              <w:jc w:val="left"/>
              <w:spacing w:before="20" w:after="20" w:line="220" w:lineRule="auto"/>
            </w:pPr>
            <w:r>
              <w:rPr>
                <w:sz w:val="15"/>
                <w:szCs w:val="15"/>
              </w:rPr>
              <w:t xml:space="preserve">Finance, actuarial, risk and compliance</w:t>
            </w:r>
          </w:p>
        </w:tc>
        <w:tc>
          <w:tcPr>
            <w:tcW w:w="1387" w:type="dxa"/>
          </w:tcPr>
          <w:p>
            <w:pPr>
              <w:pStyle w:val="Compact"/>
              <w:jc w:val="left"/>
              <w:spacing w:before="20" w:after="20" w:line="220" w:lineRule="auto"/>
            </w:pPr>
            <w:r>
              <w:rPr>
                <w:sz w:val="15"/>
                <w:szCs w:val="15"/>
              </w:rPr>
              <w:t xml:space="preserve">One actuarial function supporting two heads of actuarial function, control functions shared by intra-group outsourcing, one external audit engagement, one group ORSA process [D]</w:t>
            </w:r>
          </w:p>
        </w:tc>
        <w:tc>
          <w:tcPr>
            <w:tcW w:w="1387" w:type="dxa"/>
          </w:tcPr>
          <w:p>
            <w:pPr>
              <w:pStyle w:val="Compact"/>
              <w:jc w:val="left"/>
              <w:spacing w:before="20" w:after="20" w:line="220" w:lineRule="auto"/>
            </w:pPr>
            <w:r>
              <w:rPr>
                <w:sz w:val="15"/>
                <w:szCs w:val="15"/>
              </w:rPr>
              <w:t xml:space="preserve">Shared finance operations, one IFRS 17 engine, one reporting stack [D]</w:t>
            </w:r>
          </w:p>
        </w:tc>
        <w:tc>
          <w:tcPr>
            <w:tcW w:w="1387" w:type="dxa"/>
          </w:tcPr>
          <w:p>
            <w:pPr>
              <w:pStyle w:val="Compact"/>
              <w:jc w:val="left"/>
              <w:spacing w:before="20" w:after="20" w:line="220" w:lineRule="auto"/>
            </w:pPr>
            <w:r>
              <w:rPr>
                <w:sz w:val="15"/>
                <w:szCs w:val="15"/>
              </w:rPr>
              <w:t xml:space="preserve">Close automation, model automation [A]</w:t>
            </w:r>
          </w:p>
        </w:tc>
        <w:tc>
          <w:tcPr>
            <w:tcW w:w="1172" w:type="dxa"/>
          </w:tcPr>
          <w:p>
            <w:pPr>
              <w:pStyle w:val="Compact"/>
              <w:jc w:val="left"/>
              <w:spacing w:before="20" w:after="20" w:line="220" w:lineRule="auto"/>
            </w:pPr>
            <w:r>
              <w:rPr>
                <w:sz w:val="15"/>
                <w:szCs w:val="15"/>
              </w:rPr>
              <w:t xml:space="preserve">Fewer entity-level reports and returns as licences reduce [D]</w:t>
            </w:r>
          </w:p>
        </w:tc>
        <w:tc>
          <w:tcPr>
            <w:tcW w:w="1244" w:type="dxa"/>
          </w:tcPr>
          <w:p>
            <w:pPr>
              <w:pStyle w:val="Compact"/>
              <w:jc w:val="left"/>
              <w:spacing w:before="20" w:after="20" w:line="220" w:lineRule="auto"/>
            </w:pPr>
            <w:r>
              <w:rPr>
                <w:sz w:val="15"/>
                <w:szCs w:val="15"/>
              </w:rPr>
              <w:t xml:space="preserve">Audit, actuarial consulting and data vendor fees [A]</w:t>
            </w:r>
          </w:p>
        </w:tc>
        <w:tc>
          <w:tcPr>
            <w:tcW w:w="1244" w:type="dxa"/>
          </w:tcPr>
          <w:p>
            <w:pPr>
              <w:pStyle w:val="Compact"/>
              <w:jc w:val="left"/>
              <w:spacing w:before="20" w:after="20" w:line="220" w:lineRule="auto"/>
            </w:pPr>
            <w:r>
              <w:rPr>
                <w:sz w:val="15"/>
                <w:szCs w:val="15"/>
              </w:rPr>
              <w:t xml:space="preserve">Trapped capital: own funds held above target cover in each entity, priced at cost of equity [D]</w:t>
            </w:r>
          </w:p>
        </w:tc>
      </w:tr>
      <w:tr>
        <w:tc>
          <w:tcPr>
            <w:tcW w:w="1244" w:type="dxa"/>
          </w:tcPr>
          <w:p>
            <w:pPr>
              <w:pStyle w:val="Compact"/>
              <w:jc w:val="left"/>
              <w:spacing w:before="20" w:after="20" w:line="220" w:lineRule="auto"/>
            </w:pPr>
            <w:r>
              <w:rPr>
                <w:sz w:val="15"/>
                <w:szCs w:val="15"/>
              </w:rPr>
              <w:t xml:space="preserve">Governance and corporate</w:t>
            </w:r>
          </w:p>
        </w:tc>
        <w:tc>
          <w:tcPr>
            <w:tcW w:w="1387" w:type="dxa"/>
          </w:tcPr>
          <w:p>
            <w:pPr>
              <w:pStyle w:val="Compact"/>
              <w:jc w:val="left"/>
              <w:spacing w:before="20" w:after="20" w:line="220" w:lineRule="auto"/>
            </w:pPr>
            <w:r>
              <w:rPr>
                <w:sz w:val="15"/>
                <w:szCs w:val="15"/>
              </w:rPr>
              <w:t xml:space="preserve">Fewer boards, committees and licences. AIRMS closure in 2025 is the precedent. Dormant and nominee entities wound up [D]</w:t>
            </w:r>
          </w:p>
        </w:tc>
        <w:tc>
          <w:tcPr>
            <w:tcW w:w="1387" w:type="dxa"/>
          </w:tcPr>
          <w:p>
            <w:pPr>
              <w:pStyle w:val="Compact"/>
              <w:jc w:val="left"/>
              <w:spacing w:before="20" w:after="20" w:line="220" w:lineRule="auto"/>
            </w:pPr>
            <w:r>
              <w:rPr>
                <w:sz w:val="15"/>
                <w:szCs w:val="15"/>
              </w:rPr>
              <w:t xml:space="preserve">Shared company secretarial, legal, HR and premises [D]</w:t>
            </w:r>
          </w:p>
        </w:tc>
        <w:tc>
          <w:tcPr>
            <w:tcW w:w="1387" w:type="dxa"/>
          </w:tcPr>
          <w:p>
            <w:pPr>
              <w:pStyle w:val="Compact"/>
              <w:jc w:val="left"/>
              <w:spacing w:before="20" w:after="20" w:line="220" w:lineRule="auto"/>
            </w:pPr>
            <w:r>
              <w:rPr>
                <w:sz w:val="15"/>
                <w:szCs w:val="15"/>
              </w:rPr>
              <w:t xml:space="preserve">Spans and layers in management [A]</w:t>
            </w:r>
          </w:p>
        </w:tc>
        <w:tc>
          <w:tcPr>
            <w:tcW w:w="1172" w:type="dxa"/>
          </w:tcPr>
          <w:p>
            <w:pPr>
              <w:pStyle w:val="Compact"/>
              <w:jc w:val="left"/>
              <w:spacing w:before="20" w:after="20" w:line="220" w:lineRule="auto"/>
            </w:pPr>
            <w:r>
              <w:rPr>
                <w:sz w:val="15"/>
                <w:szCs w:val="15"/>
              </w:rPr>
              <w:t xml:space="preserve">Fewer committees and reporting cycles [A]</w:t>
            </w:r>
          </w:p>
        </w:tc>
        <w:tc>
          <w:tcPr>
            <w:tcW w:w="1244" w:type="dxa"/>
          </w:tcPr>
          <w:p>
            <w:pPr>
              <w:pStyle w:val="Compact"/>
              <w:jc w:val="left"/>
              <w:spacing w:before="20" w:after="20" w:line="220" w:lineRule="auto"/>
            </w:pPr>
            <w:r>
              <w:rPr>
                <w:sz w:val="15"/>
                <w:szCs w:val="15"/>
              </w:rPr>
              <w:t xml:space="preserve">Premises, group insurance and professional fees procurement [A]</w:t>
            </w:r>
          </w:p>
        </w:tc>
        <w:tc>
          <w:tcPr>
            <w:tcW w:w="1244" w:type="dxa"/>
          </w:tcPr>
          <w:p>
            <w:pPr>
              <w:pStyle w:val="Compact"/>
              <w:jc w:val="left"/>
              <w:spacing w:before="20" w:after="20" w:line="220" w:lineRule="auto"/>
            </w:pPr>
            <w:r>
              <w:rPr>
                <w:sz w:val="15"/>
                <w:szCs w:val="15"/>
              </w:rPr>
              <w:t xml:space="preserve">VAT on intra-group recharges, duplicated regulatory levies per licence [D, can be negative]</w:t>
            </w:r>
          </w:p>
        </w:tc>
      </w:tr>
    </w:tbl>
    <w:p>
      <w:pPr>
        <w:pStyle w:val="BodyText"/>
      </w:pPr>
      <w:r>
        <w:t xml:space="preserve">Source: 01_framework.md section 5. D: directly enabled by centralisation. A: adjacent. I: independent of the operating model.</w:t>
      </w:r>
    </w:p>
    <w:bookmarkEnd w:id="53"/>
    <w:bookmarkStart w:id="60" w:name="the-size-of-the-prize-and-what-it-costs"/>
    <w:p>
      <w:pPr>
        <w:pStyle w:val="Heading2"/>
      </w:pPr>
      <w:r>
        <w:t xml:space="preserve">7. The size of the prize and what it costs</w:t>
      </w:r>
    </w:p>
    <w:p>
      <w:pPr>
        <w:pStyle w:val="CaptionedFigure"/>
      </w:pPr>
      <w:r>
        <w:drawing>
          <wp:inline>
            <wp:extent cx="5334000" cy="2500312"/>
            <wp:effectExtent b="0" l="0" r="0" t="0"/>
            <wp:docPr descr="Savings hypothesis range" title="" id="55" name="Picture"/>
            <a:graphic>
              <a:graphicData uri="http://schemas.openxmlformats.org/drawingml/2006/picture">
                <pic:pic>
                  <pic:nvPicPr>
                    <pic:cNvPr descr="/tmp/claude-0/-home-user-Letsema/5bd7a4d8-b1bc-595f-a913-9cd28c599586/scratchpad/pov/charts/c6_prize.png" id="56" name="Picture"/>
                    <pic:cNvPicPr>
                      <a:picLocks noChangeArrowheads="1" noChangeAspect="1"/>
                    </pic:cNvPicPr>
                  </pic:nvPicPr>
                  <pic:blipFill>
                    <a:blip r:embed="rId54"/>
                    <a:stretch>
                      <a:fillRect/>
                    </a:stretch>
                  </pic:blipFill>
                  <pic:spPr bwMode="auto">
                    <a:xfrm>
                      <a:off x="0" y="0"/>
                      <a:ext cx="5334000" cy="2500312"/>
                    </a:xfrm>
                    <a:prstGeom prst="rect">
                      <a:avLst/>
                    </a:prstGeom>
                    <a:noFill/>
                    <a:ln w="9525">
                      <a:noFill/>
                      <a:headEnd/>
                      <a:tailEnd/>
                    </a:ln>
                  </pic:spPr>
                </pic:pic>
              </a:graphicData>
            </a:graphic>
          </wp:inline>
        </w:drawing>
      </w:r>
    </w:p>
    <w:p>
      <w:pPr>
        <w:pStyle w:val="ImageCaption"/>
      </w:pPr>
      <w:r>
        <w:t xml:space="preserve">Savings hypothesis range</w:t>
      </w:r>
    </w:p>
    <w:p>
      <w:pPr>
        <w:pStyle w:val="BodyText"/>
      </w:pPr>
      <w:r>
        <w:t xml:space="preserve">The envelope is R276m to R806m a year on accounting lines, base R505m, built from four components. Savings on the addressable base at the precedent percentages of 6 to 13 percent are R211m to R594m. Claims leakage at 1 to 3 percent of net claims is R55m to R183m. Reinsurance repricing at 5 to 15 percent of the R199m net reinsurance cost is R10m to R30m. Trapped capital above a target cover of 1.25 to 1.50 and one avoidable licence are R10m to R169m of economic value, shown on the chart but never added to the accounting total. Cost to achieve at precedent multiples is R138m low, R505m base and R1 451m high, the high case being a programme that consolidates licences and migrates platforms.</w:t>
      </w:r>
    </w:p>
    <w:p>
      <w:pPr>
        <w:pStyle w:val="BodyText"/>
      </w:pPr>
      <w:r>
        <w:t xml:space="preserve">The precedent evidence comes from 26 programmes captured from primary documents, 20 with hard numbers and eight with a disclosed cost base. Business-wide programmes at South African and European insurers targeted 6 to 13 percent of the addressable base over two to three years and the South African programmes delivered at or above target: Old Mutual’s R1bn programme targeted 5.9 percent of a R16 960m base and delivered 7.3 percent [PR-002, PR-005, PR-013]; Momentum’s Reset and Grow targeted R700m against a R9 200m base and delivered R900m after tax by March 2021 [PR-039, PR-041, PR-045]. Removing a head office or holding layer after a separation released far more, 36.7 percent at Prudential [PR-137], which is the closest analogue to collapsing duplicated licence and control-function cost in Insurance HO. Cost to achieve clusters by lever: 0.25 to 0.7 times run-rate savings for headcount, procurement and central cost programmes [PR-009, PR-082, PR-076, PR-089], and 1.5 to 2.0 times where platform migration or licence consolidation is bundled [PR-158, PR-055, PR-116, PR-097].</w:t>
      </w:r>
    </w:p>
    <w:p>
      <w:pPr>
        <w:pStyle w:val="CaptionedFigure"/>
      </w:pPr>
      <w:r>
        <w:drawing>
          <wp:inline>
            <wp:extent cx="5334000" cy="2500312"/>
            <wp:effectExtent b="0" l="0" r="0" t="0"/>
            <wp:docPr descr="Precedent savings as a share of base" title="" id="58" name="Picture"/>
            <a:graphic>
              <a:graphicData uri="http://schemas.openxmlformats.org/drawingml/2006/picture">
                <pic:pic>
                  <pic:nvPicPr>
                    <pic:cNvPr descr="/tmp/claude-0/-home-user-Letsema/5bd7a4d8-b1bc-595f-a913-9cd28c599586/scratchpad/pov/charts/c8_precedents.png" id="59" name="Picture"/>
                    <pic:cNvPicPr>
                      <a:picLocks noChangeArrowheads="1" noChangeAspect="1"/>
                    </pic:cNvPicPr>
                  </pic:nvPicPr>
                  <pic:blipFill>
                    <a:blip r:embed="rId57"/>
                    <a:stretch>
                      <a:fillRect/>
                    </a:stretch>
                  </pic:blipFill>
                  <pic:spPr bwMode="auto">
                    <a:xfrm>
                      <a:off x="0" y="0"/>
                      <a:ext cx="5334000" cy="2500312"/>
                    </a:xfrm>
                    <a:prstGeom prst="rect">
                      <a:avLst/>
                    </a:prstGeom>
                    <a:noFill/>
                    <a:ln w="9525">
                      <a:noFill/>
                      <a:headEnd/>
                      <a:tailEnd/>
                    </a:ln>
                  </pic:spPr>
                </pic:pic>
              </a:graphicData>
            </a:graphic>
          </wp:inline>
        </w:drawing>
      </w:r>
    </w:p>
    <w:p>
      <w:pPr>
        <w:pStyle w:val="ImageCaption"/>
      </w:pPr>
      <w:r>
        <w:t xml:space="preserve">Precedent savings as a share of base</w:t>
      </w:r>
    </w:p>
    <w:p>
      <w:pPr>
        <w:pStyle w:val="BodyText"/>
        <w:sectPr>
          <w:pgSz w:w="11906" w:h="16838"/>
          <w:pgMar w:top="1134" w:right="1418" w:bottom="1134" w:left="1418" w:header="708" w:footer="708" w:gutter="0"/>
        </w:sectPr>
      </w:pPr>
    </w:p>
    <w:tbl>
      <w:tblPr>
        <w:tblStyle w:val="Table"/>
        <w:tblLook w:firstRow="1" w:lastRow="0" w:firstColumn="0" w:lastColumn="0" w:noHBand="0" w:noVBand="0" w:val="0020"/>
        <w:jc w:val="start"/>
        <w:tblW w:w="14566" w:type="dxa"/>
        <w:tblLayout w:type="fixed"/>
      </w:tblPr>
      <w:tblGrid>
        <w:gridCol w:w="2545"/>
        <w:gridCol w:w="981"/>
        <w:gridCol w:w="1252"/>
        <w:gridCol w:w="1021"/>
        <w:gridCol w:w="1157"/>
        <w:gridCol w:w="1045"/>
        <w:gridCol w:w="1316"/>
        <w:gridCol w:w="1157"/>
        <w:gridCol w:w="1603"/>
        <w:gridCol w:w="2489"/>
      </w:tblGrid>
      <w:tr>
        <w:trPr>
          <w:tblHeader w:val="true"/>
        </w:trPr>
        <w:tc>
          <w:tcPr>
            <w:tcW w:w="2545" w:type="dxa"/>
          </w:tcPr>
          <w:p>
            <w:pPr>
              <w:pStyle w:val="Compact"/>
              <w:jc w:val="left"/>
              <w:spacing w:before="20" w:after="20" w:line="220" w:lineRule="auto"/>
            </w:pPr>
            <w:r>
              <w:rPr>
                <w:sz w:val="13"/>
                <w:szCs w:val="13"/>
              </w:rPr>
              <w:t xml:space="preserve">Programme</w:t>
            </w:r>
          </w:p>
        </w:tc>
        <w:tc>
          <w:tcPr>
            <w:tcW w:w="981" w:type="dxa"/>
          </w:tcPr>
          <w:p>
            <w:pPr>
              <w:pStyle w:val="Compact"/>
              <w:jc w:val="left"/>
              <w:spacing w:before="20" w:after="20" w:line="220" w:lineRule="auto"/>
            </w:pPr>
            <w:r>
              <w:rPr>
                <w:sz w:val="13"/>
                <w:szCs w:val="13"/>
              </w:rPr>
              <w:t xml:space="preserve">Announced</w:t>
            </w:r>
          </w:p>
        </w:tc>
        <w:tc>
          <w:tcPr>
            <w:tcW w:w="1252" w:type="dxa"/>
          </w:tcPr>
          <w:p>
            <w:pPr>
              <w:pStyle w:val="Compact"/>
              <w:jc w:val="left"/>
              <w:spacing w:before="20" w:after="20" w:line="220" w:lineRule="auto"/>
            </w:pPr>
            <w:r>
              <w:rPr>
                <w:sz w:val="13"/>
                <w:szCs w:val="13"/>
              </w:rPr>
              <w:t xml:space="preserve">Cost base at start</w:t>
            </w:r>
          </w:p>
        </w:tc>
        <w:tc>
          <w:tcPr>
            <w:tcW w:w="1021" w:type="dxa"/>
          </w:tcPr>
          <w:p>
            <w:pPr>
              <w:pStyle w:val="Compact"/>
              <w:jc w:val="left"/>
              <w:spacing w:before="20" w:after="20" w:line="220" w:lineRule="auto"/>
            </w:pPr>
            <w:r>
              <w:rPr>
                <w:sz w:val="13"/>
                <w:szCs w:val="13"/>
              </w:rPr>
              <w:t xml:space="preserve">Savings target</w:t>
            </w:r>
          </w:p>
        </w:tc>
        <w:tc>
          <w:tcPr>
            <w:tcW w:w="1157" w:type="dxa"/>
          </w:tcPr>
          <w:p>
            <w:pPr>
              <w:pStyle w:val="Compact"/>
              <w:jc w:val="left"/>
              <w:spacing w:before="20" w:after="20" w:line="220" w:lineRule="auto"/>
            </w:pPr>
            <w:r>
              <w:rPr>
                <w:sz w:val="13"/>
                <w:szCs w:val="13"/>
              </w:rPr>
              <w:t xml:space="preserve">Target as % of base</w:t>
            </w:r>
          </w:p>
        </w:tc>
        <w:tc>
          <w:tcPr>
            <w:tcW w:w="1045" w:type="dxa"/>
          </w:tcPr>
          <w:p>
            <w:pPr>
              <w:pStyle w:val="Compact"/>
              <w:jc w:val="left"/>
              <w:spacing w:before="20" w:after="20" w:line="220" w:lineRule="auto"/>
            </w:pPr>
            <w:r>
              <w:rPr>
                <w:sz w:val="13"/>
                <w:szCs w:val="13"/>
              </w:rPr>
              <w:t xml:space="preserve">Timeframe (years)</w:t>
            </w:r>
          </w:p>
        </w:tc>
        <w:tc>
          <w:tcPr>
            <w:tcW w:w="1316" w:type="dxa"/>
          </w:tcPr>
          <w:p>
            <w:pPr>
              <w:pStyle w:val="Compact"/>
              <w:jc w:val="left"/>
              <w:spacing w:before="20" w:after="20" w:line="220" w:lineRule="auto"/>
            </w:pPr>
            <w:r>
              <w:rPr>
                <w:sz w:val="13"/>
                <w:szCs w:val="13"/>
              </w:rPr>
              <w:t xml:space="preserve">Cost to achieve</w:t>
            </w:r>
          </w:p>
        </w:tc>
        <w:tc>
          <w:tcPr>
            <w:tcW w:w="1157" w:type="dxa"/>
          </w:tcPr>
          <w:p>
            <w:pPr>
              <w:pStyle w:val="Compact"/>
              <w:jc w:val="left"/>
              <w:spacing w:before="20" w:after="20" w:line="220" w:lineRule="auto"/>
            </w:pPr>
            <w:r>
              <w:rPr>
                <w:sz w:val="13"/>
                <w:szCs w:val="13"/>
              </w:rPr>
              <w:t xml:space="preserve">Cost to achieve ratio</w:t>
            </w:r>
          </w:p>
        </w:tc>
        <w:tc>
          <w:tcPr>
            <w:tcW w:w="1603" w:type="dxa"/>
          </w:tcPr>
          <w:p>
            <w:pPr>
              <w:pStyle w:val="Compact"/>
              <w:jc w:val="left"/>
              <w:spacing w:before="20" w:after="20" w:line="220" w:lineRule="auto"/>
            </w:pPr>
            <w:r>
              <w:rPr>
                <w:sz w:val="13"/>
                <w:szCs w:val="13"/>
              </w:rPr>
              <w:t xml:space="preserve">Delivered</w:t>
            </w:r>
          </w:p>
        </w:tc>
        <w:tc>
          <w:tcPr>
            <w:tcW w:w="2489" w:type="dxa"/>
          </w:tcPr>
          <w:p>
            <w:pPr>
              <w:pStyle w:val="Compact"/>
              <w:jc w:val="left"/>
              <w:spacing w:before="20" w:after="20" w:line="220" w:lineRule="auto"/>
            </w:pPr>
            <w:r>
              <w:rPr>
                <w:sz w:val="13"/>
                <w:szCs w:val="13"/>
              </w:rPr>
              <w:t xml:space="preserve">Levers disclosed</w:t>
            </w:r>
          </w:p>
        </w:tc>
      </w:tr>
      <w:tr>
        <w:tc>
          <w:tcPr>
            <w:tcW w:w="2545" w:type="dxa"/>
          </w:tcPr>
          <w:p>
            <w:pPr>
              <w:pStyle w:val="Compact"/>
              <w:jc w:val="left"/>
              <w:spacing w:before="20" w:after="20" w:line="220" w:lineRule="auto"/>
            </w:pPr>
            <w:r>
              <w:rPr>
                <w:sz w:val="13"/>
                <w:szCs w:val="13"/>
              </w:rPr>
              <w:t xml:space="preserve">Old Mutual Limited: R1 billion cost efficiency programme (2017-2019)</w:t>
            </w:r>
          </w:p>
        </w:tc>
        <w:tc>
          <w:tcPr>
            <w:tcW w:w="981" w:type="dxa"/>
          </w:tcPr>
          <w:p>
            <w:pPr>
              <w:pStyle w:val="Compact"/>
              <w:jc w:val="left"/>
              <w:spacing w:before="20" w:after="20" w:line="220" w:lineRule="auto"/>
            </w:pPr>
            <w:r>
              <w:rPr>
                <w:sz w:val="13"/>
                <w:szCs w:val="13"/>
              </w:rPr>
              <w:t xml:space="preserve">2017 [PR-001]</w:t>
            </w:r>
          </w:p>
        </w:tc>
        <w:tc>
          <w:tcPr>
            <w:tcW w:w="1252" w:type="dxa"/>
          </w:tcPr>
          <w:p>
            <w:pPr>
              <w:pStyle w:val="Compact"/>
              <w:jc w:val="left"/>
              <w:spacing w:before="20" w:after="20" w:line="220" w:lineRule="auto"/>
            </w:pPr>
            <w:r>
              <w:rPr>
                <w:sz w:val="13"/>
                <w:szCs w:val="13"/>
              </w:rPr>
              <w:t xml:space="preserve">ZAR 16,960m [PR-002]</w:t>
            </w:r>
          </w:p>
        </w:tc>
        <w:tc>
          <w:tcPr>
            <w:tcW w:w="1021" w:type="dxa"/>
          </w:tcPr>
          <w:p>
            <w:pPr>
              <w:pStyle w:val="Compact"/>
              <w:jc w:val="left"/>
              <w:spacing w:before="20" w:after="20" w:line="220" w:lineRule="auto"/>
            </w:pPr>
            <w:r>
              <w:rPr>
                <w:sz w:val="13"/>
                <w:szCs w:val="13"/>
              </w:rPr>
              <w:t xml:space="preserve">ZAR 1,000m [PR-004]</w:t>
            </w:r>
          </w:p>
        </w:tc>
        <w:tc>
          <w:tcPr>
            <w:tcW w:w="1157" w:type="dxa"/>
          </w:tcPr>
          <w:p>
            <w:pPr>
              <w:pStyle w:val="Compact"/>
              <w:jc w:val="left"/>
              <w:spacing w:before="20" w:after="20" w:line="220" w:lineRule="auto"/>
            </w:pPr>
            <w:r>
              <w:rPr>
                <w:sz w:val="13"/>
                <w:szCs w:val="13"/>
              </w:rPr>
              <w:t xml:space="preserve">5.9% (derived) [PR-005]</w:t>
            </w:r>
          </w:p>
        </w:tc>
        <w:tc>
          <w:tcPr>
            <w:tcW w:w="1045" w:type="dxa"/>
          </w:tcPr>
          <w:p>
            <w:pPr>
              <w:pStyle w:val="Compact"/>
              <w:jc w:val="left"/>
              <w:spacing w:before="20" w:after="20" w:line="220" w:lineRule="auto"/>
            </w:pPr>
            <w:r>
              <w:rPr>
                <w:sz w:val="13"/>
                <w:szCs w:val="13"/>
              </w:rPr>
              <w:t xml:space="preserve">2 [PR-006]</w:t>
            </w:r>
          </w:p>
        </w:tc>
        <w:tc>
          <w:tcPr>
            <w:tcW w:w="1316" w:type="dxa"/>
          </w:tcPr>
          <w:p>
            <w:pPr>
              <w:pStyle w:val="Compact"/>
              <w:jc w:val="left"/>
              <w:spacing w:before="20" w:after="20" w:line="220" w:lineRule="auto"/>
            </w:pPr>
            <w:r>
              <w:rPr>
                <w:sz w:val="13"/>
                <w:szCs w:val="13"/>
              </w:rPr>
              <w:t xml:space="preserve">ZAR 70m [PR-008]</w:t>
            </w:r>
          </w:p>
        </w:tc>
        <w:tc>
          <w:tcPr>
            <w:tcW w:w="1157" w:type="dxa"/>
          </w:tcPr>
          <w:p>
            <w:pPr>
              <w:pStyle w:val="Compact"/>
              <w:jc w:val="left"/>
              <w:spacing w:before="20" w:after="20" w:line="220" w:lineRule="auto"/>
            </w:pPr>
            <w:r>
              <w:rPr>
                <w:sz w:val="13"/>
                <w:szCs w:val="13"/>
              </w:rPr>
              <w:t xml:space="preserve">0.26x (derived) [PR-009]</w:t>
            </w:r>
          </w:p>
        </w:tc>
        <w:tc>
          <w:tcPr>
            <w:tcW w:w="1603" w:type="dxa"/>
          </w:tcPr>
          <w:p>
            <w:pPr>
              <w:pStyle w:val="Compact"/>
              <w:jc w:val="left"/>
              <w:spacing w:before="20" w:after="20" w:line="220" w:lineRule="auto"/>
            </w:pPr>
            <w:r>
              <w:rPr>
                <w:sz w:val="13"/>
                <w:szCs w:val="13"/>
              </w:rPr>
              <w:t xml:space="preserve">ZAR 750m [PR-010] (2018); ZAR 1,236m [PR-012] (2019)</w:t>
            </w:r>
          </w:p>
        </w:tc>
        <w:tc>
          <w:tcPr>
            <w:tcW w:w="2489" w:type="dxa"/>
          </w:tcPr>
          <w:p>
            <w:pPr>
              <w:pStyle w:val="Compact"/>
              <w:jc w:val="left"/>
              <w:spacing w:before="20" w:after="20" w:line="220" w:lineRule="auto"/>
            </w:pPr>
            <w:r>
              <w:rPr>
                <w:sz w:val="13"/>
                <w:szCs w:val="13"/>
              </w:rPr>
              <w:t xml:space="preserve">people and operating model 48.0% [PR-014]; IT and IT processes 18.0% [PR-015]; consultants and procurement 7.0% [PR-016]</w:t>
            </w:r>
          </w:p>
        </w:tc>
      </w:tr>
      <w:tr>
        <w:tc>
          <w:tcPr>
            <w:tcW w:w="2545" w:type="dxa"/>
          </w:tcPr>
          <w:p>
            <w:pPr>
              <w:pStyle w:val="Compact"/>
              <w:jc w:val="left"/>
              <w:spacing w:before="20" w:after="20" w:line="220" w:lineRule="auto"/>
            </w:pPr>
            <w:r>
              <w:rPr>
                <w:sz w:val="13"/>
                <w:szCs w:val="13"/>
              </w:rPr>
              <w:t xml:space="preserve">MMI Holdings: R750 million expense reduction programme (FY2016-FY2019)</w:t>
            </w:r>
          </w:p>
        </w:tc>
        <w:tc>
          <w:tcPr>
            <w:tcW w:w="981" w:type="dxa"/>
          </w:tcPr>
          <w:p>
            <w:pPr>
              <w:pStyle w:val="Compact"/>
              <w:jc w:val="left"/>
              <w:spacing w:before="20" w:after="20" w:line="220" w:lineRule="auto"/>
            </w:pPr>
            <w:r>
              <w:rPr>
                <w:sz w:val="13"/>
                <w:szCs w:val="13"/>
              </w:rPr>
              <w:t xml:space="preserve">2016 [PR-029]</w:t>
            </w:r>
          </w:p>
        </w:tc>
        <w:tc>
          <w:tcPr>
            <w:tcW w:w="1252" w:type="dxa"/>
          </w:tcPr>
          <w:p>
            <w:pPr>
              <w:pStyle w:val="Compact"/>
              <w:jc w:val="left"/>
              <w:spacing w:before="20" w:after="20" w:line="220" w:lineRule="auto"/>
            </w:pPr>
            <w:r>
              <w:rPr>
                <w:sz w:val="13"/>
                <w:szCs w:val="13"/>
              </w:rPr>
              <w:t xml:space="preserve">ZAR 13,444m (derived) [PR-033]</w:t>
            </w:r>
          </w:p>
        </w:tc>
        <w:tc>
          <w:tcPr>
            <w:tcW w:w="1021" w:type="dxa"/>
          </w:tcPr>
          <w:p>
            <w:pPr>
              <w:pStyle w:val="Compact"/>
              <w:jc w:val="left"/>
              <w:spacing w:before="20" w:after="20" w:line="220" w:lineRule="auto"/>
            </w:pPr>
            <w:r>
              <w:rPr>
                <w:sz w:val="13"/>
                <w:szCs w:val="13"/>
              </w:rPr>
              <w:t xml:space="preserve">ZAR 750m [PR-030]</w:t>
            </w:r>
          </w:p>
        </w:tc>
        <w:tc>
          <w:tcPr>
            <w:tcW w:w="1157" w:type="dxa"/>
          </w:tcPr>
          <w:p>
            <w:pPr>
              <w:pStyle w:val="Compact"/>
              <w:jc w:val="left"/>
              <w:spacing w:before="20" w:after="20" w:line="220" w:lineRule="auto"/>
            </w:pPr>
            <w:r>
              <w:rPr>
                <w:sz w:val="13"/>
                <w:szCs w:val="13"/>
              </w:rPr>
              <w:t xml:space="preserve">5.6% (derived) [PR-034]</w:t>
            </w:r>
          </w:p>
        </w:tc>
        <w:tc>
          <w:tcPr>
            <w:tcW w:w="1045" w:type="dxa"/>
          </w:tcPr>
          <w:p>
            <w:pPr>
              <w:pStyle w:val="Compact"/>
              <w:jc w:val="left"/>
              <w:spacing w:before="20" w:after="20" w:line="220" w:lineRule="auto"/>
            </w:pPr>
            <w:r>
              <w:rPr>
                <w:sz w:val="13"/>
                <w:szCs w:val="13"/>
              </w:rPr>
              <w:t xml:space="preserve">n/d</w:t>
            </w:r>
          </w:p>
        </w:tc>
        <w:tc>
          <w:tcPr>
            <w:tcW w:w="1316" w:type="dxa"/>
          </w:tcPr>
          <w:p>
            <w:pPr>
              <w:pStyle w:val="Compact"/>
              <w:jc w:val="left"/>
              <w:spacing w:before="20" w:after="20" w:line="220" w:lineRule="auto"/>
            </w:pPr>
            <w:r>
              <w:rPr>
                <w:sz w:val="13"/>
                <w:szCs w:val="13"/>
              </w:rPr>
              <w:t xml:space="preserve">n/d</w:t>
            </w:r>
          </w:p>
        </w:tc>
        <w:tc>
          <w:tcPr>
            <w:tcW w:w="1157" w:type="dxa"/>
          </w:tcPr>
          <w:p>
            <w:pPr>
              <w:pStyle w:val="Compact"/>
              <w:jc w:val="left"/>
              <w:spacing w:before="20" w:after="20" w:line="220" w:lineRule="auto"/>
            </w:pPr>
            <w:r>
              <w:rPr>
                <w:sz w:val="13"/>
                <w:szCs w:val="13"/>
              </w:rPr>
              <w:t xml:space="preserve">n/d</w:t>
            </w:r>
          </w:p>
        </w:tc>
        <w:tc>
          <w:tcPr>
            <w:tcW w:w="1603" w:type="dxa"/>
          </w:tcPr>
          <w:p>
            <w:pPr>
              <w:pStyle w:val="Compact"/>
              <w:jc w:val="left"/>
              <w:spacing w:before="20" w:after="20" w:line="220" w:lineRule="auto"/>
            </w:pPr>
            <w:r>
              <w:rPr>
                <w:sz w:val="13"/>
                <w:szCs w:val="13"/>
              </w:rPr>
              <w:t xml:space="preserve">ZAR 104m [PR-035] (2016); ZAR 323m [PR-036] (2017)</w:t>
            </w:r>
          </w:p>
        </w:tc>
        <w:tc>
          <w:tcPr>
            <w:tcW w:w="2489" w:type="dxa"/>
          </w:tcPr>
          <w:p>
            <w:pPr>
              <w:pStyle w:val="Compact"/>
              <w:spacing w:before="20" w:after="20" w:line="220" w:lineRule="auto"/>
            </w:pPr>
          </w:p>
        </w:tc>
      </w:tr>
      <w:tr>
        <w:tc>
          <w:tcPr>
            <w:tcW w:w="2545" w:type="dxa"/>
          </w:tcPr>
          <w:p>
            <w:pPr>
              <w:pStyle w:val="Compact"/>
              <w:jc w:val="left"/>
              <w:spacing w:before="20" w:after="20" w:line="220" w:lineRule="auto"/>
            </w:pPr>
            <w:r>
              <w:rPr>
                <w:sz w:val="13"/>
                <w:szCs w:val="13"/>
              </w:rPr>
              <w:t xml:space="preserve">Momentum Metropolitan Holdings: Reset and Grow efficiency programme (F2018-F2021)</w:t>
            </w:r>
          </w:p>
        </w:tc>
        <w:tc>
          <w:tcPr>
            <w:tcW w:w="981" w:type="dxa"/>
          </w:tcPr>
          <w:p>
            <w:pPr>
              <w:pStyle w:val="Compact"/>
              <w:jc w:val="left"/>
              <w:spacing w:before="20" w:after="20" w:line="220" w:lineRule="auto"/>
            </w:pPr>
            <w:r>
              <w:rPr>
                <w:sz w:val="13"/>
                <w:szCs w:val="13"/>
              </w:rPr>
              <w:t xml:space="preserve">2018 [PR-038]</w:t>
            </w:r>
          </w:p>
        </w:tc>
        <w:tc>
          <w:tcPr>
            <w:tcW w:w="1252" w:type="dxa"/>
          </w:tcPr>
          <w:p>
            <w:pPr>
              <w:pStyle w:val="Compact"/>
              <w:jc w:val="left"/>
              <w:spacing w:before="20" w:after="20" w:line="220" w:lineRule="auto"/>
            </w:pPr>
            <w:r>
              <w:rPr>
                <w:sz w:val="13"/>
                <w:szCs w:val="13"/>
              </w:rPr>
              <w:t xml:space="preserve">ZAR 9,200m [PR-039]</w:t>
            </w:r>
          </w:p>
        </w:tc>
        <w:tc>
          <w:tcPr>
            <w:tcW w:w="1021" w:type="dxa"/>
          </w:tcPr>
          <w:p>
            <w:pPr>
              <w:pStyle w:val="Compact"/>
              <w:jc w:val="left"/>
              <w:spacing w:before="20" w:after="20" w:line="220" w:lineRule="auto"/>
            </w:pPr>
            <w:r>
              <w:rPr>
                <w:sz w:val="13"/>
                <w:szCs w:val="13"/>
              </w:rPr>
              <w:t xml:space="preserve">ZAR 700m [PR-040]</w:t>
            </w:r>
          </w:p>
        </w:tc>
        <w:tc>
          <w:tcPr>
            <w:tcW w:w="1157" w:type="dxa"/>
          </w:tcPr>
          <w:p>
            <w:pPr>
              <w:pStyle w:val="Compact"/>
              <w:jc w:val="left"/>
              <w:spacing w:before="20" w:after="20" w:line="220" w:lineRule="auto"/>
            </w:pPr>
            <w:r>
              <w:rPr>
                <w:sz w:val="13"/>
                <w:szCs w:val="13"/>
              </w:rPr>
              <w:t xml:space="preserve">7.6% (derived) [PR-041]</w:t>
            </w:r>
          </w:p>
        </w:tc>
        <w:tc>
          <w:tcPr>
            <w:tcW w:w="1045" w:type="dxa"/>
          </w:tcPr>
          <w:p>
            <w:pPr>
              <w:pStyle w:val="Compact"/>
              <w:jc w:val="left"/>
              <w:spacing w:before="20" w:after="20" w:line="220" w:lineRule="auto"/>
            </w:pPr>
            <w:r>
              <w:rPr>
                <w:sz w:val="13"/>
                <w:szCs w:val="13"/>
              </w:rPr>
              <w:t xml:space="preserve">3 [PR-042]</w:t>
            </w:r>
          </w:p>
        </w:tc>
        <w:tc>
          <w:tcPr>
            <w:tcW w:w="1316" w:type="dxa"/>
          </w:tcPr>
          <w:p>
            <w:pPr>
              <w:pStyle w:val="Compact"/>
              <w:jc w:val="left"/>
              <w:spacing w:before="20" w:after="20" w:line="220" w:lineRule="auto"/>
            </w:pPr>
            <w:r>
              <w:rPr>
                <w:sz w:val="13"/>
                <w:szCs w:val="13"/>
              </w:rPr>
              <w:t xml:space="preserve">n/d</w:t>
            </w:r>
          </w:p>
        </w:tc>
        <w:tc>
          <w:tcPr>
            <w:tcW w:w="1157" w:type="dxa"/>
          </w:tcPr>
          <w:p>
            <w:pPr>
              <w:pStyle w:val="Compact"/>
              <w:jc w:val="left"/>
              <w:spacing w:before="20" w:after="20" w:line="220" w:lineRule="auto"/>
            </w:pPr>
            <w:r>
              <w:rPr>
                <w:sz w:val="13"/>
                <w:szCs w:val="13"/>
              </w:rPr>
              <w:t xml:space="preserve">n/d</w:t>
            </w:r>
          </w:p>
        </w:tc>
        <w:tc>
          <w:tcPr>
            <w:tcW w:w="1603" w:type="dxa"/>
          </w:tcPr>
          <w:p>
            <w:pPr>
              <w:pStyle w:val="Compact"/>
              <w:jc w:val="left"/>
              <w:spacing w:before="20" w:after="20" w:line="220" w:lineRule="auto"/>
            </w:pPr>
            <w:r>
              <w:rPr>
                <w:sz w:val="13"/>
                <w:szCs w:val="13"/>
              </w:rPr>
              <w:t xml:space="preserve">ZAR 700m [PR-044] (2019); ZAR 900m [PR-045] (2021)</w:t>
            </w:r>
          </w:p>
        </w:tc>
        <w:tc>
          <w:tcPr>
            <w:tcW w:w="2489" w:type="dxa"/>
          </w:tcPr>
          <w:p>
            <w:pPr>
              <w:pStyle w:val="Compact"/>
              <w:jc w:val="left"/>
              <w:spacing w:before="20" w:after="20" w:line="220" w:lineRule="auto"/>
            </w:pPr>
            <w:r>
              <w:rPr>
                <w:sz w:val="13"/>
                <w:szCs w:val="13"/>
              </w:rPr>
              <w:t xml:space="preserve">head office functions cost change -2.0% [PR-047]</w:t>
            </w:r>
          </w:p>
        </w:tc>
      </w:tr>
      <w:tr>
        <w:tc>
          <w:tcPr>
            <w:tcW w:w="2545" w:type="dxa"/>
          </w:tcPr>
          <w:p>
            <w:pPr>
              <w:pStyle w:val="Compact"/>
              <w:jc w:val="left"/>
              <w:spacing w:before="20" w:after="20" w:line="220" w:lineRule="auto"/>
            </w:pPr>
            <w:r>
              <w:rPr>
                <w:sz w:val="13"/>
                <w:szCs w:val="13"/>
              </w:rPr>
              <w:t xml:space="preserve">Phoenix Group: Standard Life Assurance acquisition transition programme (2018-2023)</w:t>
            </w:r>
          </w:p>
        </w:tc>
        <w:tc>
          <w:tcPr>
            <w:tcW w:w="981" w:type="dxa"/>
          </w:tcPr>
          <w:p>
            <w:pPr>
              <w:pStyle w:val="Compact"/>
              <w:jc w:val="left"/>
              <w:spacing w:before="20" w:after="20" w:line="220" w:lineRule="auto"/>
            </w:pPr>
            <w:r>
              <w:rPr>
                <w:sz w:val="13"/>
                <w:szCs w:val="13"/>
              </w:rPr>
              <w:t xml:space="preserve">2018 [PR-092]</w:t>
            </w:r>
          </w:p>
        </w:tc>
        <w:tc>
          <w:tcPr>
            <w:tcW w:w="1252" w:type="dxa"/>
          </w:tcPr>
          <w:p>
            <w:pPr>
              <w:pStyle w:val="Compact"/>
              <w:jc w:val="left"/>
              <w:spacing w:before="20" w:after="20" w:line="220" w:lineRule="auto"/>
            </w:pPr>
            <w:r>
              <w:rPr>
                <w:sz w:val="13"/>
                <w:szCs w:val="13"/>
              </w:rPr>
              <w:t xml:space="preserve">GBP 600m [PR-093]</w:t>
            </w:r>
          </w:p>
        </w:tc>
        <w:tc>
          <w:tcPr>
            <w:tcW w:w="1021" w:type="dxa"/>
          </w:tcPr>
          <w:p>
            <w:pPr>
              <w:pStyle w:val="Compact"/>
              <w:jc w:val="left"/>
              <w:spacing w:before="20" w:after="20" w:line="220" w:lineRule="auto"/>
            </w:pPr>
            <w:r>
              <w:rPr>
                <w:sz w:val="13"/>
                <w:szCs w:val="13"/>
              </w:rPr>
              <w:t xml:space="preserve">GBP 75m [PR-094]</w:t>
            </w:r>
          </w:p>
        </w:tc>
        <w:tc>
          <w:tcPr>
            <w:tcW w:w="1157" w:type="dxa"/>
          </w:tcPr>
          <w:p>
            <w:pPr>
              <w:pStyle w:val="Compact"/>
              <w:jc w:val="left"/>
              <w:spacing w:before="20" w:after="20" w:line="220" w:lineRule="auto"/>
            </w:pPr>
            <w:r>
              <w:rPr>
                <w:sz w:val="13"/>
                <w:szCs w:val="13"/>
              </w:rPr>
              <w:t xml:space="preserve">12.5% (derived) [PR-095]</w:t>
            </w:r>
          </w:p>
        </w:tc>
        <w:tc>
          <w:tcPr>
            <w:tcW w:w="1045" w:type="dxa"/>
          </w:tcPr>
          <w:p>
            <w:pPr>
              <w:pStyle w:val="Compact"/>
              <w:jc w:val="left"/>
              <w:spacing w:before="20" w:after="20" w:line="220" w:lineRule="auto"/>
            </w:pPr>
            <w:r>
              <w:rPr>
                <w:sz w:val="13"/>
                <w:szCs w:val="13"/>
              </w:rPr>
              <w:t xml:space="preserve">n/d</w:t>
            </w:r>
          </w:p>
        </w:tc>
        <w:tc>
          <w:tcPr>
            <w:tcW w:w="1316" w:type="dxa"/>
          </w:tcPr>
          <w:p>
            <w:pPr>
              <w:pStyle w:val="Compact"/>
              <w:jc w:val="left"/>
              <w:spacing w:before="20" w:after="20" w:line="220" w:lineRule="auto"/>
            </w:pPr>
            <w:r>
              <w:rPr>
                <w:sz w:val="13"/>
                <w:szCs w:val="13"/>
              </w:rPr>
              <w:t xml:space="preserve">GBP 150m [PR-096]</w:t>
            </w:r>
          </w:p>
        </w:tc>
        <w:tc>
          <w:tcPr>
            <w:tcW w:w="1157" w:type="dxa"/>
          </w:tcPr>
          <w:p>
            <w:pPr>
              <w:pStyle w:val="Compact"/>
              <w:jc w:val="left"/>
              <w:spacing w:before="20" w:after="20" w:line="220" w:lineRule="auto"/>
            </w:pPr>
            <w:r>
              <w:rPr>
                <w:sz w:val="13"/>
                <w:szCs w:val="13"/>
              </w:rPr>
              <w:t xml:space="preserve">2.00x (derived) [PR-097]</w:t>
            </w:r>
          </w:p>
        </w:tc>
        <w:tc>
          <w:tcPr>
            <w:tcW w:w="1603" w:type="dxa"/>
          </w:tcPr>
          <w:p>
            <w:pPr>
              <w:pStyle w:val="Compact"/>
              <w:jc w:val="left"/>
              <w:spacing w:before="20" w:after="20" w:line="220" w:lineRule="auto"/>
            </w:pPr>
            <w:r>
              <w:rPr>
                <w:sz w:val="13"/>
                <w:szCs w:val="13"/>
              </w:rPr>
              <w:t xml:space="preserve">GBP 33m [PR-099] (2019)</w:t>
            </w:r>
          </w:p>
        </w:tc>
        <w:tc>
          <w:tcPr>
            <w:tcW w:w="2489" w:type="dxa"/>
          </w:tcPr>
          <w:p>
            <w:pPr>
              <w:pStyle w:val="Compact"/>
              <w:jc w:val="left"/>
              <w:spacing w:before="20" w:after="20" w:line="220" w:lineRule="auto"/>
            </w:pPr>
            <w:r>
              <w:rPr>
                <w:sz w:val="13"/>
                <w:szCs w:val="13"/>
              </w:rPr>
              <w:t xml:space="preserve">entity consolidation, single LifeCo Part VII capital benefit GBP 100m [PR-101]</w:t>
            </w:r>
          </w:p>
        </w:tc>
      </w:tr>
      <w:tr>
        <w:tc>
          <w:tcPr>
            <w:tcW w:w="2545" w:type="dxa"/>
          </w:tcPr>
          <w:p>
            <w:pPr>
              <w:pStyle w:val="Compact"/>
              <w:jc w:val="left"/>
              <w:spacing w:before="20" w:after="20" w:line="220" w:lineRule="auto"/>
            </w:pPr>
            <w:r>
              <w:rPr>
                <w:sz w:val="13"/>
                <w:szCs w:val="13"/>
              </w:rPr>
              <w:t xml:space="preserve">Aegon: expense savings programme (2021-2023, vs 2019 addressable expense base)</w:t>
            </w:r>
          </w:p>
        </w:tc>
        <w:tc>
          <w:tcPr>
            <w:tcW w:w="981" w:type="dxa"/>
          </w:tcPr>
          <w:p>
            <w:pPr>
              <w:pStyle w:val="Compact"/>
              <w:jc w:val="left"/>
              <w:spacing w:before="20" w:after="20" w:line="220" w:lineRule="auto"/>
            </w:pPr>
            <w:r>
              <w:rPr>
                <w:sz w:val="13"/>
                <w:szCs w:val="13"/>
              </w:rPr>
              <w:t xml:space="preserve">2020 [PR-111]</w:t>
            </w:r>
          </w:p>
        </w:tc>
        <w:tc>
          <w:tcPr>
            <w:tcW w:w="1252" w:type="dxa"/>
          </w:tcPr>
          <w:p>
            <w:pPr>
              <w:pStyle w:val="Compact"/>
              <w:jc w:val="left"/>
              <w:spacing w:before="20" w:after="20" w:line="220" w:lineRule="auto"/>
            </w:pPr>
            <w:r>
              <w:rPr>
                <w:sz w:val="13"/>
                <w:szCs w:val="13"/>
              </w:rPr>
              <w:t xml:space="preserve">EUR 3,077m (derived) [PR-114]</w:t>
            </w:r>
          </w:p>
        </w:tc>
        <w:tc>
          <w:tcPr>
            <w:tcW w:w="1021" w:type="dxa"/>
          </w:tcPr>
          <w:p>
            <w:pPr>
              <w:pStyle w:val="Compact"/>
              <w:jc w:val="left"/>
              <w:spacing w:before="20" w:after="20" w:line="220" w:lineRule="auto"/>
            </w:pPr>
            <w:r>
              <w:rPr>
                <w:sz w:val="13"/>
                <w:szCs w:val="13"/>
              </w:rPr>
              <w:t xml:space="preserve">EUR 400m [PR-112]</w:t>
            </w:r>
          </w:p>
        </w:tc>
        <w:tc>
          <w:tcPr>
            <w:tcW w:w="1157" w:type="dxa"/>
          </w:tcPr>
          <w:p>
            <w:pPr>
              <w:pStyle w:val="Compact"/>
              <w:jc w:val="left"/>
              <w:spacing w:before="20" w:after="20" w:line="220" w:lineRule="auto"/>
            </w:pPr>
            <w:r>
              <w:rPr>
                <w:sz w:val="13"/>
                <w:szCs w:val="13"/>
              </w:rPr>
              <w:t xml:space="preserve">13.0% [PR-113]</w:t>
            </w:r>
          </w:p>
        </w:tc>
        <w:tc>
          <w:tcPr>
            <w:tcW w:w="1045" w:type="dxa"/>
          </w:tcPr>
          <w:p>
            <w:pPr>
              <w:pStyle w:val="Compact"/>
              <w:jc w:val="left"/>
              <w:spacing w:before="20" w:after="20" w:line="220" w:lineRule="auto"/>
            </w:pPr>
            <w:r>
              <w:rPr>
                <w:sz w:val="13"/>
                <w:szCs w:val="13"/>
              </w:rPr>
              <w:t xml:space="preserve">n/d</w:t>
            </w:r>
          </w:p>
        </w:tc>
        <w:tc>
          <w:tcPr>
            <w:tcW w:w="1316" w:type="dxa"/>
          </w:tcPr>
          <w:p>
            <w:pPr>
              <w:pStyle w:val="Compact"/>
              <w:jc w:val="left"/>
              <w:spacing w:before="20" w:after="20" w:line="220" w:lineRule="auto"/>
            </w:pPr>
            <w:r>
              <w:rPr>
                <w:sz w:val="13"/>
                <w:szCs w:val="13"/>
              </w:rPr>
              <w:t xml:space="preserve">EUR 650m [PR-115]</w:t>
            </w:r>
          </w:p>
        </w:tc>
        <w:tc>
          <w:tcPr>
            <w:tcW w:w="1157" w:type="dxa"/>
          </w:tcPr>
          <w:p>
            <w:pPr>
              <w:pStyle w:val="Compact"/>
              <w:jc w:val="left"/>
              <w:spacing w:before="20" w:after="20" w:line="220" w:lineRule="auto"/>
            </w:pPr>
            <w:r>
              <w:rPr>
                <w:sz w:val="13"/>
                <w:szCs w:val="13"/>
              </w:rPr>
              <w:t xml:space="preserve">1.62x (derived) [PR-116]</w:t>
            </w:r>
          </w:p>
        </w:tc>
        <w:tc>
          <w:tcPr>
            <w:tcW w:w="1603" w:type="dxa"/>
          </w:tcPr>
          <w:p>
            <w:pPr>
              <w:pStyle w:val="Compact"/>
              <w:jc w:val="left"/>
              <w:spacing w:before="20" w:after="20" w:line="220" w:lineRule="auto"/>
            </w:pPr>
            <w:r>
              <w:rPr>
                <w:sz w:val="13"/>
                <w:szCs w:val="13"/>
              </w:rPr>
              <w:t xml:space="preserve">EUR 244m [PR-117] (2021); EUR 366m [PR-118] (2022)</w:t>
            </w:r>
          </w:p>
        </w:tc>
        <w:tc>
          <w:tcPr>
            <w:tcW w:w="2489" w:type="dxa"/>
          </w:tcPr>
          <w:p>
            <w:pPr>
              <w:pStyle w:val="Compact"/>
              <w:spacing w:before="20" w:after="20" w:line="220" w:lineRule="auto"/>
            </w:pPr>
          </w:p>
        </w:tc>
      </w:tr>
      <w:tr>
        <w:tc>
          <w:tcPr>
            <w:tcW w:w="2545" w:type="dxa"/>
          </w:tcPr>
          <w:p>
            <w:pPr>
              <w:pStyle w:val="Compact"/>
              <w:jc w:val="left"/>
              <w:spacing w:before="20" w:after="20" w:line="220" w:lineRule="auto"/>
            </w:pPr>
            <w:r>
              <w:rPr>
                <w:sz w:val="13"/>
                <w:szCs w:val="13"/>
              </w:rPr>
              <w:t xml:space="preserve">Prudential plc: head office cost reduction after M&amp;G demerger (2019-2021) and Jackson separation (2023)</w:t>
            </w:r>
          </w:p>
        </w:tc>
        <w:tc>
          <w:tcPr>
            <w:tcW w:w="981" w:type="dxa"/>
          </w:tcPr>
          <w:p>
            <w:pPr>
              <w:pStyle w:val="Compact"/>
              <w:jc w:val="left"/>
              <w:spacing w:before="20" w:after="20" w:line="220" w:lineRule="auto"/>
            </w:pPr>
            <w:r>
              <w:rPr>
                <w:sz w:val="13"/>
                <w:szCs w:val="13"/>
              </w:rPr>
              <w:t xml:space="preserve">2019 [PR-133]</w:t>
            </w:r>
          </w:p>
        </w:tc>
        <w:tc>
          <w:tcPr>
            <w:tcW w:w="1252" w:type="dxa"/>
          </w:tcPr>
          <w:p>
            <w:pPr>
              <w:pStyle w:val="Compact"/>
              <w:jc w:val="left"/>
              <w:spacing w:before="20" w:after="20" w:line="220" w:lineRule="auto"/>
            </w:pPr>
            <w:r>
              <w:rPr>
                <w:sz w:val="13"/>
                <w:szCs w:val="13"/>
              </w:rPr>
              <w:t xml:space="preserve">USD 490m [PR-134]</w:t>
            </w:r>
          </w:p>
        </w:tc>
        <w:tc>
          <w:tcPr>
            <w:tcW w:w="1021" w:type="dxa"/>
          </w:tcPr>
          <w:p>
            <w:pPr>
              <w:pStyle w:val="Compact"/>
              <w:jc w:val="left"/>
              <w:spacing w:before="20" w:after="20" w:line="220" w:lineRule="auto"/>
            </w:pPr>
            <w:r>
              <w:rPr>
                <w:sz w:val="13"/>
                <w:szCs w:val="13"/>
              </w:rPr>
              <w:t xml:space="preserve">USD 180m [PR-136]</w:t>
            </w:r>
          </w:p>
        </w:tc>
        <w:tc>
          <w:tcPr>
            <w:tcW w:w="1157" w:type="dxa"/>
          </w:tcPr>
          <w:p>
            <w:pPr>
              <w:pStyle w:val="Compact"/>
              <w:jc w:val="left"/>
              <w:spacing w:before="20" w:after="20" w:line="220" w:lineRule="auto"/>
            </w:pPr>
            <w:r>
              <w:rPr>
                <w:sz w:val="13"/>
                <w:szCs w:val="13"/>
              </w:rPr>
              <w:t xml:space="preserve">36.7% (derived) [PR-137]</w:t>
            </w:r>
          </w:p>
        </w:tc>
        <w:tc>
          <w:tcPr>
            <w:tcW w:w="1045" w:type="dxa"/>
          </w:tcPr>
          <w:p>
            <w:pPr>
              <w:pStyle w:val="Compact"/>
              <w:jc w:val="left"/>
              <w:spacing w:before="20" w:after="20" w:line="220" w:lineRule="auto"/>
            </w:pPr>
            <w:r>
              <w:rPr>
                <w:sz w:val="13"/>
                <w:szCs w:val="13"/>
              </w:rPr>
              <w:t xml:space="preserve">n/d</w:t>
            </w:r>
          </w:p>
        </w:tc>
        <w:tc>
          <w:tcPr>
            <w:tcW w:w="1316" w:type="dxa"/>
          </w:tcPr>
          <w:p>
            <w:pPr>
              <w:pStyle w:val="Compact"/>
              <w:jc w:val="left"/>
              <w:spacing w:before="20" w:after="20" w:line="220" w:lineRule="auto"/>
            </w:pPr>
            <w:r>
              <w:rPr>
                <w:sz w:val="13"/>
                <w:szCs w:val="13"/>
              </w:rPr>
              <w:t xml:space="preserve">USD 318m [PR-138]</w:t>
            </w:r>
          </w:p>
        </w:tc>
        <w:tc>
          <w:tcPr>
            <w:tcW w:w="1157" w:type="dxa"/>
          </w:tcPr>
          <w:p>
            <w:pPr>
              <w:pStyle w:val="Compact"/>
              <w:jc w:val="left"/>
              <w:spacing w:before="20" w:after="20" w:line="220" w:lineRule="auto"/>
            </w:pPr>
            <w:r>
              <w:rPr>
                <w:sz w:val="13"/>
                <w:szCs w:val="13"/>
              </w:rPr>
              <w:t xml:space="preserve">1.77x (derived) [PR-139]</w:t>
            </w:r>
          </w:p>
        </w:tc>
        <w:tc>
          <w:tcPr>
            <w:tcW w:w="1603" w:type="dxa"/>
          </w:tcPr>
          <w:p>
            <w:pPr>
              <w:pStyle w:val="Compact"/>
              <w:jc w:val="left"/>
              <w:spacing w:before="20" w:after="20" w:line="220" w:lineRule="auto"/>
            </w:pPr>
            <w:r>
              <w:rPr>
                <w:sz w:val="13"/>
                <w:szCs w:val="13"/>
              </w:rPr>
              <w:t xml:space="preserve">USD 180m [PR-136] (2021)</w:t>
            </w:r>
          </w:p>
        </w:tc>
        <w:tc>
          <w:tcPr>
            <w:tcW w:w="2489" w:type="dxa"/>
          </w:tcPr>
          <w:p>
            <w:pPr>
              <w:pStyle w:val="Compact"/>
              <w:spacing w:before="20" w:after="20" w:line="220" w:lineRule="auto"/>
            </w:pPr>
          </w:p>
        </w:tc>
      </w:tr>
      <w:tr>
        <w:tc>
          <w:tcPr>
            <w:tcW w:w="2545" w:type="dxa"/>
          </w:tcPr>
          <w:p>
            <w:pPr>
              <w:pStyle w:val="Compact"/>
              <w:jc w:val="left"/>
              <w:spacing w:before="20" w:after="20" w:line="220" w:lineRule="auto"/>
            </w:pPr>
            <w:r>
              <w:rPr>
                <w:sz w:val="13"/>
                <w:szCs w:val="13"/>
              </w:rPr>
              <w:t xml:space="preserve">Quilter plc: Business Simplification Phase II (2023-2025)</w:t>
            </w:r>
          </w:p>
        </w:tc>
        <w:tc>
          <w:tcPr>
            <w:tcW w:w="981" w:type="dxa"/>
          </w:tcPr>
          <w:p>
            <w:pPr>
              <w:pStyle w:val="Compact"/>
              <w:jc w:val="left"/>
              <w:spacing w:before="20" w:after="20" w:line="220" w:lineRule="auto"/>
            </w:pPr>
            <w:r>
              <w:rPr>
                <w:sz w:val="13"/>
                <w:szCs w:val="13"/>
              </w:rPr>
              <w:t xml:space="preserve">2023 [PR-148]</w:t>
            </w:r>
          </w:p>
        </w:tc>
        <w:tc>
          <w:tcPr>
            <w:tcW w:w="1252" w:type="dxa"/>
          </w:tcPr>
          <w:p>
            <w:pPr>
              <w:pStyle w:val="Compact"/>
              <w:jc w:val="left"/>
              <w:spacing w:before="20" w:after="20" w:line="220" w:lineRule="auto"/>
            </w:pPr>
            <w:r>
              <w:rPr>
                <w:sz w:val="13"/>
                <w:szCs w:val="13"/>
              </w:rPr>
              <w:t xml:space="preserve">GBP 458m [PR-149]</w:t>
            </w:r>
          </w:p>
        </w:tc>
        <w:tc>
          <w:tcPr>
            <w:tcW w:w="1021" w:type="dxa"/>
          </w:tcPr>
          <w:p>
            <w:pPr>
              <w:pStyle w:val="Compact"/>
              <w:jc w:val="left"/>
              <w:spacing w:before="20" w:after="20" w:line="220" w:lineRule="auto"/>
            </w:pPr>
            <w:r>
              <w:rPr>
                <w:sz w:val="13"/>
                <w:szCs w:val="13"/>
              </w:rPr>
              <w:t xml:space="preserve">GBP 50m [PR-150]</w:t>
            </w:r>
          </w:p>
        </w:tc>
        <w:tc>
          <w:tcPr>
            <w:tcW w:w="1157" w:type="dxa"/>
          </w:tcPr>
          <w:p>
            <w:pPr>
              <w:pStyle w:val="Compact"/>
              <w:jc w:val="left"/>
              <w:spacing w:before="20" w:after="20" w:line="220" w:lineRule="auto"/>
            </w:pPr>
            <w:r>
              <w:rPr>
                <w:sz w:val="13"/>
                <w:szCs w:val="13"/>
              </w:rPr>
              <w:t xml:space="preserve">10.9% (derived) [PR-151]</w:t>
            </w:r>
          </w:p>
        </w:tc>
        <w:tc>
          <w:tcPr>
            <w:tcW w:w="1045" w:type="dxa"/>
          </w:tcPr>
          <w:p>
            <w:pPr>
              <w:pStyle w:val="Compact"/>
              <w:jc w:val="left"/>
              <w:spacing w:before="20" w:after="20" w:line="220" w:lineRule="auto"/>
            </w:pPr>
            <w:r>
              <w:rPr>
                <w:sz w:val="13"/>
                <w:szCs w:val="13"/>
              </w:rPr>
              <w:t xml:space="preserve">n/d</w:t>
            </w:r>
          </w:p>
        </w:tc>
        <w:tc>
          <w:tcPr>
            <w:tcW w:w="1316" w:type="dxa"/>
          </w:tcPr>
          <w:p>
            <w:pPr>
              <w:pStyle w:val="Compact"/>
              <w:jc w:val="left"/>
              <w:spacing w:before="20" w:after="20" w:line="220" w:lineRule="auto"/>
            </w:pPr>
            <w:r>
              <w:rPr>
                <w:sz w:val="13"/>
                <w:szCs w:val="13"/>
              </w:rPr>
              <w:t xml:space="preserve">GBP 25m [PR-154]; GBP 24m [PR-155]</w:t>
            </w:r>
          </w:p>
        </w:tc>
        <w:tc>
          <w:tcPr>
            <w:tcW w:w="1157" w:type="dxa"/>
          </w:tcPr>
          <w:p>
            <w:pPr>
              <w:pStyle w:val="Compact"/>
              <w:jc w:val="left"/>
              <w:spacing w:before="20" w:after="20" w:line="220" w:lineRule="auto"/>
            </w:pPr>
            <w:r>
              <w:rPr>
                <w:sz w:val="13"/>
                <w:szCs w:val="13"/>
              </w:rPr>
              <w:t xml:space="preserve">1.54x (derived) [PR-158]</w:t>
            </w:r>
          </w:p>
        </w:tc>
        <w:tc>
          <w:tcPr>
            <w:tcW w:w="1603" w:type="dxa"/>
          </w:tcPr>
          <w:p>
            <w:pPr>
              <w:pStyle w:val="Compact"/>
              <w:jc w:val="left"/>
              <w:spacing w:before="20" w:after="20" w:line="220" w:lineRule="auto"/>
            </w:pPr>
            <w:r>
              <w:rPr>
                <w:sz w:val="13"/>
                <w:szCs w:val="13"/>
              </w:rPr>
              <w:t xml:space="preserve">GBP 35m [PR-152] (2024); GBP 52m [PR-153] (2025)</w:t>
            </w:r>
          </w:p>
        </w:tc>
        <w:tc>
          <w:tcPr>
            <w:tcW w:w="2489" w:type="dxa"/>
          </w:tcPr>
          <w:p>
            <w:pPr>
              <w:pStyle w:val="Compact"/>
              <w:spacing w:before="20" w:after="20" w:line="220" w:lineRule="auto"/>
            </w:pPr>
          </w:p>
        </w:tc>
      </w:tr>
    </w:tbl>
    <w:p>
      <w:pPr>
        <w:pStyle w:val="BodyText"/>
      </w:pPr>
      <w:r>
        <w:t xml:space="preserve">Source: precedents cluster, primary documents listed in source_log.csv; dagger marks a press-sourced figure.</w:t>
      </w:r>
    </w:p>
    <w:p>
      <w:pPr>
        <w:pStyle w:val="BodyText"/>
        <w:sectPr>
          <w:pgSz w:w="16838" w:h="11906" w:orient="landscape"/>
          <w:pgMar w:top="1134" w:right="1134" w:bottom="1134" w:left="1134" w:header="708" w:footer="708" w:gutter="0"/>
        </w:sectPr>
      </w:pPr>
    </w:p>
    <w:p>
      <w:pPr>
        <w:pStyle w:val="BodyText"/>
      </w:pPr>
      <w:r>
        <w:t xml:space="preserve">For a bancassurer centralisation that collapses licences and migrates platforms, the record supports a planning assumption of 8 to 12 percent of the addressable cost base over three years at 1.5 to 2 times cost to achieve, with the capital benefit of any licence merger treated separately from the expense case.</w:t>
      </w:r>
    </w:p>
    <w:bookmarkEnd w:id="60"/>
    <w:bookmarkStart w:id="61" w:name="recommendation-and-next-steps"/>
    <w:p>
      <w:pPr>
        <w:pStyle w:val="Heading2"/>
      </w:pPr>
      <w:r>
        <w:t xml:space="preserve">8. Recommendation and next steps</w:t>
      </w:r>
    </w:p>
    <w:p>
      <w:pPr>
        <w:pStyle w:val="FirstParagraph"/>
      </w:pPr>
      <w:r>
        <w:t xml:space="preserve">Two decisions come before any number is committed to. The first is the perimeter on which the economics are measured. On AFS as a set of legal entities, the bank fee of R774m is an acquisition cost and the addressable base is R3.5bn to R4.6bn. On bancassurance as an activity, the fee nets to nil, the bank’s own distribution cost comes in, and the levers in the bank channel become part of the programme. The peer benchmark forces the activity view, because that is how the peers disclose; the managing executive controls the entity view. We recommend sizing on the entity view and showing the activity view alongside, so that no renegotiated transfer price is mistaken for a saving.</w:t>
      </w:r>
    </w:p>
    <w:p>
      <w:pPr>
        <w:pStyle w:val="BodyText"/>
      </w:pPr>
      <w:r>
        <w:t xml:space="preserve">The second is whether the programme collapses licences and platforms or stops at shared services. The structural value, R10m to R169m of capital and licence cost and the head office overhead, sits behind the first; the cost to achieve roughly doubles with it, and the regulatory path runs through the Prudential Authority for every policy transfer and licence change. The precedents say either programme delivers in three years. They also say that the one that touches licences needs the capital case to carry part of the cost.</w:t>
      </w:r>
    </w:p>
    <w:p>
      <w:pPr>
        <w:pStyle w:val="BodyText"/>
      </w:pPr>
      <w:r>
        <w:t xml:space="preserve">The ten management information items turn the range into a target. Each has an owner and a timing in the 90-day plan below.</w:t>
      </w:r>
    </w:p>
    <w:p>
      <w:pPr>
        <w:numPr>
          <w:ilvl w:val="0"/>
          <w:numId w:val="1001"/>
        </w:numPr>
        <w:pStyle w:val="Compact"/>
      </w:pPr>
      <w:r>
        <w:t xml:space="preserve">Expense by nature by legal entity and for Insurance HO, FY2023 to FY2025. Owner: AFS chief financial officer. Week 2.</w:t>
      </w:r>
    </w:p>
    <w:p>
      <w:pPr>
        <w:numPr>
          <w:ilvl w:val="0"/>
          <w:numId w:val="1001"/>
        </w:numPr>
        <w:pStyle w:val="Compact"/>
      </w:pPr>
      <w:r>
        <w:t xml:space="preserve">The split of insurance service expenses into incurred claims and other directly attributable expenses, by entity and by function. Owner: chief actuary. Week 2.</w:t>
      </w:r>
    </w:p>
    <w:p>
      <w:pPr>
        <w:numPr>
          <w:ilvl w:val="0"/>
          <w:numId w:val="1001"/>
        </w:numPr>
        <w:pStyle w:val="Compact"/>
      </w:pPr>
      <w:r>
        <w:t xml:space="preserve">Headcount by function and entity, including the head office, with spans and layers. Owner: human resources. Week 3.</w:t>
      </w:r>
    </w:p>
    <w:p>
      <w:pPr>
        <w:numPr>
          <w:ilvl w:val="0"/>
          <w:numId w:val="1001"/>
        </w:numPr>
        <w:pStyle w:val="Compact"/>
      </w:pPr>
      <w:r>
        <w:t xml:space="preserve">In-force policy counts by product, and the number of product versions and rate tables in force. Owner: chief operating officer. Week 3.</w:t>
      </w:r>
    </w:p>
    <w:p>
      <w:pPr>
        <w:numPr>
          <w:ilvl w:val="0"/>
          <w:numId w:val="1001"/>
        </w:numPr>
        <w:pStyle w:val="Compact"/>
      </w:pPr>
      <w:r>
        <w:t xml:space="preserve">Adviser headcount, annual premium equivalent per adviser and the remuneration model for AIFA and Instant Life. Owner: head of advice. Week 3.</w:t>
      </w:r>
    </w:p>
    <w:p>
      <w:pPr>
        <w:numPr>
          <w:ilvl w:val="0"/>
          <w:numId w:val="1001"/>
        </w:numPr>
        <w:pStyle w:val="Compact"/>
      </w:pPr>
      <w:r>
        <w:t xml:space="preserve">Commission and fees paid to Absa Bank by product and the distribution agreement. Owner: AFS chief financial officer with the bank. Week 4.</w:t>
      </w:r>
    </w:p>
    <w:p>
      <w:pPr>
        <w:numPr>
          <w:ilvl w:val="0"/>
          <w:numId w:val="1001"/>
        </w:numPr>
        <w:pStyle w:val="Compact"/>
      </w:pPr>
      <w:r>
        <w:t xml:space="preserve">Group shared service recharges into AFS by service, with the VAT treatment of each. Owner: group finance and tax. Week 4.</w:t>
      </w:r>
    </w:p>
    <w:p>
      <w:pPr>
        <w:numPr>
          <w:ilvl w:val="0"/>
          <w:numId w:val="1001"/>
        </w:numPr>
        <w:pStyle w:val="Compact"/>
      </w:pPr>
      <w:r>
        <w:t xml:space="preserve">The reinsurance programme by entity: structure, counterparties, ceded premium and recoveries. Owner: chief actuary. Week 5.</w:t>
      </w:r>
    </w:p>
    <w:p>
      <w:pPr>
        <w:numPr>
          <w:ilvl w:val="0"/>
          <w:numId w:val="1001"/>
        </w:numPr>
        <w:pStyle w:val="Compact"/>
      </w:pPr>
      <w:r>
        <w:t xml:space="preserve">Board target solvency covers, SAM own funds and SCR by entity. Owner: chief actuary. Week 5.</w:t>
      </w:r>
    </w:p>
    <w:p>
      <w:pPr>
        <w:numPr>
          <w:ilvl w:val="0"/>
          <w:numId w:val="1001"/>
        </w:numPr>
        <w:pStyle w:val="Compact"/>
      </w:pPr>
      <w:r>
        <w:t xml:space="preserve">The platform and vendor inventory with contract values and the cost of each licence, and the FY2025 income statement of the advice and investment businesses. Owner: chief operating officer and chief financial officer. Week 6.</w:t>
      </w:r>
    </w:p>
    <w:p>
      <w:pPr>
        <w:pStyle w:val="FirstParagraph"/>
      </w:pPr>
      <w:r>
        <w:t xml:space="preserve">The 90-day plan has three phases. Weeks one to six collect the ten items and rebuild the cost base on management information, keeping the public-information workbook as the audit trail. Weeks seven to ten replace each assumption on the Normalisation tab with a fact, re-run the benchmark on the comparable expense ratio and the combined ratio, and convert the hypothesis range into a target with a confidence band per pool. Weeks eleven to thirteen take the two decisions to the managing executive with the regulatory path mapped for the licence case, the VAT position confirmed, and a lever-by-lever plan with owners, cost to achieve and the capital case separated from the expense case.</w:t>
      </w:r>
    </w:p>
    <w:p>
      <w:pPr>
        <w:pStyle w:val="BodyText"/>
        <w:sectPr>
          <w:pgSz w:w="11906" w:h="16838"/>
          <w:pgMar w:top="1134" w:right="1418" w:bottom="1134" w:left="1418" w:header="708" w:footer="708" w:gutter="0"/>
        </w:sectPr>
      </w:pPr>
    </w:p>
    <w:bookmarkEnd w:id="61"/>
    <w:bookmarkStart w:id="62" w:name="X7165ada9287a9be6ac0bbe1eac6feb5a7d0e9c1"/>
    <w:p>
      <w:pPr>
        <w:pStyle w:val="Heading2"/>
      </w:pPr>
      <w:r>
        <w:t xml:space="preserve">Appendix A. The cost tree and classification</w:t>
      </w:r>
    </w:p>
    <w:tbl>
      <w:tblPr>
        <w:tblStyle w:val="Table"/>
        <w:tblLook w:firstRow="1" w:lastRow="0" w:firstColumn="0" w:lastColumn="0" w:noHBand="0" w:noVBand="0" w:val="0020"/>
        <w:jc w:val="start"/>
        <w:tblW w:w="14567" w:type="dxa"/>
        <w:tblLayout w:type="fixed"/>
      </w:tblPr>
      <w:tblGrid>
        <w:gridCol w:w="2188"/>
        <w:gridCol w:w="4066"/>
        <w:gridCol w:w="4111"/>
        <w:gridCol w:w="4202"/>
      </w:tblGrid>
      <w:tr>
        <w:trPr>
          <w:tblHeader w:val="true"/>
        </w:trPr>
        <w:tc>
          <w:tcPr>
            <w:tcW w:w="2188" w:type="dxa"/>
          </w:tcPr>
          <w:p>
            <w:pPr>
              <w:pStyle w:val="Compact"/>
              <w:jc w:val="left"/>
              <w:spacing w:before="20" w:after="20" w:line="220" w:lineRule="auto"/>
            </w:pPr>
            <w:r>
              <w:rPr>
                <w:sz w:val="14"/>
                <w:szCs w:val="14"/>
              </w:rPr>
              <w:t xml:space="preserve">Pool</w:t>
            </w:r>
          </w:p>
        </w:tc>
        <w:tc>
          <w:tcPr>
            <w:tcW w:w="4066" w:type="dxa"/>
          </w:tcPr>
          <w:p>
            <w:pPr>
              <w:pStyle w:val="Compact"/>
              <w:jc w:val="left"/>
              <w:spacing w:before="20" w:after="20" w:line="220" w:lineRule="auto"/>
            </w:pPr>
            <w:r>
              <w:rPr>
                <w:sz w:val="14"/>
                <w:szCs w:val="14"/>
              </w:rPr>
              <w:t xml:space="preserve">Definition</w:t>
            </w:r>
          </w:p>
        </w:tc>
        <w:tc>
          <w:tcPr>
            <w:tcW w:w="4111" w:type="dxa"/>
          </w:tcPr>
          <w:p>
            <w:pPr>
              <w:pStyle w:val="Compact"/>
              <w:jc w:val="left"/>
              <w:spacing w:before="20" w:after="20" w:line="220" w:lineRule="auto"/>
            </w:pPr>
            <w:r>
              <w:rPr>
                <w:sz w:val="14"/>
                <w:szCs w:val="14"/>
              </w:rPr>
              <w:t xml:space="preserve">IFRS 17 location</w:t>
            </w:r>
          </w:p>
        </w:tc>
        <w:tc>
          <w:tcPr>
            <w:tcW w:w="4202" w:type="dxa"/>
          </w:tcPr>
          <w:p>
            <w:pPr>
              <w:pStyle w:val="Compact"/>
              <w:jc w:val="left"/>
              <w:spacing w:before="20" w:after="20" w:line="220" w:lineRule="auto"/>
            </w:pPr>
            <w:r>
              <w:rPr>
                <w:sz w:val="14"/>
                <w:szCs w:val="14"/>
              </w:rPr>
              <w:t xml:space="preserve">Basis notes</w:t>
            </w:r>
          </w:p>
        </w:tc>
      </w:tr>
      <w:tr>
        <w:tc>
          <w:tcPr>
            <w:tcW w:w="2188" w:type="dxa"/>
          </w:tcPr>
          <w:p>
            <w:pPr>
              <w:pStyle w:val="Compact"/>
              <w:jc w:val="left"/>
              <w:spacing w:before="20" w:after="20" w:line="220" w:lineRule="auto"/>
            </w:pPr>
            <w:r>
              <w:rPr>
                <w:sz w:val="14"/>
                <w:szCs w:val="14"/>
              </w:rPr>
              <w:t xml:space="preserve">1. Claims and benefits cost</w:t>
            </w:r>
          </w:p>
        </w:tc>
        <w:tc>
          <w:tcPr>
            <w:tcW w:w="4066" w:type="dxa"/>
          </w:tcPr>
          <w:p>
            <w:pPr>
              <w:pStyle w:val="Compact"/>
              <w:jc w:val="left"/>
              <w:spacing w:before="20" w:after="20" w:line="220" w:lineRule="auto"/>
            </w:pPr>
            <w:r>
              <w:rPr>
                <w:sz w:val="14"/>
                <w:szCs w:val="14"/>
              </w:rPr>
              <w:t xml:space="preserve">Incurred claims and benefits, movement in claims liabilities, losses on onerous contracts, net cost of reinsurance</w:t>
            </w:r>
          </w:p>
        </w:tc>
        <w:tc>
          <w:tcPr>
            <w:tcW w:w="4111" w:type="dxa"/>
          </w:tcPr>
          <w:p>
            <w:pPr>
              <w:pStyle w:val="Compact"/>
              <w:jc w:val="left"/>
              <w:spacing w:before="20" w:after="20" w:line="220" w:lineRule="auto"/>
            </w:pPr>
            <w:r>
              <w:rPr>
                <w:sz w:val="14"/>
                <w:szCs w:val="14"/>
              </w:rPr>
              <w:t xml:space="preserve">Insurance service expenses (incurred claims component) and net expense from reinsurance contracts held</w:t>
            </w:r>
          </w:p>
        </w:tc>
        <w:tc>
          <w:tcPr>
            <w:tcW w:w="4202" w:type="dxa"/>
          </w:tcPr>
          <w:p>
            <w:pPr>
              <w:pStyle w:val="Compact"/>
              <w:jc w:val="left"/>
              <w:spacing w:before="20" w:after="20" w:line="220" w:lineRule="auto"/>
            </w:pPr>
            <w:r>
              <w:rPr>
                <w:sz w:val="14"/>
                <w:szCs w:val="14"/>
              </w:rPr>
              <w:t xml:space="preserve">Measured net of reinsurance for sizing. Gross shown alongside. The onerous contract loss component is a timing item and is excluded from the addressable base. Group FY25: insurance service expenses R9 019m, net expense from reinsurance contracts R588m (Fact, 1H26 SENS p12, FY25 column)</w:t>
            </w:r>
          </w:p>
        </w:tc>
      </w:tr>
      <w:tr>
        <w:tc>
          <w:tcPr>
            <w:tcW w:w="2188" w:type="dxa"/>
          </w:tcPr>
          <w:p>
            <w:pPr>
              <w:pStyle w:val="Compact"/>
              <w:jc w:val="left"/>
              <w:spacing w:before="20" w:after="20" w:line="220" w:lineRule="auto"/>
            </w:pPr>
            <w:r>
              <w:rPr>
                <w:sz w:val="14"/>
                <w:szCs w:val="14"/>
              </w:rPr>
              <w:t xml:space="preserve">2. Acquisition cost</w:t>
            </w:r>
          </w:p>
        </w:tc>
        <w:tc>
          <w:tcPr>
            <w:tcW w:w="4066" w:type="dxa"/>
          </w:tcPr>
          <w:p>
            <w:pPr>
              <w:pStyle w:val="Compact"/>
              <w:jc w:val="left"/>
              <w:spacing w:before="20" w:after="20" w:line="220" w:lineRule="auto"/>
            </w:pPr>
            <w:r>
              <w:rPr>
                <w:sz w:val="14"/>
                <w:szCs w:val="14"/>
              </w:rPr>
              <w:t xml:space="preserve">Commission to tied advisers and third parties, variable adviser remuneration, distribution fees and profit shares paid to Absa Bank, binder fees paid</w:t>
            </w:r>
          </w:p>
        </w:tc>
        <w:tc>
          <w:tcPr>
            <w:tcW w:w="4111" w:type="dxa"/>
          </w:tcPr>
          <w:p>
            <w:pPr>
              <w:pStyle w:val="Compact"/>
              <w:jc w:val="left"/>
              <w:spacing w:before="20" w:after="20" w:line="220" w:lineRule="auto"/>
            </w:pPr>
            <w:r>
              <w:rPr>
                <w:sz w:val="14"/>
                <w:szCs w:val="14"/>
              </w:rPr>
              <w:t xml:space="preserve">Amortisation of insurance acquisition cash flows within insurance service expenses. Cash view in the acquisition cash flow roll-forwards</w:t>
            </w:r>
          </w:p>
        </w:tc>
        <w:tc>
          <w:tcPr>
            <w:tcW w:w="4202" w:type="dxa"/>
          </w:tcPr>
          <w:p>
            <w:pPr>
              <w:pStyle w:val="Compact"/>
              <w:jc w:val="left"/>
              <w:spacing w:before="20" w:after="20" w:line="220" w:lineRule="auto"/>
            </w:pPr>
            <w:r>
              <w:rPr>
                <w:sz w:val="14"/>
                <w:szCs w:val="14"/>
              </w:rPr>
              <w:t xml:space="preserve">IFRS 17 amortises acquisition cash flows over coverage, so the expense line lags the cash. Phase 2 uses the cash flow disclosure (life R856m, non-life R838m in FY25, Fact, AFS FY25 p82 and p86) and states which view is used. Fees to the bank are intra-group and eliminate at group level</w:t>
            </w:r>
          </w:p>
        </w:tc>
      </w:tr>
      <w:tr>
        <w:tc>
          <w:tcPr>
            <w:tcW w:w="2188" w:type="dxa"/>
          </w:tcPr>
          <w:p>
            <w:pPr>
              <w:pStyle w:val="Compact"/>
              <w:jc w:val="left"/>
              <w:spacing w:before="20" w:after="20" w:line="220" w:lineRule="auto"/>
            </w:pPr>
            <w:r>
              <w:rPr>
                <w:sz w:val="14"/>
                <w:szCs w:val="14"/>
              </w:rPr>
              <w:t xml:space="preserve">3. Operating expense</w:t>
            </w:r>
          </w:p>
        </w:tc>
        <w:tc>
          <w:tcPr>
            <w:tcW w:w="4066" w:type="dxa"/>
          </w:tcPr>
          <w:p>
            <w:pPr>
              <w:pStyle w:val="Compact"/>
              <w:jc w:val="left"/>
              <w:spacing w:before="20" w:after="20" w:line="220" w:lineRule="auto"/>
            </w:pPr>
            <w:r>
              <w:rPr>
                <w:sz w:val="14"/>
                <w:szCs w:val="14"/>
              </w:rPr>
              <w:t xml:space="preserve">All staff, IT, premises, professional fees, group recharges and depreciation, whether attributable or not</w:t>
            </w:r>
          </w:p>
        </w:tc>
        <w:tc>
          <w:tcPr>
            <w:tcW w:w="4111" w:type="dxa"/>
          </w:tcPr>
          <w:p>
            <w:pPr>
              <w:pStyle w:val="Compact"/>
              <w:jc w:val="left"/>
              <w:spacing w:before="20" w:after="20" w:line="220" w:lineRule="auto"/>
            </w:pPr>
            <w:r>
              <w:rPr>
                <w:sz w:val="14"/>
                <w:szCs w:val="14"/>
              </w:rPr>
              <w:t xml:space="preserve">Attributable share sits inside insurance service expenses. Non-attributable share sits in operating expenses</w:t>
            </w:r>
          </w:p>
        </w:tc>
        <w:tc>
          <w:tcPr>
            <w:tcW w:w="4202" w:type="dxa"/>
          </w:tcPr>
          <w:p>
            <w:pPr>
              <w:pStyle w:val="Compact"/>
              <w:jc w:val="left"/>
              <w:spacing w:before="20" w:after="20" w:line="220" w:lineRule="auto"/>
            </w:pPr>
            <w:r>
              <w:rPr>
                <w:sz w:val="14"/>
                <w:szCs w:val="14"/>
              </w:rPr>
              <w:t xml:space="preserve">This is the only pool split across two IFRS 17 lines. Phase 2 must rebuild it from both and label each half. Claims handling cost belongs here, not in pool 1</w:t>
            </w:r>
          </w:p>
        </w:tc>
      </w:tr>
      <w:tr>
        <w:tc>
          <w:tcPr>
            <w:tcW w:w="2188" w:type="dxa"/>
          </w:tcPr>
          <w:p>
            <w:pPr>
              <w:pStyle w:val="Compact"/>
              <w:jc w:val="left"/>
              <w:spacing w:before="20" w:after="20" w:line="220" w:lineRule="auto"/>
            </w:pPr>
            <w:r>
              <w:rPr>
                <w:sz w:val="14"/>
                <w:szCs w:val="14"/>
              </w:rPr>
              <w:t xml:space="preserve">4. Investment management cost</w:t>
            </w:r>
          </w:p>
        </w:tc>
        <w:tc>
          <w:tcPr>
            <w:tcW w:w="4066" w:type="dxa"/>
          </w:tcPr>
          <w:p>
            <w:pPr>
              <w:pStyle w:val="Compact"/>
              <w:jc w:val="left"/>
              <w:spacing w:before="20" w:after="20" w:line="220" w:lineRule="auto"/>
            </w:pPr>
            <w:r>
              <w:rPr>
                <w:sz w:val="14"/>
                <w:szCs w:val="14"/>
              </w:rPr>
              <w:t xml:space="preserve">Fees paid to external and associate managers, custody, investment administration, borne by the shareholder</w:t>
            </w:r>
          </w:p>
        </w:tc>
        <w:tc>
          <w:tcPr>
            <w:tcW w:w="4111" w:type="dxa"/>
          </w:tcPr>
          <w:p>
            <w:pPr>
              <w:pStyle w:val="Compact"/>
              <w:jc w:val="left"/>
              <w:spacing w:before="20" w:after="20" w:line="220" w:lineRule="auto"/>
            </w:pPr>
            <w:r>
              <w:rPr>
                <w:sz w:val="14"/>
                <w:szCs w:val="14"/>
              </w:rPr>
              <w:t xml:space="preserve">Operating expenses or investment return, depending on presentation</w:t>
            </w:r>
          </w:p>
        </w:tc>
        <w:tc>
          <w:tcPr>
            <w:tcW w:w="4202" w:type="dxa"/>
          </w:tcPr>
          <w:p>
            <w:pPr>
              <w:pStyle w:val="Compact"/>
              <w:jc w:val="left"/>
              <w:spacing w:before="20" w:after="20" w:line="220" w:lineRule="auto"/>
            </w:pPr>
            <w:r>
              <w:rPr>
                <w:sz w:val="14"/>
                <w:szCs w:val="14"/>
              </w:rPr>
              <w:t xml:space="preserve">Policyholder-borne fees in unit-linked and investment contracts are excluded. They are a margin question, not a cost question</w:t>
            </w:r>
          </w:p>
        </w:tc>
      </w:tr>
      <w:tr>
        <w:tc>
          <w:tcPr>
            <w:tcW w:w="2188" w:type="dxa"/>
          </w:tcPr>
          <w:p>
            <w:pPr>
              <w:pStyle w:val="Compact"/>
              <w:jc w:val="left"/>
              <w:spacing w:before="20" w:after="20" w:line="220" w:lineRule="auto"/>
            </w:pPr>
            <w:r>
              <w:rPr>
                <w:sz w:val="14"/>
                <w:szCs w:val="14"/>
              </w:rPr>
              <w:t xml:space="preserve">5. Cost of capital and structural leakage</w:t>
            </w:r>
          </w:p>
        </w:tc>
        <w:tc>
          <w:tcPr>
            <w:tcW w:w="4066" w:type="dxa"/>
          </w:tcPr>
          <w:p>
            <w:pPr>
              <w:pStyle w:val="Compact"/>
              <w:jc w:val="left"/>
              <w:spacing w:before="20" w:after="20" w:line="220" w:lineRule="auto"/>
            </w:pPr>
            <w:r>
              <w:rPr>
                <w:sz w:val="14"/>
                <w:szCs w:val="14"/>
              </w:rPr>
              <w:t xml:space="preserve">Cost of equity on capital held above target in each licensed entity, duplicated licence costs (boards, control functions, audit, regulatory levies), irrecoverable VAT on intra-group charges</w:t>
            </w:r>
          </w:p>
        </w:tc>
        <w:tc>
          <w:tcPr>
            <w:tcW w:w="4111" w:type="dxa"/>
          </w:tcPr>
          <w:p>
            <w:pPr>
              <w:pStyle w:val="Compact"/>
              <w:jc w:val="left"/>
              <w:spacing w:before="20" w:after="20" w:line="220" w:lineRule="auto"/>
            </w:pPr>
            <w:r>
              <w:rPr>
                <w:sz w:val="14"/>
                <w:szCs w:val="14"/>
              </w:rPr>
              <w:t xml:space="preserve">Not a single IFRS line. Cost of capital is economic, not accounting</w:t>
            </w:r>
          </w:p>
        </w:tc>
        <w:tc>
          <w:tcPr>
            <w:tcW w:w="4202" w:type="dxa"/>
          </w:tcPr>
          <w:p>
            <w:pPr>
              <w:pStyle w:val="Compact"/>
              <w:jc w:val="left"/>
              <w:spacing w:before="20" w:after="20" w:line="220" w:lineRule="auto"/>
            </w:pPr>
            <w:r>
              <w:rPr>
                <w:sz w:val="14"/>
                <w:szCs w:val="14"/>
              </w:rPr>
              <w:t xml:space="preserve">Reported separately from the accounting cost base and never added to it without saying so. Reinsurance fragmentation across entities is measured in pool 1 and worked by the structural lever, not counted here, to avoid double counting</w:t>
            </w:r>
          </w:p>
        </w:tc>
      </w:tr>
    </w:tbl>
    <w:p>
      <w:pPr>
        <w:pStyle w:val="BodyText"/>
      </w:pPr>
      <w:r>
        <w:t xml:space="preserve">Source: 01_framework.md section 3.</w:t>
      </w:r>
    </w:p>
    <w:tbl>
      <w:tblPr>
        <w:tblStyle w:val="Table"/>
        <w:tblLook w:firstRow="1" w:lastRow="0" w:firstColumn="0" w:lastColumn="0" w:noHBand="0" w:noVBand="0" w:val="0020"/>
        <w:jc w:val="start"/>
        <w:tblW w:w="14568" w:type="dxa"/>
        <w:tblLayout w:type="fixed"/>
      </w:tblPr>
      <w:tblGrid>
        <w:gridCol w:w="1641"/>
        <w:gridCol w:w="2295"/>
        <w:gridCol w:w="2295"/>
        <w:gridCol w:w="2164"/>
        <w:gridCol w:w="1863"/>
        <w:gridCol w:w="2155"/>
        <w:gridCol w:w="2155"/>
      </w:tblGrid>
      <w:tr>
        <w:trPr>
          <w:tblHeader w:val="true"/>
        </w:trPr>
        <w:tc>
          <w:tcPr>
            <w:tcW w:w="1641" w:type="dxa"/>
          </w:tcPr>
          <w:p>
            <w:pPr>
              <w:pStyle w:val="Compact"/>
              <w:jc w:val="left"/>
              <w:spacing w:before="20" w:after="20" w:line="220" w:lineRule="auto"/>
            </w:pPr>
            <w:r>
              <w:rPr>
                <w:sz w:val="15"/>
                <w:szCs w:val="15"/>
              </w:rPr>
              <w:t xml:space="preserve">Function</w:t>
            </w:r>
          </w:p>
        </w:tc>
        <w:tc>
          <w:tcPr>
            <w:tcW w:w="2295" w:type="dxa"/>
          </w:tcPr>
          <w:p>
            <w:pPr>
              <w:pStyle w:val="Compact"/>
              <w:jc w:val="left"/>
              <w:spacing w:before="20" w:after="20" w:line="220" w:lineRule="auto"/>
            </w:pPr>
            <w:r>
              <w:rPr>
                <w:sz w:val="15"/>
                <w:szCs w:val="15"/>
              </w:rPr>
              <w:t xml:space="preserve">Structural</w:t>
            </w:r>
          </w:p>
        </w:tc>
        <w:tc>
          <w:tcPr>
            <w:tcW w:w="2295" w:type="dxa"/>
          </w:tcPr>
          <w:p>
            <w:pPr>
              <w:pStyle w:val="Compact"/>
              <w:jc w:val="left"/>
              <w:spacing w:before="20" w:after="20" w:line="220" w:lineRule="auto"/>
            </w:pPr>
            <w:r>
              <w:rPr>
                <w:sz w:val="15"/>
                <w:szCs w:val="15"/>
              </w:rPr>
              <w:t xml:space="preserve">Consolidation</w:t>
            </w:r>
          </w:p>
        </w:tc>
        <w:tc>
          <w:tcPr>
            <w:tcW w:w="2164" w:type="dxa"/>
          </w:tcPr>
          <w:p>
            <w:pPr>
              <w:pStyle w:val="Compact"/>
              <w:jc w:val="left"/>
              <w:spacing w:before="20" w:after="20" w:line="220" w:lineRule="auto"/>
            </w:pPr>
            <w:r>
              <w:rPr>
                <w:sz w:val="15"/>
                <w:szCs w:val="15"/>
              </w:rPr>
              <w:t xml:space="preserve">Productivity</w:t>
            </w:r>
          </w:p>
        </w:tc>
        <w:tc>
          <w:tcPr>
            <w:tcW w:w="1863" w:type="dxa"/>
          </w:tcPr>
          <w:p>
            <w:pPr>
              <w:pStyle w:val="Compact"/>
              <w:jc w:val="left"/>
              <w:spacing w:before="20" w:after="20" w:line="220" w:lineRule="auto"/>
            </w:pPr>
            <w:r>
              <w:rPr>
                <w:sz w:val="15"/>
                <w:szCs w:val="15"/>
              </w:rPr>
              <w:t xml:space="preserve">Demand</w:t>
            </w:r>
          </w:p>
        </w:tc>
        <w:tc>
          <w:tcPr>
            <w:tcW w:w="2155" w:type="dxa"/>
          </w:tcPr>
          <w:p>
            <w:pPr>
              <w:pStyle w:val="Compact"/>
              <w:jc w:val="left"/>
              <w:spacing w:before="20" w:after="20" w:line="220" w:lineRule="auto"/>
            </w:pPr>
            <w:r>
              <w:rPr>
                <w:sz w:val="15"/>
                <w:szCs w:val="15"/>
              </w:rPr>
              <w:t xml:space="preserve">Price</w:t>
            </w:r>
          </w:p>
        </w:tc>
        <w:tc>
          <w:tcPr>
            <w:tcW w:w="2155" w:type="dxa"/>
          </w:tcPr>
          <w:p>
            <w:pPr>
              <w:pStyle w:val="Compact"/>
              <w:jc w:val="left"/>
              <w:spacing w:before="20" w:after="20" w:line="220" w:lineRule="auto"/>
            </w:pPr>
            <w:r>
              <w:rPr>
                <w:sz w:val="15"/>
                <w:szCs w:val="15"/>
              </w:rPr>
              <w:t xml:space="preserve">Leakage</w:t>
            </w:r>
          </w:p>
        </w:tc>
      </w:tr>
      <w:tr>
        <w:tc>
          <w:tcPr>
            <w:tcW w:w="1641" w:type="dxa"/>
          </w:tcPr>
          <w:p>
            <w:pPr>
              <w:pStyle w:val="Compact"/>
              <w:jc w:val="left"/>
              <w:spacing w:before="20" w:after="20" w:line="220" w:lineRule="auto"/>
            </w:pPr>
            <w:r>
              <w:rPr>
                <w:sz w:val="15"/>
                <w:szCs w:val="15"/>
              </w:rPr>
              <w:t xml:space="preserve">Product and pricing</w:t>
            </w:r>
          </w:p>
        </w:tc>
        <w:tc>
          <w:tcPr>
            <w:tcW w:w="2295" w:type="dxa"/>
          </w:tcPr>
          <w:p>
            <w:pPr>
              <w:pStyle w:val="Compact"/>
              <w:jc w:val="left"/>
              <w:spacing w:before="20" w:after="20" w:line="220" w:lineRule="auto"/>
            </w:pPr>
            <w:r>
              <w:rPr>
                <w:sz w:val="15"/>
                <w:szCs w:val="15"/>
              </w:rPr>
              <w:t xml:space="preserve">One product governance forum serving both insurer boards, which still each approve [A]</w:t>
            </w:r>
          </w:p>
        </w:tc>
        <w:tc>
          <w:tcPr>
            <w:tcW w:w="2295" w:type="dxa"/>
          </w:tcPr>
          <w:p>
            <w:pPr>
              <w:pStyle w:val="Compact"/>
              <w:jc w:val="left"/>
              <w:spacing w:before="20" w:after="20" w:line="220" w:lineRule="auto"/>
            </w:pPr>
            <w:r>
              <w:rPr>
                <w:sz w:val="15"/>
                <w:szCs w:val="15"/>
              </w:rPr>
              <w:t xml:space="preserve">One pricing and product team, one data and experience base across life and non-life [D]</w:t>
            </w:r>
          </w:p>
        </w:tc>
        <w:tc>
          <w:tcPr>
            <w:tcW w:w="2164" w:type="dxa"/>
          </w:tcPr>
          <w:p>
            <w:pPr>
              <w:pStyle w:val="Compact"/>
              <w:jc w:val="left"/>
              <w:spacing w:before="20" w:after="20" w:line="220" w:lineRule="auto"/>
            </w:pPr>
            <w:r>
              <w:rPr>
                <w:sz w:val="15"/>
                <w:szCs w:val="15"/>
              </w:rPr>
              <w:t xml:space="preserve">Pricing model automation, faster repricing cycles [A]</w:t>
            </w:r>
          </w:p>
        </w:tc>
        <w:tc>
          <w:tcPr>
            <w:tcW w:w="1863" w:type="dxa"/>
          </w:tcPr>
          <w:p>
            <w:pPr>
              <w:pStyle w:val="Compact"/>
              <w:jc w:val="left"/>
              <w:spacing w:before="20" w:after="20" w:line="220" w:lineRule="auto"/>
            </w:pPr>
            <w:r>
              <w:rPr>
                <w:sz w:val="15"/>
                <w:szCs w:val="15"/>
              </w:rPr>
              <w:t xml:space="preserve">Retire legacy product versions and rate tables [A]</w:t>
            </w:r>
          </w:p>
        </w:tc>
        <w:tc>
          <w:tcPr>
            <w:tcW w:w="2155" w:type="dxa"/>
          </w:tcPr>
          <w:p>
            <w:pPr>
              <w:pStyle w:val="Compact"/>
              <w:jc w:val="left"/>
              <w:spacing w:before="20" w:after="20" w:line="220" w:lineRule="auto"/>
            </w:pPr>
            <w:r>
              <w:rPr>
                <w:sz w:val="15"/>
                <w:szCs w:val="15"/>
              </w:rPr>
              <w:t xml:space="preserve">Data and pricing vendor contracts on group terms [I]</w:t>
            </w:r>
          </w:p>
        </w:tc>
        <w:tc>
          <w:tcPr>
            <w:tcW w:w="2155" w:type="dxa"/>
          </w:tcPr>
          <w:p>
            <w:pPr>
              <w:pStyle w:val="Compact"/>
              <w:jc w:val="left"/>
              <w:spacing w:before="20" w:after="20" w:line="220" w:lineRule="auto"/>
            </w:pPr>
            <w:r>
              <w:rPr>
                <w:sz w:val="15"/>
                <w:szCs w:val="15"/>
              </w:rPr>
              <w:t xml:space="preserve">Rating and premium calculation errors found by audit [I]</w:t>
            </w:r>
          </w:p>
        </w:tc>
      </w:tr>
      <w:tr>
        <w:tc>
          <w:tcPr>
            <w:tcW w:w="1641" w:type="dxa"/>
          </w:tcPr>
          <w:p>
            <w:pPr>
              <w:pStyle w:val="Compact"/>
              <w:jc w:val="left"/>
              <w:spacing w:before="20" w:after="20" w:line="220" w:lineRule="auto"/>
            </w:pPr>
            <w:r>
              <w:rPr>
                <w:sz w:val="15"/>
                <w:szCs w:val="15"/>
              </w:rPr>
              <w:t xml:space="preserve">Distribution</w:t>
            </w:r>
          </w:p>
        </w:tc>
        <w:tc>
          <w:tcPr>
            <w:tcW w:w="2295" w:type="dxa"/>
          </w:tcPr>
          <w:p>
            <w:pPr>
              <w:pStyle w:val="Compact"/>
              <w:jc w:val="left"/>
              <w:spacing w:before="20" w:after="20" w:line="220" w:lineRule="auto"/>
            </w:pPr>
            <w:r>
              <w:rPr>
                <w:sz w:val="15"/>
                <w:szCs w:val="15"/>
              </w:rPr>
              <w:t xml:space="preserve">Fewer FSP licences: fold Instant Life, AIMS and stockbroking representatives into fewer registers where categories allow [D]</w:t>
            </w:r>
          </w:p>
        </w:tc>
        <w:tc>
          <w:tcPr>
            <w:tcW w:w="2295" w:type="dxa"/>
          </w:tcPr>
          <w:p>
            <w:pPr>
              <w:pStyle w:val="Compact"/>
              <w:jc w:val="left"/>
              <w:spacing w:before="20" w:after="20" w:line="220" w:lineRule="auto"/>
            </w:pPr>
            <w:r>
              <w:rPr>
                <w:sz w:val="15"/>
                <w:szCs w:val="15"/>
              </w:rPr>
              <w:t xml:space="preserve">One sales enablement, lead and adviser platform across life, non-life and investments [D]</w:t>
            </w:r>
          </w:p>
        </w:tc>
        <w:tc>
          <w:tcPr>
            <w:tcW w:w="2164" w:type="dxa"/>
          </w:tcPr>
          <w:p>
            <w:pPr>
              <w:pStyle w:val="Compact"/>
              <w:jc w:val="left"/>
              <w:spacing w:before="20" w:after="20" w:line="220" w:lineRule="auto"/>
            </w:pPr>
            <w:r>
              <w:rPr>
                <w:sz w:val="15"/>
                <w:szCs w:val="15"/>
              </w:rPr>
              <w:t xml:space="preserve">Digital advice tools, adviser productivity, straight-through new business [A]</w:t>
            </w:r>
          </w:p>
        </w:tc>
        <w:tc>
          <w:tcPr>
            <w:tcW w:w="1863" w:type="dxa"/>
          </w:tcPr>
          <w:p>
            <w:pPr>
              <w:pStyle w:val="Compact"/>
              <w:jc w:val="left"/>
              <w:spacing w:before="20" w:after="20" w:line="220" w:lineRule="auto"/>
            </w:pPr>
            <w:r>
              <w:rPr>
                <w:sz w:val="15"/>
                <w:szCs w:val="15"/>
              </w:rPr>
              <w:t xml:space="preserve">Cut not-taken-up and first-premium failures that drive rework [A]</w:t>
            </w:r>
          </w:p>
        </w:tc>
        <w:tc>
          <w:tcPr>
            <w:tcW w:w="2155" w:type="dxa"/>
          </w:tcPr>
          <w:p>
            <w:pPr>
              <w:pStyle w:val="Compact"/>
              <w:jc w:val="left"/>
              <w:spacing w:before="20" w:after="20" w:line="220" w:lineRule="auto"/>
            </w:pPr>
            <w:r>
              <w:rPr>
                <w:sz w:val="15"/>
                <w:szCs w:val="15"/>
              </w:rPr>
              <w:t xml:space="preserve">Bank distribution fee and profit share terms (intra-group), third-party binder and commission terms for the intermediary [A]</w:t>
            </w:r>
          </w:p>
        </w:tc>
        <w:tc>
          <w:tcPr>
            <w:tcW w:w="2155" w:type="dxa"/>
          </w:tcPr>
          <w:p>
            <w:pPr>
              <w:pStyle w:val="Compact"/>
              <w:jc w:val="left"/>
              <w:spacing w:before="20" w:after="20" w:line="220" w:lineRule="auto"/>
            </w:pPr>
            <w:r>
              <w:rPr>
                <w:sz w:val="15"/>
                <w:szCs w:val="15"/>
              </w:rPr>
              <w:t xml:space="preserve">Commission on lapsed business, unenforced clawback, duplicate commission [I]</w:t>
            </w:r>
          </w:p>
        </w:tc>
      </w:tr>
      <w:tr>
        <w:tc>
          <w:tcPr>
            <w:tcW w:w="1641" w:type="dxa"/>
          </w:tcPr>
          <w:p>
            <w:pPr>
              <w:pStyle w:val="Compact"/>
              <w:jc w:val="left"/>
              <w:spacing w:before="20" w:after="20" w:line="220" w:lineRule="auto"/>
            </w:pPr>
            <w:r>
              <w:rPr>
                <w:sz w:val="15"/>
                <w:szCs w:val="15"/>
              </w:rPr>
              <w:t xml:space="preserve">Underwriting and onboarding</w:t>
            </w:r>
          </w:p>
        </w:tc>
        <w:tc>
          <w:tcPr>
            <w:tcW w:w="2295" w:type="dxa"/>
          </w:tcPr>
          <w:p>
            <w:pPr>
              <w:pStyle w:val="Compact"/>
              <w:jc w:val="left"/>
              <w:spacing w:before="20" w:after="20" w:line="220" w:lineRule="auto"/>
            </w:pPr>
            <w:r>
              <w:rPr>
                <w:sz w:val="15"/>
                <w:szCs w:val="15"/>
              </w:rPr>
              <w:t xml:space="preserve">None. Each insurer underwrites on its own licence [I]</w:t>
            </w:r>
          </w:p>
        </w:tc>
        <w:tc>
          <w:tcPr>
            <w:tcW w:w="2295" w:type="dxa"/>
          </w:tcPr>
          <w:p>
            <w:pPr>
              <w:pStyle w:val="Compact"/>
              <w:jc w:val="left"/>
              <w:spacing w:before="20" w:after="20" w:line="220" w:lineRule="auto"/>
            </w:pPr>
            <w:r>
              <w:rPr>
                <w:sz w:val="15"/>
                <w:szCs w:val="15"/>
              </w:rPr>
              <w:t xml:space="preserve">Shared onboarding, KYC and document capture with the bank [D]</w:t>
            </w:r>
          </w:p>
        </w:tc>
        <w:tc>
          <w:tcPr>
            <w:tcW w:w="2164" w:type="dxa"/>
          </w:tcPr>
          <w:p>
            <w:pPr>
              <w:pStyle w:val="Compact"/>
              <w:jc w:val="left"/>
              <w:spacing w:before="20" w:after="20" w:line="220" w:lineRule="auto"/>
            </w:pPr>
            <w:r>
              <w:rPr>
                <w:sz w:val="15"/>
                <w:szCs w:val="15"/>
              </w:rPr>
              <w:t xml:space="preserve">Automated underwriting rules, straight-through acceptance [A]</w:t>
            </w:r>
          </w:p>
        </w:tc>
        <w:tc>
          <w:tcPr>
            <w:tcW w:w="1863" w:type="dxa"/>
          </w:tcPr>
          <w:p>
            <w:pPr>
              <w:pStyle w:val="Compact"/>
              <w:jc w:val="left"/>
              <w:spacing w:before="20" w:after="20" w:line="220" w:lineRule="auto"/>
            </w:pPr>
            <w:r>
              <w:rPr>
                <w:sz w:val="15"/>
                <w:szCs w:val="15"/>
              </w:rPr>
              <w:t xml:space="preserve">Fewer underwriting questions and manual exception paths [A]</w:t>
            </w:r>
          </w:p>
        </w:tc>
        <w:tc>
          <w:tcPr>
            <w:tcW w:w="2155" w:type="dxa"/>
          </w:tcPr>
          <w:p>
            <w:pPr>
              <w:pStyle w:val="Compact"/>
              <w:jc w:val="left"/>
              <w:spacing w:before="20" w:after="20" w:line="220" w:lineRule="auto"/>
            </w:pPr>
            <w:r>
              <w:rPr>
                <w:sz w:val="15"/>
                <w:szCs w:val="15"/>
              </w:rPr>
              <w:t xml:space="preserve">Medical evidence and data vendor rates on group volume [A]</w:t>
            </w:r>
          </w:p>
        </w:tc>
        <w:tc>
          <w:tcPr>
            <w:tcW w:w="2155" w:type="dxa"/>
          </w:tcPr>
          <w:p>
            <w:pPr>
              <w:pStyle w:val="Compact"/>
              <w:jc w:val="left"/>
              <w:spacing w:before="20" w:after="20" w:line="220" w:lineRule="auto"/>
            </w:pPr>
            <w:r>
              <w:rPr>
                <w:sz w:val="15"/>
                <w:szCs w:val="15"/>
              </w:rPr>
              <w:t xml:space="preserve">Anti-selection and mis-rated risks surfacing in pool 1 [I]</w:t>
            </w:r>
          </w:p>
        </w:tc>
      </w:tr>
      <w:tr>
        <w:tc>
          <w:tcPr>
            <w:tcW w:w="1641" w:type="dxa"/>
          </w:tcPr>
          <w:p>
            <w:pPr>
              <w:pStyle w:val="Compact"/>
              <w:jc w:val="left"/>
              <w:spacing w:before="20" w:after="20" w:line="220" w:lineRule="auto"/>
            </w:pPr>
            <w:r>
              <w:rPr>
                <w:sz w:val="15"/>
                <w:szCs w:val="15"/>
              </w:rPr>
              <w:t xml:space="preserve">Policy administration and servicing</w:t>
            </w:r>
          </w:p>
        </w:tc>
        <w:tc>
          <w:tcPr>
            <w:tcW w:w="2295" w:type="dxa"/>
          </w:tcPr>
          <w:p>
            <w:pPr>
              <w:pStyle w:val="Compact"/>
              <w:jc w:val="left"/>
              <w:spacing w:before="20" w:after="20" w:line="220" w:lineRule="auto"/>
            </w:pPr>
            <w:r>
              <w:rPr>
                <w:sz w:val="15"/>
                <w:szCs w:val="15"/>
              </w:rPr>
              <w:t xml:space="preserve">None [I]</w:t>
            </w:r>
          </w:p>
        </w:tc>
        <w:tc>
          <w:tcPr>
            <w:tcW w:w="2295" w:type="dxa"/>
          </w:tcPr>
          <w:p>
            <w:pPr>
              <w:pStyle w:val="Compact"/>
              <w:jc w:val="left"/>
              <w:spacing w:before="20" w:after="20" w:line="220" w:lineRule="auto"/>
            </w:pPr>
            <w:r>
              <w:rPr>
                <w:sz w:val="15"/>
                <w:szCs w:val="15"/>
              </w:rPr>
              <w:t xml:space="preserve">One policy administration platform across Absa Life, Instant Life and AIC, one contact centre estate, fewer vendors [D]</w:t>
            </w:r>
          </w:p>
        </w:tc>
        <w:tc>
          <w:tcPr>
            <w:tcW w:w="2164" w:type="dxa"/>
          </w:tcPr>
          <w:p>
            <w:pPr>
              <w:pStyle w:val="Compact"/>
              <w:jc w:val="left"/>
              <w:spacing w:before="20" w:after="20" w:line="220" w:lineRule="auto"/>
            </w:pPr>
            <w:r>
              <w:rPr>
                <w:sz w:val="15"/>
                <w:szCs w:val="15"/>
              </w:rPr>
              <w:t xml:space="preserve">Self-service, robotics for endorsements, contact centre spans and layers [A]</w:t>
            </w:r>
          </w:p>
        </w:tc>
        <w:tc>
          <w:tcPr>
            <w:tcW w:w="1863" w:type="dxa"/>
          </w:tcPr>
          <w:p>
            <w:pPr>
              <w:pStyle w:val="Compact"/>
              <w:jc w:val="left"/>
              <w:spacing w:before="20" w:after="20" w:line="220" w:lineRule="auto"/>
            </w:pPr>
            <w:r>
              <w:rPr>
                <w:sz w:val="15"/>
                <w:szCs w:val="15"/>
              </w:rPr>
              <w:t xml:space="preserve">Failure demand: repeat calls, chasing unpaid premiums, re-keying [A]</w:t>
            </w:r>
          </w:p>
        </w:tc>
        <w:tc>
          <w:tcPr>
            <w:tcW w:w="2155" w:type="dxa"/>
          </w:tcPr>
          <w:p>
            <w:pPr>
              <w:pStyle w:val="Compact"/>
              <w:jc w:val="left"/>
              <w:spacing w:before="20" w:after="20" w:line="220" w:lineRule="auto"/>
            </w:pPr>
            <w:r>
              <w:rPr>
                <w:sz w:val="15"/>
                <w:szCs w:val="15"/>
              </w:rPr>
              <w:t xml:space="preserve">Third-party administrator and outsourced call centre fees [A]</w:t>
            </w:r>
          </w:p>
        </w:tc>
        <w:tc>
          <w:tcPr>
            <w:tcW w:w="2155" w:type="dxa"/>
          </w:tcPr>
          <w:p>
            <w:pPr>
              <w:pStyle w:val="Compact"/>
              <w:jc w:val="left"/>
              <w:spacing w:before="20" w:after="20" w:line="220" w:lineRule="auto"/>
            </w:pPr>
            <w:r>
              <w:rPr>
                <w:sz w:val="15"/>
                <w:szCs w:val="15"/>
              </w:rPr>
              <w:t xml:space="preserve">Premium collection: unpaid debit orders not retried, retro cancellations, reinstatement not pursued [I]</w:t>
            </w:r>
          </w:p>
        </w:tc>
      </w:tr>
      <w:tr>
        <w:tc>
          <w:tcPr>
            <w:tcW w:w="1641" w:type="dxa"/>
          </w:tcPr>
          <w:p>
            <w:pPr>
              <w:pStyle w:val="Compact"/>
              <w:jc w:val="left"/>
              <w:spacing w:before="20" w:after="20" w:line="220" w:lineRule="auto"/>
            </w:pPr>
            <w:r>
              <w:rPr>
                <w:sz w:val="15"/>
                <w:szCs w:val="15"/>
              </w:rPr>
              <w:t xml:space="preserve">Claims</w:t>
            </w:r>
          </w:p>
        </w:tc>
        <w:tc>
          <w:tcPr>
            <w:tcW w:w="2295" w:type="dxa"/>
          </w:tcPr>
          <w:p>
            <w:pPr>
              <w:pStyle w:val="Compact"/>
              <w:jc w:val="left"/>
              <w:spacing w:before="20" w:after="20" w:line="220" w:lineRule="auto"/>
            </w:pPr>
            <w:r>
              <w:rPr>
                <w:sz w:val="15"/>
                <w:szCs w:val="15"/>
              </w:rPr>
              <w:t xml:space="preserve">Group-wide reinsurance programme under the insurance group designation instead of entity-by-entity placement [D]</w:t>
            </w:r>
          </w:p>
        </w:tc>
        <w:tc>
          <w:tcPr>
            <w:tcW w:w="2295" w:type="dxa"/>
          </w:tcPr>
          <w:p>
            <w:pPr>
              <w:pStyle w:val="Compact"/>
              <w:jc w:val="left"/>
              <w:spacing w:before="20" w:after="20" w:line="220" w:lineRule="auto"/>
            </w:pPr>
            <w:r>
              <w:rPr>
                <w:sz w:val="15"/>
                <w:szCs w:val="15"/>
              </w:rPr>
              <w:t xml:space="preserve">One claims platform, shared assessor and supplier panels, one fraud analytics capability across life and non-life [D]</w:t>
            </w:r>
          </w:p>
        </w:tc>
        <w:tc>
          <w:tcPr>
            <w:tcW w:w="2164" w:type="dxa"/>
          </w:tcPr>
          <w:p>
            <w:pPr>
              <w:pStyle w:val="Compact"/>
              <w:jc w:val="left"/>
              <w:spacing w:before="20" w:after="20" w:line="220" w:lineRule="auto"/>
            </w:pPr>
            <w:r>
              <w:rPr>
                <w:sz w:val="15"/>
                <w:szCs w:val="15"/>
              </w:rPr>
              <w:t xml:space="preserve">Straight-through adjudication for low-value claims, triage [A]</w:t>
            </w:r>
          </w:p>
        </w:tc>
        <w:tc>
          <w:tcPr>
            <w:tcW w:w="1863" w:type="dxa"/>
          </w:tcPr>
          <w:p>
            <w:pPr>
              <w:pStyle w:val="Compact"/>
              <w:jc w:val="left"/>
              <w:spacing w:before="20" w:after="20" w:line="220" w:lineRule="auto"/>
            </w:pPr>
            <w:r>
              <w:rPr>
                <w:sz w:val="15"/>
                <w:szCs w:val="15"/>
              </w:rPr>
              <w:t xml:space="preserve">Reduce reopens and repeat requirements [A]</w:t>
            </w:r>
          </w:p>
        </w:tc>
        <w:tc>
          <w:tcPr>
            <w:tcW w:w="2155" w:type="dxa"/>
          </w:tcPr>
          <w:p>
            <w:pPr>
              <w:pStyle w:val="Compact"/>
              <w:jc w:val="left"/>
              <w:spacing w:before="20" w:after="20" w:line="220" w:lineRule="auto"/>
            </w:pPr>
            <w:r>
              <w:rPr>
                <w:sz w:val="15"/>
                <w:szCs w:val="15"/>
              </w:rPr>
              <w:t xml:space="preserve">Repairer, parts, assessor and reinsurance pricing on combined volume [A]</w:t>
            </w:r>
          </w:p>
        </w:tc>
        <w:tc>
          <w:tcPr>
            <w:tcW w:w="2155" w:type="dxa"/>
          </w:tcPr>
          <w:p>
            <w:pPr>
              <w:pStyle w:val="Compact"/>
              <w:jc w:val="left"/>
              <w:spacing w:before="20" w:after="20" w:line="220" w:lineRule="auto"/>
            </w:pPr>
            <w:r>
              <w:rPr>
                <w:sz w:val="15"/>
                <w:szCs w:val="15"/>
              </w:rPr>
              <w:t xml:space="preserve">Claims leakage: overpayment, fraud, missed recoveries, salvage and subrogation [I]</w:t>
            </w:r>
          </w:p>
        </w:tc>
      </w:tr>
      <w:tr>
        <w:tc>
          <w:tcPr>
            <w:tcW w:w="1641" w:type="dxa"/>
          </w:tcPr>
          <w:p>
            <w:pPr>
              <w:pStyle w:val="Compact"/>
              <w:jc w:val="left"/>
              <w:spacing w:before="20" w:after="20" w:line="220" w:lineRule="auto"/>
            </w:pPr>
            <w:r>
              <w:rPr>
                <w:sz w:val="15"/>
                <w:szCs w:val="15"/>
              </w:rPr>
              <w:t xml:space="preserve">Investments</w:t>
            </w:r>
          </w:p>
        </w:tc>
        <w:tc>
          <w:tcPr>
            <w:tcW w:w="2295" w:type="dxa"/>
          </w:tcPr>
          <w:p>
            <w:pPr>
              <w:pStyle w:val="Compact"/>
              <w:jc w:val="left"/>
              <w:spacing w:before="20" w:after="20" w:line="220" w:lineRule="auto"/>
            </w:pPr>
            <w:r>
              <w:rPr>
                <w:sz w:val="15"/>
                <w:szCs w:val="15"/>
              </w:rPr>
              <w:t xml:space="preserve">One wealth FSP for AIMS, stockbroking and trust, fewer nominee entities [D]</w:t>
            </w:r>
          </w:p>
        </w:tc>
        <w:tc>
          <w:tcPr>
            <w:tcW w:w="2295" w:type="dxa"/>
          </w:tcPr>
          <w:p>
            <w:pPr>
              <w:pStyle w:val="Compact"/>
              <w:jc w:val="left"/>
              <w:spacing w:before="20" w:after="20" w:line="220" w:lineRule="auto"/>
            </w:pPr>
            <w:r>
              <w:rPr>
                <w:sz w:val="15"/>
                <w:szCs w:val="15"/>
              </w:rPr>
              <w:t xml:space="preserve">One mandate structure for shareholder and policyholder assets across Absa Life, AIC and ARTIC [D]</w:t>
            </w:r>
          </w:p>
        </w:tc>
        <w:tc>
          <w:tcPr>
            <w:tcW w:w="2164" w:type="dxa"/>
          </w:tcPr>
          <w:p>
            <w:pPr>
              <w:pStyle w:val="Compact"/>
              <w:jc w:val="left"/>
              <w:spacing w:before="20" w:after="20" w:line="220" w:lineRule="auto"/>
            </w:pPr>
            <w:r>
              <w:rPr>
                <w:sz w:val="15"/>
                <w:szCs w:val="15"/>
              </w:rPr>
              <w:t xml:space="preserve">Automated investment accounting and reconciliation [A]</w:t>
            </w:r>
          </w:p>
        </w:tc>
        <w:tc>
          <w:tcPr>
            <w:tcW w:w="1863" w:type="dxa"/>
          </w:tcPr>
          <w:p>
            <w:pPr>
              <w:pStyle w:val="Compact"/>
              <w:jc w:val="left"/>
              <w:spacing w:before="20" w:after="20" w:line="220" w:lineRule="auto"/>
            </w:pPr>
            <w:r>
              <w:rPr>
                <w:sz w:val="15"/>
                <w:szCs w:val="15"/>
              </w:rPr>
              <w:t xml:space="preserve">Fewer portfolios and mandates to administer [A]</w:t>
            </w:r>
          </w:p>
        </w:tc>
        <w:tc>
          <w:tcPr>
            <w:tcW w:w="2155" w:type="dxa"/>
          </w:tcPr>
          <w:p>
            <w:pPr>
              <w:pStyle w:val="Compact"/>
              <w:jc w:val="left"/>
              <w:spacing w:before="20" w:after="20" w:line="220" w:lineRule="auto"/>
            </w:pPr>
            <w:r>
              <w:rPr>
                <w:sz w:val="15"/>
                <w:szCs w:val="15"/>
              </w:rPr>
              <w:t xml:space="preserve">Management fee basis points on combined assets, within the ten-year distribution agreement with Sanlam Investment Holdings [D]</w:t>
            </w:r>
          </w:p>
        </w:tc>
        <w:tc>
          <w:tcPr>
            <w:tcW w:w="2155" w:type="dxa"/>
          </w:tcPr>
          <w:p>
            <w:pPr>
              <w:pStyle w:val="Compact"/>
              <w:jc w:val="left"/>
              <w:spacing w:before="20" w:after="20" w:line="220" w:lineRule="auto"/>
            </w:pPr>
            <w:r>
              <w:rPr>
                <w:sz w:val="15"/>
                <w:szCs w:val="15"/>
              </w:rPr>
              <w:t xml:space="preserve">Uninvested cash, custody and transaction cost slippage [I]</w:t>
            </w:r>
          </w:p>
        </w:tc>
      </w:tr>
      <w:tr>
        <w:tc>
          <w:tcPr>
            <w:tcW w:w="1641" w:type="dxa"/>
          </w:tcPr>
          <w:p>
            <w:pPr>
              <w:pStyle w:val="Compact"/>
              <w:jc w:val="left"/>
              <w:spacing w:before="20" w:after="20" w:line="220" w:lineRule="auto"/>
            </w:pPr>
            <w:r>
              <w:rPr>
                <w:sz w:val="15"/>
                <w:szCs w:val="15"/>
              </w:rPr>
              <w:t xml:space="preserve">Technology</w:t>
            </w:r>
          </w:p>
        </w:tc>
        <w:tc>
          <w:tcPr>
            <w:tcW w:w="2295" w:type="dxa"/>
          </w:tcPr>
          <w:p>
            <w:pPr>
              <w:pStyle w:val="Compact"/>
              <w:jc w:val="left"/>
              <w:spacing w:before="20" w:after="20" w:line="220" w:lineRule="auto"/>
            </w:pPr>
            <w:r>
              <w:rPr>
                <w:sz w:val="15"/>
                <w:szCs w:val="15"/>
              </w:rPr>
              <w:t xml:space="preserve">None [I]</w:t>
            </w:r>
          </w:p>
        </w:tc>
        <w:tc>
          <w:tcPr>
            <w:tcW w:w="2295" w:type="dxa"/>
          </w:tcPr>
          <w:p>
            <w:pPr>
              <w:pStyle w:val="Compact"/>
              <w:jc w:val="left"/>
              <w:spacing w:before="20" w:after="20" w:line="220" w:lineRule="auto"/>
            </w:pPr>
            <w:r>
              <w:rPr>
                <w:sz w:val="15"/>
                <w:szCs w:val="15"/>
              </w:rPr>
              <w:t xml:space="preserve">Platform and vendor rationalisation, one hosting estate, shared licences, alignment to group technology [D]</w:t>
            </w:r>
          </w:p>
        </w:tc>
        <w:tc>
          <w:tcPr>
            <w:tcW w:w="2164" w:type="dxa"/>
          </w:tcPr>
          <w:p>
            <w:pPr>
              <w:pStyle w:val="Compact"/>
              <w:jc w:val="left"/>
              <w:spacing w:before="20" w:after="20" w:line="220" w:lineRule="auto"/>
            </w:pPr>
            <w:r>
              <w:rPr>
                <w:sz w:val="15"/>
                <w:szCs w:val="15"/>
              </w:rPr>
              <w:t xml:space="preserve">Cloud migration, decommissioning, DevOps throughput [A]</w:t>
            </w:r>
          </w:p>
        </w:tc>
        <w:tc>
          <w:tcPr>
            <w:tcW w:w="1863" w:type="dxa"/>
          </w:tcPr>
          <w:p>
            <w:pPr>
              <w:pStyle w:val="Compact"/>
              <w:jc w:val="left"/>
              <w:spacing w:before="20" w:after="20" w:line="220" w:lineRule="auto"/>
            </w:pPr>
            <w:r>
              <w:rPr>
                <w:sz w:val="15"/>
                <w:szCs w:val="15"/>
              </w:rPr>
              <w:t xml:space="preserve">Less change demand once product versions are cut [A]</w:t>
            </w:r>
          </w:p>
        </w:tc>
        <w:tc>
          <w:tcPr>
            <w:tcW w:w="2155" w:type="dxa"/>
          </w:tcPr>
          <w:p>
            <w:pPr>
              <w:pStyle w:val="Compact"/>
              <w:jc w:val="left"/>
              <w:spacing w:before="20" w:after="20" w:line="220" w:lineRule="auto"/>
            </w:pPr>
            <w:r>
              <w:rPr>
                <w:sz w:val="15"/>
                <w:szCs w:val="15"/>
              </w:rPr>
              <w:t xml:space="preserve">Software licence renegotiation on group volume [A]</w:t>
            </w:r>
          </w:p>
        </w:tc>
        <w:tc>
          <w:tcPr>
            <w:tcW w:w="2155" w:type="dxa"/>
          </w:tcPr>
          <w:p>
            <w:pPr>
              <w:pStyle w:val="Compact"/>
              <w:jc w:val="left"/>
              <w:spacing w:before="20" w:after="20" w:line="220" w:lineRule="auto"/>
            </w:pPr>
            <w:r>
              <w:rPr>
                <w:sz w:val="15"/>
                <w:szCs w:val="15"/>
              </w:rPr>
              <w:t xml:space="preserve">Unused licences and shadow IT [I]</w:t>
            </w:r>
          </w:p>
        </w:tc>
      </w:tr>
      <w:tr>
        <w:tc>
          <w:tcPr>
            <w:tcW w:w="1641" w:type="dxa"/>
          </w:tcPr>
          <w:p>
            <w:pPr>
              <w:pStyle w:val="Compact"/>
              <w:jc w:val="left"/>
              <w:spacing w:before="20" w:after="20" w:line="220" w:lineRule="auto"/>
            </w:pPr>
            <w:r>
              <w:rPr>
                <w:sz w:val="15"/>
                <w:szCs w:val="15"/>
              </w:rPr>
              <w:t xml:space="preserve">Finance, actuarial, risk and compliance</w:t>
            </w:r>
          </w:p>
        </w:tc>
        <w:tc>
          <w:tcPr>
            <w:tcW w:w="2295" w:type="dxa"/>
          </w:tcPr>
          <w:p>
            <w:pPr>
              <w:pStyle w:val="Compact"/>
              <w:jc w:val="left"/>
              <w:spacing w:before="20" w:after="20" w:line="220" w:lineRule="auto"/>
            </w:pPr>
            <w:r>
              <w:rPr>
                <w:sz w:val="15"/>
                <w:szCs w:val="15"/>
              </w:rPr>
              <w:t xml:space="preserve">One actuarial function supporting two heads of actuarial function, control functions shared by intra-group outsourcing, one external audit engagement, one group ORSA process [D]</w:t>
            </w:r>
          </w:p>
        </w:tc>
        <w:tc>
          <w:tcPr>
            <w:tcW w:w="2295" w:type="dxa"/>
          </w:tcPr>
          <w:p>
            <w:pPr>
              <w:pStyle w:val="Compact"/>
              <w:jc w:val="left"/>
              <w:spacing w:before="20" w:after="20" w:line="220" w:lineRule="auto"/>
            </w:pPr>
            <w:r>
              <w:rPr>
                <w:sz w:val="15"/>
                <w:szCs w:val="15"/>
              </w:rPr>
              <w:t xml:space="preserve">Shared finance operations, one IFRS 17 engine, one reporting stack [D]</w:t>
            </w:r>
          </w:p>
        </w:tc>
        <w:tc>
          <w:tcPr>
            <w:tcW w:w="2164" w:type="dxa"/>
          </w:tcPr>
          <w:p>
            <w:pPr>
              <w:pStyle w:val="Compact"/>
              <w:jc w:val="left"/>
              <w:spacing w:before="20" w:after="20" w:line="220" w:lineRule="auto"/>
            </w:pPr>
            <w:r>
              <w:rPr>
                <w:sz w:val="15"/>
                <w:szCs w:val="15"/>
              </w:rPr>
              <w:t xml:space="preserve">Close automation, model automation [A]</w:t>
            </w:r>
          </w:p>
        </w:tc>
        <w:tc>
          <w:tcPr>
            <w:tcW w:w="1863" w:type="dxa"/>
          </w:tcPr>
          <w:p>
            <w:pPr>
              <w:pStyle w:val="Compact"/>
              <w:jc w:val="left"/>
              <w:spacing w:before="20" w:after="20" w:line="220" w:lineRule="auto"/>
            </w:pPr>
            <w:r>
              <w:rPr>
                <w:sz w:val="15"/>
                <w:szCs w:val="15"/>
              </w:rPr>
              <w:t xml:space="preserve">Fewer entity-level reports and returns as licences reduce [D]</w:t>
            </w:r>
          </w:p>
        </w:tc>
        <w:tc>
          <w:tcPr>
            <w:tcW w:w="2155" w:type="dxa"/>
          </w:tcPr>
          <w:p>
            <w:pPr>
              <w:pStyle w:val="Compact"/>
              <w:jc w:val="left"/>
              <w:spacing w:before="20" w:after="20" w:line="220" w:lineRule="auto"/>
            </w:pPr>
            <w:r>
              <w:rPr>
                <w:sz w:val="15"/>
                <w:szCs w:val="15"/>
              </w:rPr>
              <w:t xml:space="preserve">Audit, actuarial consulting and data vendor fees [A]</w:t>
            </w:r>
          </w:p>
        </w:tc>
        <w:tc>
          <w:tcPr>
            <w:tcW w:w="2155" w:type="dxa"/>
          </w:tcPr>
          <w:p>
            <w:pPr>
              <w:pStyle w:val="Compact"/>
              <w:jc w:val="left"/>
              <w:spacing w:before="20" w:after="20" w:line="220" w:lineRule="auto"/>
            </w:pPr>
            <w:r>
              <w:rPr>
                <w:sz w:val="15"/>
                <w:szCs w:val="15"/>
              </w:rPr>
              <w:t xml:space="preserve">Trapped capital: own funds held above target cover in each entity, priced at cost of equity [D]</w:t>
            </w:r>
          </w:p>
        </w:tc>
      </w:tr>
      <w:tr>
        <w:tc>
          <w:tcPr>
            <w:tcW w:w="1641" w:type="dxa"/>
          </w:tcPr>
          <w:p>
            <w:pPr>
              <w:pStyle w:val="Compact"/>
              <w:jc w:val="left"/>
              <w:spacing w:before="20" w:after="20" w:line="220" w:lineRule="auto"/>
            </w:pPr>
            <w:r>
              <w:rPr>
                <w:sz w:val="15"/>
                <w:szCs w:val="15"/>
              </w:rPr>
              <w:t xml:space="preserve">Governance and corporate</w:t>
            </w:r>
          </w:p>
        </w:tc>
        <w:tc>
          <w:tcPr>
            <w:tcW w:w="2295" w:type="dxa"/>
          </w:tcPr>
          <w:p>
            <w:pPr>
              <w:pStyle w:val="Compact"/>
              <w:jc w:val="left"/>
              <w:spacing w:before="20" w:after="20" w:line="220" w:lineRule="auto"/>
            </w:pPr>
            <w:r>
              <w:rPr>
                <w:sz w:val="15"/>
                <w:szCs w:val="15"/>
              </w:rPr>
              <w:t xml:space="preserve">Fewer boards, committees and licences. AIRMS closure in 2025 is the precedent. Dormant and nominee entities wound up [D]</w:t>
            </w:r>
          </w:p>
        </w:tc>
        <w:tc>
          <w:tcPr>
            <w:tcW w:w="2295" w:type="dxa"/>
          </w:tcPr>
          <w:p>
            <w:pPr>
              <w:pStyle w:val="Compact"/>
              <w:jc w:val="left"/>
              <w:spacing w:before="20" w:after="20" w:line="220" w:lineRule="auto"/>
            </w:pPr>
            <w:r>
              <w:rPr>
                <w:sz w:val="15"/>
                <w:szCs w:val="15"/>
              </w:rPr>
              <w:t xml:space="preserve">Shared company secretarial, legal, HR and premises [D]</w:t>
            </w:r>
          </w:p>
        </w:tc>
        <w:tc>
          <w:tcPr>
            <w:tcW w:w="2164" w:type="dxa"/>
          </w:tcPr>
          <w:p>
            <w:pPr>
              <w:pStyle w:val="Compact"/>
              <w:jc w:val="left"/>
              <w:spacing w:before="20" w:after="20" w:line="220" w:lineRule="auto"/>
            </w:pPr>
            <w:r>
              <w:rPr>
                <w:sz w:val="15"/>
                <w:szCs w:val="15"/>
              </w:rPr>
              <w:t xml:space="preserve">Spans and layers in management [A]</w:t>
            </w:r>
          </w:p>
        </w:tc>
        <w:tc>
          <w:tcPr>
            <w:tcW w:w="1863" w:type="dxa"/>
          </w:tcPr>
          <w:p>
            <w:pPr>
              <w:pStyle w:val="Compact"/>
              <w:jc w:val="left"/>
              <w:spacing w:before="20" w:after="20" w:line="220" w:lineRule="auto"/>
            </w:pPr>
            <w:r>
              <w:rPr>
                <w:sz w:val="15"/>
                <w:szCs w:val="15"/>
              </w:rPr>
              <w:t xml:space="preserve">Fewer committees and reporting cycles [A]</w:t>
            </w:r>
          </w:p>
        </w:tc>
        <w:tc>
          <w:tcPr>
            <w:tcW w:w="2155" w:type="dxa"/>
          </w:tcPr>
          <w:p>
            <w:pPr>
              <w:pStyle w:val="Compact"/>
              <w:jc w:val="left"/>
              <w:spacing w:before="20" w:after="20" w:line="220" w:lineRule="auto"/>
            </w:pPr>
            <w:r>
              <w:rPr>
                <w:sz w:val="15"/>
                <w:szCs w:val="15"/>
              </w:rPr>
              <w:t xml:space="preserve">Premises, group insurance and professional fees procurement [A]</w:t>
            </w:r>
          </w:p>
        </w:tc>
        <w:tc>
          <w:tcPr>
            <w:tcW w:w="2155" w:type="dxa"/>
          </w:tcPr>
          <w:p>
            <w:pPr>
              <w:pStyle w:val="Compact"/>
              <w:jc w:val="left"/>
              <w:spacing w:before="20" w:after="20" w:line="220" w:lineRule="auto"/>
            </w:pPr>
            <w:r>
              <w:rPr>
                <w:sz w:val="15"/>
                <w:szCs w:val="15"/>
              </w:rPr>
              <w:t xml:space="preserve">VAT on intra-group recharges, duplicated regulatory levies per licence [D, can be negative]</w:t>
            </w:r>
          </w:p>
        </w:tc>
      </w:tr>
    </w:tbl>
    <w:p>
      <w:pPr>
        <w:pStyle w:val="BodyText"/>
      </w:pPr>
      <w:r>
        <w:t xml:space="preserve">Source: 01_framework.md sections 3 and 5.</w:t>
      </w:r>
    </w:p>
    <w:bookmarkEnd w:id="62"/>
    <w:bookmarkStart w:id="76" w:name="appendix-b.-benchmark-tables"/>
    <w:p>
      <w:pPr>
        <w:pStyle w:val="Heading2"/>
      </w:pPr>
      <w:r>
        <w:t xml:space="preserve">Appendix B. Benchmark tables</w:t>
      </w:r>
    </w:p>
    <w:bookmarkStart w:id="63" w:name="Xe3926e43d7a0c22903269ba3aaec4266a8c0d59"/>
    <w:p>
      <w:pPr>
        <w:pStyle w:val="Heading4"/>
      </w:pPr>
      <w:r>
        <w:t xml:space="preserve">M1: Non-attributable operating expenses / insurance revenue (as reported)</w:t>
      </w:r>
    </w:p>
    <w:tbl>
      <w:tblPr>
        <w:tblStyle w:val="Table"/>
        <w:tblLook w:firstRow="1" w:lastRow="0" w:firstColumn="0" w:lastColumn="0" w:noHBand="0" w:noVBand="0" w:val="0020"/>
        <w:jc w:val="start"/>
        <w:tblW w:w="14567" w:type="dxa"/>
        <w:tblLayout w:type="fixed"/>
      </w:tblPr>
      <w:tblGrid>
        <w:gridCol w:w="3380"/>
        <w:gridCol w:w="774"/>
        <w:gridCol w:w="918"/>
        <w:gridCol w:w="3629"/>
        <w:gridCol w:w="2212"/>
        <w:gridCol w:w="1074"/>
        <w:gridCol w:w="630"/>
        <w:gridCol w:w="990"/>
        <w:gridCol w:w="960"/>
      </w:tblGrid>
      <w:tr>
        <w:trPr>
          <w:tblHeader w:val="true"/>
        </w:trPr>
        <w:tc>
          <w:tcPr>
            <w:tcW w:w="3380"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3629" w:type="dxa"/>
          </w:tcPr>
          <w:p>
            <w:pPr>
              <w:pStyle w:val="Compact"/>
              <w:jc w:val="left"/>
              <w:spacing w:before="20" w:after="20" w:line="220" w:lineRule="auto"/>
            </w:pPr>
            <w:r>
              <w:rPr>
                <w:sz w:val="13"/>
                <w:szCs w:val="13"/>
              </w:rPr>
              <w:t xml:space="preserve">Distribution</w:t>
            </w:r>
          </w:p>
        </w:tc>
        <w:tc>
          <w:tcPr>
            <w:tcW w:w="2212" w:type="dxa"/>
          </w:tcPr>
          <w:p>
            <w:pPr>
              <w:pStyle w:val="Compact"/>
              <w:jc w:val="left"/>
              <w:spacing w:before="20" w:after="20" w:line="220" w:lineRule="auto"/>
            </w:pPr>
            <w:r>
              <w:rPr>
                <w:sz w:val="13"/>
                <w:szCs w:val="13"/>
              </w:rPr>
              <w:t xml:space="preserve">Basis</w:t>
            </w:r>
          </w:p>
        </w:tc>
        <w:tc>
          <w:tcPr>
            <w:tcW w:w="1074"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60" w:type="dxa"/>
          </w:tcPr>
          <w:p>
            <w:pPr>
              <w:pStyle w:val="Compact"/>
              <w:jc w:val="left"/>
              <w:spacing w:before="20" w:after="20" w:line="220" w:lineRule="auto"/>
            </w:pPr>
            <w:r>
              <w:rPr>
                <w:sz w:val="13"/>
                <w:szCs w:val="13"/>
              </w:rPr>
              <w:t xml:space="preserve">In medians</w:t>
            </w:r>
          </w:p>
        </w:tc>
      </w:tr>
      <w:tr>
        <w:tc>
          <w:tcPr>
            <w:tcW w:w="3380" w:type="dxa"/>
          </w:tcPr>
          <w:p>
            <w:pPr>
              <w:pStyle w:val="Compact"/>
              <w:jc w:val="left"/>
              <w:spacing w:before="20" w:after="20" w:line="220" w:lineRule="auto"/>
            </w:pPr>
            <w:r>
              <w:rPr>
                <w:sz w:val="13"/>
                <w:szCs w:val="13"/>
              </w:rPr>
              <w:t xml:space="preserve">AFS Life Insurance SA</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4.0%</w:t>
            </w:r>
          </w:p>
        </w:tc>
        <w:tc>
          <w:tcPr>
            <w:tcW w:w="990" w:type="dxa"/>
          </w:tcPr>
          <w:p>
            <w:pPr>
              <w:pStyle w:val="Compact"/>
              <w:jc w:val="left"/>
              <w:spacing w:before="20" w:after="20" w:line="220" w:lineRule="auto"/>
            </w:pPr>
            <w:r>
              <w:rPr>
                <w:sz w:val="13"/>
                <w:szCs w:val="13"/>
              </w:rPr>
              <w:t xml:space="preserve">4.0%</w:t>
            </w:r>
          </w:p>
        </w:tc>
        <w:tc>
          <w:tcPr>
            <w:tcW w:w="960" w:type="dxa"/>
          </w:tcPr>
          <w:p>
            <w:pPr>
              <w:pStyle w:val="Compact"/>
              <w:jc w:val="left"/>
              <w:spacing w:before="20" w:after="20" w:line="220" w:lineRule="auto"/>
            </w:pPr>
            <w:r>
              <w:rPr>
                <w:sz w:val="13"/>
                <w:szCs w:val="13"/>
              </w:rPr>
              <w:t xml:space="preserve">no</w:t>
            </w:r>
          </w:p>
        </w:tc>
      </w:tr>
      <w:tr>
        <w:tc>
          <w:tcPr>
            <w:tcW w:w="3380" w:type="dxa"/>
          </w:tcPr>
          <w:p>
            <w:pPr>
              <w:pStyle w:val="Compact"/>
              <w:jc w:val="left"/>
              <w:spacing w:before="20" w:after="20" w:line="220" w:lineRule="auto"/>
            </w:pPr>
            <w:r>
              <w:rPr>
                <w:sz w:val="13"/>
                <w:szCs w:val="13"/>
              </w:rPr>
              <w:t xml:space="preserve">AFS Non-Life Insurance SA</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12.3%</w:t>
            </w:r>
          </w:p>
        </w:tc>
        <w:tc>
          <w:tcPr>
            <w:tcW w:w="990" w:type="dxa"/>
          </w:tcPr>
          <w:p>
            <w:pPr>
              <w:pStyle w:val="Compact"/>
              <w:jc w:val="left"/>
              <w:spacing w:before="20" w:after="20" w:line="220" w:lineRule="auto"/>
            </w:pPr>
            <w:r>
              <w:rPr>
                <w:sz w:val="13"/>
                <w:szCs w:val="13"/>
              </w:rPr>
              <w:t xml:space="preserve">12.3%</w:t>
            </w:r>
          </w:p>
        </w:tc>
        <w:tc>
          <w:tcPr>
            <w:tcW w:w="960" w:type="dxa"/>
          </w:tcPr>
          <w:p>
            <w:pPr>
              <w:pStyle w:val="Compact"/>
              <w:jc w:val="left"/>
              <w:spacing w:before="20" w:after="20" w:line="220" w:lineRule="auto"/>
            </w:pPr>
            <w:r>
              <w:rPr>
                <w:sz w:val="13"/>
                <w:szCs w:val="13"/>
              </w:rPr>
              <w:t xml:space="preserve">no</w:t>
            </w:r>
          </w:p>
        </w:tc>
      </w:tr>
      <w:tr>
        <w:tc>
          <w:tcPr>
            <w:tcW w:w="3380" w:type="dxa"/>
          </w:tcPr>
          <w:p>
            <w:pPr>
              <w:pStyle w:val="Compact"/>
              <w:jc w:val="left"/>
              <w:spacing w:before="20" w:after="20" w:line="220" w:lineRule="auto"/>
            </w:pPr>
            <w:r>
              <w:rPr>
                <w:sz w:val="13"/>
                <w:szCs w:val="13"/>
              </w:rPr>
              <w:t xml:space="preserve">AFS Insurance SA (Absa Life, AIC, ARTIC, HO)</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11.5%</w:t>
            </w:r>
          </w:p>
        </w:tc>
        <w:tc>
          <w:tcPr>
            <w:tcW w:w="990" w:type="dxa"/>
          </w:tcPr>
          <w:p>
            <w:pPr>
              <w:pStyle w:val="Compact"/>
              <w:jc w:val="left"/>
              <w:spacing w:before="20" w:after="20" w:line="220" w:lineRule="auto"/>
            </w:pPr>
            <w:r>
              <w:rPr>
                <w:sz w:val="13"/>
                <w:szCs w:val="13"/>
              </w:rPr>
              <w:t xml:space="preserve">11.5%</w:t>
            </w:r>
          </w:p>
        </w:tc>
        <w:tc>
          <w:tcPr>
            <w:tcW w:w="960" w:type="dxa"/>
          </w:tcPr>
          <w:p>
            <w:pPr>
              <w:pStyle w:val="Compact"/>
              <w:jc w:val="left"/>
              <w:spacing w:before="20" w:after="20" w:line="220" w:lineRule="auto"/>
            </w:pPr>
            <w:r>
              <w:rPr>
                <w:sz w:val="13"/>
                <w:szCs w:val="13"/>
              </w:rPr>
              <w:t xml:space="preserve">no</w:t>
            </w:r>
          </w:p>
        </w:tc>
      </w:tr>
      <w:tr>
        <w:tc>
          <w:tcPr>
            <w:tcW w:w="3380" w:type="dxa"/>
          </w:tcPr>
          <w:p>
            <w:pPr>
              <w:pStyle w:val="Compact"/>
              <w:jc w:val="left"/>
              <w:spacing w:before="20" w:after="20" w:line="220" w:lineRule="auto"/>
            </w:pPr>
            <w:r>
              <w:rPr>
                <w:sz w:val="13"/>
                <w:szCs w:val="13"/>
              </w:rPr>
              <w:t xml:space="preserve">Capitec Life (Capitec)</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(Feb)</w:t>
            </w:r>
          </w:p>
        </w:tc>
        <w:tc>
          <w:tcPr>
            <w:tcW w:w="630" w:type="dxa"/>
          </w:tcPr>
          <w:p>
            <w:pPr>
              <w:pStyle w:val="Compact"/>
              <w:jc w:val="left"/>
              <w:spacing w:before="20" w:after="20" w:line="220" w:lineRule="auto"/>
            </w:pPr>
            <w:r>
              <w:rPr>
                <w:sz w:val="13"/>
                <w:szCs w:val="13"/>
              </w:rPr>
              <w:t xml:space="preserve">1.8%</w:t>
            </w:r>
          </w:p>
        </w:tc>
        <w:tc>
          <w:tcPr>
            <w:tcW w:w="990" w:type="dxa"/>
          </w:tcPr>
          <w:p>
            <w:pPr>
              <w:pStyle w:val="Compact"/>
              <w:jc w:val="left"/>
              <w:spacing w:before="20" w:after="20" w:line="220" w:lineRule="auto"/>
            </w:pPr>
            <w:r>
              <w:rPr>
                <w:sz w:val="13"/>
                <w:szCs w:val="13"/>
              </w:rPr>
              <w:t xml:space="preserve">1.8%</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Discovery Life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open: brokers, tied</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4.2%</w:t>
            </w:r>
          </w:p>
        </w:tc>
        <w:tc>
          <w:tcPr>
            <w:tcW w:w="990" w:type="dxa"/>
          </w:tcPr>
          <w:p>
            <w:pPr>
              <w:pStyle w:val="Compact"/>
              <w:jc w:val="left"/>
              <w:spacing w:before="20" w:after="20" w:line="220" w:lineRule="auto"/>
            </w:pPr>
            <w:r>
              <w:rPr>
                <w:sz w:val="13"/>
                <w:szCs w:val="13"/>
              </w:rPr>
              <w:t xml:space="preserve">4.2%</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Hollard Life Assurance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open: partnerships, brokers</w:t>
            </w:r>
          </w:p>
        </w:tc>
        <w:tc>
          <w:tcPr>
            <w:tcW w:w="2212" w:type="dxa"/>
          </w:tcPr>
          <w:p>
            <w:pPr>
              <w:pStyle w:val="Compact"/>
              <w:jc w:val="left"/>
              <w:spacing w:before="20" w:after="20" w:line="220" w:lineRule="auto"/>
            </w:pPr>
            <w:r>
              <w:rPr>
                <w:sz w:val="13"/>
                <w:szCs w:val="13"/>
              </w:rPr>
              <w:t xml:space="preserve">IFRS 17 (KPMG survey, company)</w:t>
            </w:r>
          </w:p>
        </w:tc>
        <w:tc>
          <w:tcPr>
            <w:tcW w:w="1074" w:type="dxa"/>
          </w:tcPr>
          <w:p>
            <w:pPr>
              <w:pStyle w:val="Compact"/>
              <w:jc w:val="left"/>
              <w:spacing w:before="20" w:after="20" w:line="220" w:lineRule="auto"/>
            </w:pPr>
            <w:r>
              <w:rPr>
                <w:sz w:val="13"/>
                <w:szCs w:val="13"/>
              </w:rPr>
              <w:t xml:space="preserve">FY2024 (Jun)</w:t>
            </w:r>
          </w:p>
        </w:tc>
        <w:tc>
          <w:tcPr>
            <w:tcW w:w="630" w:type="dxa"/>
          </w:tcPr>
          <w:p>
            <w:pPr>
              <w:pStyle w:val="Compact"/>
              <w:jc w:val="left"/>
              <w:spacing w:before="20" w:after="20" w:line="220" w:lineRule="auto"/>
            </w:pPr>
            <w:r>
              <w:rPr>
                <w:sz w:val="13"/>
                <w:szCs w:val="13"/>
              </w:rPr>
              <w:t xml:space="preserve">8.4%</w:t>
            </w:r>
          </w:p>
        </w:tc>
        <w:tc>
          <w:tcPr>
            <w:tcW w:w="990" w:type="dxa"/>
          </w:tcPr>
          <w:p>
            <w:pPr>
              <w:pStyle w:val="Compact"/>
              <w:jc w:val="left"/>
              <w:spacing w:before="20" w:after="20" w:line="220" w:lineRule="auto"/>
            </w:pPr>
            <w:r>
              <w:rPr>
                <w:sz w:val="13"/>
                <w:szCs w:val="13"/>
              </w:rPr>
              <w:t xml:space="preserve">8.4%</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Liberty Group (Standard 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mixed: tied advisers, brokers, bank</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20.6%</w:t>
            </w:r>
          </w:p>
        </w:tc>
        <w:tc>
          <w:tcPr>
            <w:tcW w:w="990" w:type="dxa"/>
          </w:tcPr>
          <w:p>
            <w:pPr>
              <w:pStyle w:val="Compact"/>
              <w:jc w:val="left"/>
              <w:spacing w:before="20" w:after="20" w:line="220" w:lineRule="auto"/>
            </w:pPr>
            <w:r>
              <w:rPr>
                <w:sz w:val="13"/>
                <w:szCs w:val="13"/>
              </w:rPr>
              <w:t xml:space="preserve">20.6%</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Metropolitan Life (Momentum, retail mass)</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open: tied agents</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4.0%</w:t>
            </w:r>
          </w:p>
        </w:tc>
        <w:tc>
          <w:tcPr>
            <w:tcW w:w="990" w:type="dxa"/>
          </w:tcPr>
          <w:p>
            <w:pPr>
              <w:pStyle w:val="Compact"/>
              <w:jc w:val="left"/>
              <w:spacing w:before="20" w:after="20" w:line="220" w:lineRule="auto"/>
            </w:pPr>
            <w:r>
              <w:rPr>
                <w:sz w:val="13"/>
                <w:szCs w:val="13"/>
              </w:rPr>
              <w:t xml:space="preserve">4.0%</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Momentum Retail (retail affluent)</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open</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15.9%</w:t>
            </w:r>
          </w:p>
        </w:tc>
        <w:tc>
          <w:tcPr>
            <w:tcW w:w="990" w:type="dxa"/>
          </w:tcPr>
          <w:p>
            <w:pPr>
              <w:pStyle w:val="Compact"/>
              <w:jc w:val="left"/>
              <w:spacing w:before="20" w:after="20" w:line="220" w:lineRule="auto"/>
            </w:pPr>
            <w:r>
              <w:rPr>
                <w:sz w:val="13"/>
                <w:szCs w:val="13"/>
              </w:rPr>
              <w:t xml:space="preserve">15.9%</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Nedgroup Life Assurance (Nedbank)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 (KPMG survey, company)</w:t>
            </w:r>
          </w:p>
        </w:tc>
        <w:tc>
          <w:tcPr>
            <w:tcW w:w="107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2.5%</w:t>
            </w:r>
          </w:p>
        </w:tc>
        <w:tc>
          <w:tcPr>
            <w:tcW w:w="990" w:type="dxa"/>
          </w:tcPr>
          <w:p>
            <w:pPr>
              <w:pStyle w:val="Compact"/>
              <w:jc w:val="left"/>
              <w:spacing w:before="20" w:after="20" w:line="220" w:lineRule="auto"/>
            </w:pPr>
            <w:r>
              <w:rPr>
                <w:sz w:val="13"/>
                <w:szCs w:val="13"/>
              </w:rPr>
              <w:t xml:space="preserve">2.5%</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OUTsurance Life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direct</w:t>
            </w:r>
          </w:p>
        </w:tc>
        <w:tc>
          <w:tcPr>
            <w:tcW w:w="2212" w:type="dxa"/>
          </w:tcPr>
          <w:p>
            <w:pPr>
              <w:pStyle w:val="Compact"/>
              <w:jc w:val="left"/>
              <w:spacing w:before="20" w:after="20" w:line="220" w:lineRule="auto"/>
            </w:pPr>
            <w:r>
              <w:rPr>
                <w:sz w:val="13"/>
                <w:szCs w:val="13"/>
              </w:rPr>
              <w:t xml:space="preserve">IFRS 17 (KPMG survey, company)</w:t>
            </w:r>
          </w:p>
        </w:tc>
        <w:tc>
          <w:tcPr>
            <w:tcW w:w="1074" w:type="dxa"/>
          </w:tcPr>
          <w:p>
            <w:pPr>
              <w:pStyle w:val="Compact"/>
              <w:jc w:val="left"/>
              <w:spacing w:before="20" w:after="20" w:line="220" w:lineRule="auto"/>
            </w:pPr>
            <w:r>
              <w:rPr>
                <w:sz w:val="13"/>
                <w:szCs w:val="13"/>
              </w:rPr>
              <w:t xml:space="preserve">FY2024 (Jun)</w:t>
            </w:r>
          </w:p>
        </w:tc>
        <w:tc>
          <w:tcPr>
            <w:tcW w:w="630" w:type="dxa"/>
          </w:tcPr>
          <w:p>
            <w:pPr>
              <w:pStyle w:val="Compact"/>
              <w:jc w:val="left"/>
              <w:spacing w:before="20" w:after="20" w:line="220" w:lineRule="auto"/>
            </w:pPr>
            <w:r>
              <w:rPr>
                <w:sz w:val="13"/>
                <w:szCs w:val="13"/>
              </w:rPr>
              <w:t xml:space="preserve">11.8%</w:t>
            </w:r>
          </w:p>
        </w:tc>
        <w:tc>
          <w:tcPr>
            <w:tcW w:w="990" w:type="dxa"/>
          </w:tcPr>
          <w:p>
            <w:pPr>
              <w:pStyle w:val="Compact"/>
              <w:jc w:val="left"/>
              <w:spacing w:before="20" w:after="20" w:line="220" w:lineRule="auto"/>
            </w:pPr>
            <w:r>
              <w:rPr>
                <w:sz w:val="13"/>
                <w:szCs w:val="13"/>
              </w:rPr>
              <w:t xml:space="preserve">11.8%</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Old Mutual Mass and Foundation (SA retail mass)</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open: tied advisers, branches</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31.5%</w:t>
            </w:r>
          </w:p>
        </w:tc>
        <w:tc>
          <w:tcPr>
            <w:tcW w:w="990" w:type="dxa"/>
          </w:tcPr>
          <w:p>
            <w:pPr>
              <w:pStyle w:val="Compact"/>
              <w:jc w:val="left"/>
              <w:spacing w:before="20" w:after="20" w:line="220" w:lineRule="auto"/>
            </w:pPr>
            <w:r>
              <w:rPr>
                <w:sz w:val="13"/>
                <w:szCs w:val="13"/>
              </w:rPr>
              <w:t xml:space="preserve">31.5%</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Old Mutual Personal Finance (SA retail affluent)</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open</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49.1%</w:t>
            </w:r>
          </w:p>
        </w:tc>
        <w:tc>
          <w:tcPr>
            <w:tcW w:w="990" w:type="dxa"/>
          </w:tcPr>
          <w:p>
            <w:pPr>
              <w:pStyle w:val="Compact"/>
              <w:jc w:val="left"/>
              <w:spacing w:before="20" w:after="20" w:line="220" w:lineRule="auto"/>
            </w:pPr>
            <w:r>
              <w:rPr>
                <w:sz w:val="13"/>
                <w:szCs w:val="13"/>
              </w:rPr>
              <w:t xml:space="preserve">49.1%</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Sanlam Life and Savings (SA)</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open</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34.2%</w:t>
            </w:r>
          </w:p>
        </w:tc>
        <w:tc>
          <w:tcPr>
            <w:tcW w:w="990" w:type="dxa"/>
          </w:tcPr>
          <w:p>
            <w:pPr>
              <w:pStyle w:val="Compact"/>
              <w:jc w:val="left"/>
              <w:spacing w:before="20" w:after="20" w:line="220" w:lineRule="auto"/>
            </w:pPr>
            <w:r>
              <w:rPr>
                <w:sz w:val="13"/>
                <w:szCs w:val="13"/>
              </w:rPr>
              <w:t xml:space="preserve">34.2%</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Scottish Widows Limited (Lloyds)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life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26.8%</w:t>
            </w:r>
          </w:p>
        </w:tc>
        <w:tc>
          <w:tcPr>
            <w:tcW w:w="990" w:type="dxa"/>
          </w:tcPr>
          <w:p>
            <w:pPr>
              <w:pStyle w:val="Compact"/>
              <w:jc w:val="left"/>
              <w:spacing w:before="20" w:after="20" w:line="220" w:lineRule="auto"/>
            </w:pPr>
            <w:r>
              <w:rPr>
                <w:sz w:val="13"/>
                <w:szCs w:val="13"/>
              </w:rPr>
              <w:t xml:space="preserve">26.8%</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Discovery Insure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open and direct</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2.6%</w:t>
            </w:r>
          </w:p>
        </w:tc>
        <w:tc>
          <w:tcPr>
            <w:tcW w:w="990" w:type="dxa"/>
          </w:tcPr>
          <w:p>
            <w:pPr>
              <w:pStyle w:val="Compact"/>
              <w:jc w:val="left"/>
              <w:spacing w:before="20" w:after="20" w:line="220" w:lineRule="auto"/>
            </w:pPr>
            <w:r>
              <w:rPr>
                <w:sz w:val="13"/>
                <w:szCs w:val="13"/>
              </w:rPr>
              <w:t xml:space="preserve">2.6%</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Hollard Insurance Company</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open: brokers, partnerships</w:t>
            </w:r>
          </w:p>
        </w:tc>
        <w:tc>
          <w:tcPr>
            <w:tcW w:w="2212" w:type="dxa"/>
          </w:tcPr>
          <w:p>
            <w:pPr>
              <w:pStyle w:val="Compact"/>
              <w:jc w:val="left"/>
              <w:spacing w:before="20" w:after="20" w:line="220" w:lineRule="auto"/>
            </w:pPr>
            <w:r>
              <w:rPr>
                <w:sz w:val="13"/>
                <w:szCs w:val="13"/>
              </w:rPr>
              <w:t xml:space="preserve">IFRS 17 (KPMG survey, company)</w:t>
            </w:r>
          </w:p>
        </w:tc>
        <w:tc>
          <w:tcPr>
            <w:tcW w:w="1074" w:type="dxa"/>
          </w:tcPr>
          <w:p>
            <w:pPr>
              <w:pStyle w:val="Compact"/>
              <w:jc w:val="left"/>
              <w:spacing w:before="20" w:after="20" w:line="220" w:lineRule="auto"/>
            </w:pPr>
            <w:r>
              <w:rPr>
                <w:sz w:val="13"/>
                <w:szCs w:val="13"/>
              </w:rPr>
              <w:t xml:space="preserve">FY2024 (Jun)</w:t>
            </w:r>
          </w:p>
        </w:tc>
        <w:tc>
          <w:tcPr>
            <w:tcW w:w="630" w:type="dxa"/>
          </w:tcPr>
          <w:p>
            <w:pPr>
              <w:pStyle w:val="Compact"/>
              <w:jc w:val="left"/>
              <w:spacing w:before="20" w:after="20" w:line="220" w:lineRule="auto"/>
            </w:pPr>
            <w:r>
              <w:rPr>
                <w:sz w:val="13"/>
                <w:szCs w:val="13"/>
              </w:rPr>
              <w:t xml:space="preserve">6.9%</w:t>
            </w:r>
          </w:p>
        </w:tc>
        <w:tc>
          <w:tcPr>
            <w:tcW w:w="990" w:type="dxa"/>
          </w:tcPr>
          <w:p>
            <w:pPr>
              <w:pStyle w:val="Compact"/>
              <w:jc w:val="left"/>
              <w:spacing w:before="20" w:after="20" w:line="220" w:lineRule="auto"/>
            </w:pPr>
            <w:r>
              <w:rPr>
                <w:sz w:val="13"/>
                <w:szCs w:val="13"/>
              </w:rPr>
              <w:t xml:space="preserve">6.9%</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Momentum Insure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open</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15.4%</w:t>
            </w:r>
          </w:p>
        </w:tc>
        <w:tc>
          <w:tcPr>
            <w:tcW w:w="990" w:type="dxa"/>
          </w:tcPr>
          <w:p>
            <w:pPr>
              <w:pStyle w:val="Compact"/>
              <w:jc w:val="left"/>
              <w:spacing w:before="20" w:after="20" w:line="220" w:lineRule="auto"/>
            </w:pPr>
            <w:r>
              <w:rPr>
                <w:sz w:val="13"/>
                <w:szCs w:val="13"/>
              </w:rPr>
              <w:t xml:space="preserve">15.4%</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Nedgroup Insurance Company (Nedbank)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 (KPMG survey, company)</w:t>
            </w:r>
          </w:p>
        </w:tc>
        <w:tc>
          <w:tcPr>
            <w:tcW w:w="107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1.7%</w:t>
            </w:r>
          </w:p>
        </w:tc>
        <w:tc>
          <w:tcPr>
            <w:tcW w:w="990" w:type="dxa"/>
          </w:tcPr>
          <w:p>
            <w:pPr>
              <w:pStyle w:val="Compact"/>
              <w:jc w:val="left"/>
              <w:spacing w:before="20" w:after="20" w:line="220" w:lineRule="auto"/>
            </w:pPr>
            <w:r>
              <w:rPr>
                <w:sz w:val="13"/>
                <w:szCs w:val="13"/>
              </w:rPr>
              <w:t xml:space="preserve">1.7%</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OUTsurance SA</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direct</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3.3%</w:t>
            </w:r>
          </w:p>
        </w:tc>
        <w:tc>
          <w:tcPr>
            <w:tcW w:w="990" w:type="dxa"/>
          </w:tcPr>
          <w:p>
            <w:pPr>
              <w:pStyle w:val="Compact"/>
              <w:jc w:val="left"/>
              <w:spacing w:before="20" w:after="20" w:line="220" w:lineRule="auto"/>
            </w:pPr>
            <w:r>
              <w:rPr>
                <w:sz w:val="13"/>
                <w:szCs w:val="13"/>
              </w:rPr>
              <w:t xml:space="preserve">3.3%</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Old Mutual Insure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open: brokers</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4.3%</w:t>
            </w:r>
          </w:p>
        </w:tc>
        <w:tc>
          <w:tcPr>
            <w:tcW w:w="990" w:type="dxa"/>
          </w:tcPr>
          <w:p>
            <w:pPr>
              <w:pStyle w:val="Compact"/>
              <w:jc w:val="left"/>
              <w:spacing w:before="20" w:after="20" w:line="220" w:lineRule="auto"/>
            </w:pPr>
            <w:r>
              <w:rPr>
                <w:sz w:val="13"/>
                <w:szCs w:val="13"/>
              </w:rPr>
              <w:t xml:space="preserve">4.3%</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Santam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open: brokers, direct (MiWay)</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3.1%</w:t>
            </w:r>
          </w:p>
        </w:tc>
        <w:tc>
          <w:tcPr>
            <w:tcW w:w="990" w:type="dxa"/>
          </w:tcPr>
          <w:p>
            <w:pPr>
              <w:pStyle w:val="Compact"/>
              <w:jc w:val="left"/>
              <w:spacing w:before="20" w:after="20" w:line="220" w:lineRule="auto"/>
            </w:pPr>
            <w:r>
              <w:rPr>
                <w:sz w:val="13"/>
                <w:szCs w:val="13"/>
              </w:rPr>
              <w:t xml:space="preserve">3.1%</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Standard Insurance Limited (Standard 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nonlife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4.2%</w:t>
            </w:r>
          </w:p>
        </w:tc>
        <w:tc>
          <w:tcPr>
            <w:tcW w:w="990" w:type="dxa"/>
          </w:tcPr>
          <w:p>
            <w:pPr>
              <w:pStyle w:val="Compact"/>
              <w:jc w:val="left"/>
              <w:spacing w:before="20" w:after="20" w:line="220" w:lineRule="auto"/>
            </w:pPr>
            <w:r>
              <w:rPr>
                <w:sz w:val="13"/>
                <w:szCs w:val="13"/>
              </w:rPr>
              <w:t xml:space="preserve">4.2%</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BNP Paribas Cardif</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partly captive (46 percent via BNP Paribas networks)</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8.8%</w:t>
            </w:r>
          </w:p>
        </w:tc>
        <w:tc>
          <w:tcPr>
            <w:tcW w:w="990" w:type="dxa"/>
          </w:tcPr>
          <w:p>
            <w:pPr>
              <w:pStyle w:val="Compact"/>
              <w:jc w:val="left"/>
              <w:spacing w:before="20" w:after="20" w:line="220" w:lineRule="auto"/>
            </w:pPr>
            <w:r>
              <w:rPr>
                <w:sz w:val="13"/>
                <w:szCs w:val="13"/>
              </w:rPr>
              <w:t xml:space="preserve">8.8%</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Brasilseg (BB Seguridade)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bank captive via BB Corretora</w:t>
            </w:r>
          </w:p>
        </w:tc>
        <w:tc>
          <w:tcPr>
            <w:tcW w:w="2212" w:type="dxa"/>
          </w:tcPr>
          <w:p>
            <w:pPr>
              <w:pStyle w:val="Compact"/>
              <w:jc w:val="left"/>
              <w:spacing w:before="20" w:after="20" w:line="220" w:lineRule="auto"/>
            </w:pPr>
            <w:r>
              <w:rPr>
                <w:sz w:val="13"/>
                <w:szCs w:val="13"/>
              </w:rPr>
              <w:t xml:space="preserve">IFRS 17 (CPC 50)</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6.8%</w:t>
            </w:r>
          </w:p>
        </w:tc>
        <w:tc>
          <w:tcPr>
            <w:tcW w:w="990" w:type="dxa"/>
          </w:tcPr>
          <w:p>
            <w:pPr>
              <w:pStyle w:val="Compact"/>
              <w:jc w:val="left"/>
              <w:spacing w:before="20" w:after="20" w:line="220" w:lineRule="auto"/>
            </w:pPr>
            <w:r>
              <w:rPr>
                <w:sz w:val="13"/>
                <w:szCs w:val="13"/>
              </w:rPr>
              <w:t xml:space="preserve">6.8%</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Credit Agricole Assurances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bank captive (regional banks, LCL)</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2.7%</w:t>
            </w:r>
          </w:p>
        </w:tc>
        <w:tc>
          <w:tcPr>
            <w:tcW w:w="990" w:type="dxa"/>
          </w:tcPr>
          <w:p>
            <w:pPr>
              <w:pStyle w:val="Compact"/>
              <w:jc w:val="left"/>
              <w:spacing w:before="20" w:after="20" w:line="220" w:lineRule="auto"/>
            </w:pPr>
            <w:r>
              <w:rPr>
                <w:sz w:val="13"/>
                <w:szCs w:val="13"/>
              </w:rPr>
              <w:t xml:space="preserve">2.7%</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Etiqa (Maybank insurance and takaful segment)</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partly captive (42 percent of GWP via Maybank)</w:t>
            </w:r>
          </w:p>
        </w:tc>
        <w:tc>
          <w:tcPr>
            <w:tcW w:w="2212" w:type="dxa"/>
          </w:tcPr>
          <w:p>
            <w:pPr>
              <w:pStyle w:val="Compact"/>
              <w:jc w:val="left"/>
              <w:spacing w:before="20" w:after="20" w:line="220" w:lineRule="auto"/>
            </w:pPr>
            <w:r>
              <w:rPr>
                <w:sz w:val="13"/>
                <w:szCs w:val="13"/>
              </w:rPr>
              <w:t xml:space="preserve">MFRS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2.7%</w:t>
            </w:r>
          </w:p>
        </w:tc>
        <w:tc>
          <w:tcPr>
            <w:tcW w:w="990" w:type="dxa"/>
          </w:tcPr>
          <w:p>
            <w:pPr>
              <w:pStyle w:val="Compact"/>
              <w:jc w:val="left"/>
              <w:spacing w:before="20" w:after="20" w:line="220" w:lineRule="auto"/>
            </w:pPr>
            <w:r>
              <w:rPr>
                <w:sz w:val="13"/>
                <w:szCs w:val="13"/>
              </w:rPr>
              <w:t xml:space="preserve">2.7%</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Intesa Sanpaolo Assicurazioni</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bank captive</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3.9%</w:t>
            </w:r>
          </w:p>
        </w:tc>
        <w:tc>
          <w:tcPr>
            <w:tcW w:w="990" w:type="dxa"/>
          </w:tcPr>
          <w:p>
            <w:pPr>
              <w:pStyle w:val="Compact"/>
              <w:jc w:val="left"/>
              <w:spacing w:before="20" w:after="20" w:line="220" w:lineRule="auto"/>
            </w:pPr>
            <w:r>
              <w:rPr>
                <w:sz w:val="13"/>
                <w:szCs w:val="13"/>
              </w:rPr>
              <w:t xml:space="preserve">3.9%</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KBC Insurance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bank branches and tied agents</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5.9%</w:t>
            </w:r>
          </w:p>
        </w:tc>
        <w:tc>
          <w:tcPr>
            <w:tcW w:w="990" w:type="dxa"/>
          </w:tcPr>
          <w:p>
            <w:pPr>
              <w:pStyle w:val="Compact"/>
              <w:jc w:val="left"/>
              <w:spacing w:before="20" w:after="20" w:line="220" w:lineRule="auto"/>
            </w:pPr>
            <w:r>
              <w:rPr>
                <w:sz w:val="13"/>
                <w:szCs w:val="13"/>
              </w:rPr>
              <w:t xml:space="preserve">5.9%</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Momentum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open: advisers, brokers</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23.4%</w:t>
            </w:r>
          </w:p>
        </w:tc>
        <w:tc>
          <w:tcPr>
            <w:tcW w:w="990" w:type="dxa"/>
          </w:tcPr>
          <w:p>
            <w:pPr>
              <w:pStyle w:val="Compact"/>
              <w:jc w:val="left"/>
              <w:spacing w:before="20" w:after="20" w:line="220" w:lineRule="auto"/>
            </w:pPr>
            <w:r>
              <w:rPr>
                <w:sz w:val="13"/>
                <w:szCs w:val="13"/>
              </w:rPr>
              <w:t xml:space="preserve">23.4%</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Old Mutual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open: tied advisers, brokers, bank partnerships</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34.3%</w:t>
            </w:r>
          </w:p>
        </w:tc>
        <w:tc>
          <w:tcPr>
            <w:tcW w:w="990" w:type="dxa"/>
          </w:tcPr>
          <w:p>
            <w:pPr>
              <w:pStyle w:val="Compact"/>
              <w:jc w:val="left"/>
              <w:spacing w:before="20" w:after="20" w:line="220" w:lineRule="auto"/>
            </w:pPr>
            <w:r>
              <w:rPr>
                <w:sz w:val="13"/>
                <w:szCs w:val="13"/>
              </w:rPr>
              <w:t xml:space="preserve">34.3%</w:t>
            </w:r>
          </w:p>
        </w:tc>
        <w:tc>
          <w:tcPr>
            <w:tcW w:w="960" w:type="dxa"/>
          </w:tcPr>
          <w:p>
            <w:pPr>
              <w:pStyle w:val="Compact"/>
              <w:jc w:val="left"/>
              <w:spacing w:before="20" w:after="20" w:line="220" w:lineRule="auto"/>
            </w:pPr>
            <w:r>
              <w:rPr>
                <w:sz w:val="13"/>
                <w:szCs w:val="13"/>
              </w:rPr>
              <w:t xml:space="preserve">yes</w:t>
            </w:r>
          </w:p>
        </w:tc>
      </w:tr>
      <w:tr>
        <w:tc>
          <w:tcPr>
            <w:tcW w:w="3380" w:type="dxa"/>
          </w:tcPr>
          <w:p>
            <w:pPr>
              <w:pStyle w:val="Compact"/>
              <w:jc w:val="left"/>
              <w:spacing w:before="20" w:after="20" w:line="220" w:lineRule="auto"/>
            </w:pPr>
            <w:r>
              <w:rPr>
                <w:sz w:val="13"/>
                <w:szCs w:val="13"/>
              </w:rPr>
              <w:t xml:space="preserve">Sanlam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3629" w:type="dxa"/>
          </w:tcPr>
          <w:p>
            <w:pPr>
              <w:pStyle w:val="Compact"/>
              <w:jc w:val="left"/>
              <w:spacing w:before="20" w:after="20" w:line="220" w:lineRule="auto"/>
            </w:pPr>
            <w:r>
              <w:rPr>
                <w:sz w:val="13"/>
                <w:szCs w:val="13"/>
              </w:rPr>
              <w:t xml:space="preserve">open: advisers, brokers, affinity</w:t>
            </w:r>
          </w:p>
        </w:tc>
        <w:tc>
          <w:tcPr>
            <w:tcW w:w="2212" w:type="dxa"/>
          </w:tcPr>
          <w:p>
            <w:pPr>
              <w:pStyle w:val="Compact"/>
              <w:jc w:val="left"/>
              <w:spacing w:before="20" w:after="20" w:line="220" w:lineRule="auto"/>
            </w:pPr>
            <w:r>
              <w:rPr>
                <w:sz w:val="13"/>
                <w:szCs w:val="13"/>
              </w:rPr>
              <w:t xml:space="preserve">IFRS 17</w:t>
            </w:r>
          </w:p>
        </w:tc>
        <w:tc>
          <w:tcPr>
            <w:tcW w:w="107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23.2%</w:t>
            </w:r>
          </w:p>
        </w:tc>
        <w:tc>
          <w:tcPr>
            <w:tcW w:w="990" w:type="dxa"/>
          </w:tcPr>
          <w:p>
            <w:pPr>
              <w:pStyle w:val="Compact"/>
              <w:jc w:val="left"/>
              <w:spacing w:before="20" w:after="20" w:line="220" w:lineRule="auto"/>
            </w:pPr>
            <w:r>
              <w:rPr>
                <w:sz w:val="13"/>
                <w:szCs w:val="13"/>
              </w:rPr>
              <w:t xml:space="preserve">23.2%</w:t>
            </w:r>
          </w:p>
        </w:tc>
        <w:tc>
          <w:tcPr>
            <w:tcW w:w="960"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M1; raw values link to data_ids in the Raw data tab.</w:t>
      </w:r>
    </w:p>
    <w:bookmarkEnd w:id="63"/>
    <w:bookmarkStart w:id="64" w:name="Xbf19bddbd5b15c74d8c5aaf9dd752dbc1553de7"/>
    <w:p>
      <w:pPr>
        <w:pStyle w:val="Heading4"/>
      </w:pPr>
      <w:r>
        <w:t xml:space="preserve">M2: Total operating expenses excluding commission and claims / insurance revenue</w:t>
      </w:r>
    </w:p>
    <w:tbl>
      <w:tblPr>
        <w:tblStyle w:val="Table"/>
        <w:tblLook w:firstRow="1" w:lastRow="0" w:firstColumn="0" w:lastColumn="0" w:noHBand="0" w:noVBand="0" w:val="0020"/>
        <w:jc w:val="start"/>
        <w:tblW w:w="14567" w:type="dxa"/>
        <w:tblLayout w:type="fixed"/>
      </w:tblPr>
      <w:tblGrid>
        <w:gridCol w:w="4787"/>
        <w:gridCol w:w="774"/>
        <w:gridCol w:w="918"/>
        <w:gridCol w:w="2497"/>
        <w:gridCol w:w="1985"/>
        <w:gridCol w:w="1042"/>
        <w:gridCol w:w="630"/>
        <w:gridCol w:w="990"/>
        <w:gridCol w:w="944"/>
      </w:tblGrid>
      <w:tr>
        <w:trPr>
          <w:tblHeader w:val="true"/>
        </w:trPr>
        <w:tc>
          <w:tcPr>
            <w:tcW w:w="4787"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2497" w:type="dxa"/>
          </w:tcPr>
          <w:p>
            <w:pPr>
              <w:pStyle w:val="Compact"/>
              <w:jc w:val="left"/>
              <w:spacing w:before="20" w:after="20" w:line="220" w:lineRule="auto"/>
            </w:pPr>
            <w:r>
              <w:rPr>
                <w:sz w:val="13"/>
                <w:szCs w:val="13"/>
              </w:rPr>
              <w:t xml:space="preserve">Distribution</w:t>
            </w:r>
          </w:p>
        </w:tc>
        <w:tc>
          <w:tcPr>
            <w:tcW w:w="1985" w:type="dxa"/>
          </w:tcPr>
          <w:p>
            <w:pPr>
              <w:pStyle w:val="Compact"/>
              <w:jc w:val="left"/>
              <w:spacing w:before="20" w:after="20" w:line="220" w:lineRule="auto"/>
            </w:pPr>
            <w:r>
              <w:rPr>
                <w:sz w:val="13"/>
                <w:szCs w:val="13"/>
              </w:rPr>
              <w:t xml:space="preserve">Basis</w:t>
            </w:r>
          </w:p>
        </w:tc>
        <w:tc>
          <w:tcPr>
            <w:tcW w:w="1042"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44" w:type="dxa"/>
          </w:tcPr>
          <w:p>
            <w:pPr>
              <w:pStyle w:val="Compact"/>
              <w:jc w:val="left"/>
              <w:spacing w:before="20" w:after="20" w:line="220" w:lineRule="auto"/>
            </w:pPr>
            <w:r>
              <w:rPr>
                <w:sz w:val="13"/>
                <w:szCs w:val="13"/>
              </w:rPr>
              <w:t xml:space="preserve">In medians</w:t>
            </w:r>
          </w:p>
        </w:tc>
      </w:tr>
      <w:tr>
        <w:tc>
          <w:tcPr>
            <w:tcW w:w="4787" w:type="dxa"/>
          </w:tcPr>
          <w:p>
            <w:pPr>
              <w:pStyle w:val="Compact"/>
              <w:jc w:val="left"/>
              <w:spacing w:before="20" w:after="20" w:line="220" w:lineRule="auto"/>
            </w:pPr>
            <w:r>
              <w:rPr>
                <w:sz w:val="13"/>
                <w:szCs w:val="13"/>
              </w:rPr>
              <w:t xml:space="preserve">AFS Insurance SA (non-attributable plus attributable estimate†)</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19.5%</w:t>
            </w:r>
          </w:p>
        </w:tc>
        <w:tc>
          <w:tcPr>
            <w:tcW w:w="990" w:type="dxa"/>
          </w:tcPr>
          <w:p>
            <w:pPr>
              <w:pStyle w:val="Compact"/>
              <w:jc w:val="left"/>
              <w:spacing w:before="20" w:after="20" w:line="220" w:lineRule="auto"/>
            </w:pPr>
            <w:r>
              <w:rPr>
                <w:sz w:val="13"/>
                <w:szCs w:val="13"/>
              </w:rPr>
              <w:t xml:space="preserve">19.5%</w:t>
            </w:r>
          </w:p>
        </w:tc>
        <w:tc>
          <w:tcPr>
            <w:tcW w:w="944" w:type="dxa"/>
          </w:tcPr>
          <w:p>
            <w:pPr>
              <w:pStyle w:val="Compact"/>
              <w:jc w:val="left"/>
              <w:spacing w:before="20" w:after="20" w:line="220" w:lineRule="auto"/>
            </w:pPr>
            <w:r>
              <w:rPr>
                <w:sz w:val="13"/>
                <w:szCs w:val="13"/>
              </w:rPr>
              <w:t xml:space="preserve">no</w:t>
            </w:r>
          </w:p>
        </w:tc>
      </w:tr>
      <w:tr>
        <w:tc>
          <w:tcPr>
            <w:tcW w:w="4787" w:type="dxa"/>
          </w:tcPr>
          <w:p>
            <w:pPr>
              <w:pStyle w:val="Compact"/>
              <w:jc w:val="left"/>
              <w:spacing w:before="20" w:after="20" w:line="220" w:lineRule="auto"/>
            </w:pPr>
            <w:r>
              <w:rPr>
                <w:sz w:val="13"/>
                <w:szCs w:val="13"/>
              </w:rPr>
              <w:t xml:space="preserve">AFS Insurance SA plus intermediary block (AIFA, AIMS, Trust, Stockbrokers)†</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38.5%</w:t>
            </w:r>
          </w:p>
        </w:tc>
        <w:tc>
          <w:tcPr>
            <w:tcW w:w="990" w:type="dxa"/>
          </w:tcPr>
          <w:p>
            <w:pPr>
              <w:pStyle w:val="Compact"/>
              <w:jc w:val="left"/>
              <w:spacing w:before="20" w:after="20" w:line="220" w:lineRule="auto"/>
            </w:pPr>
            <w:r>
              <w:rPr>
                <w:sz w:val="13"/>
                <w:szCs w:val="13"/>
              </w:rPr>
              <w:t xml:space="preserve">38.5%</w:t>
            </w:r>
          </w:p>
        </w:tc>
        <w:tc>
          <w:tcPr>
            <w:tcW w:w="944" w:type="dxa"/>
          </w:tcPr>
          <w:p>
            <w:pPr>
              <w:pStyle w:val="Compact"/>
              <w:jc w:val="left"/>
              <w:spacing w:before="20" w:after="20" w:line="220" w:lineRule="auto"/>
            </w:pPr>
            <w:r>
              <w:rPr>
                <w:sz w:val="13"/>
                <w:szCs w:val="13"/>
              </w:rPr>
              <w:t xml:space="preserve">no</w:t>
            </w:r>
          </w:p>
        </w:tc>
      </w:tr>
      <w:tr>
        <w:tc>
          <w:tcPr>
            <w:tcW w:w="4787" w:type="dxa"/>
          </w:tcPr>
          <w:p>
            <w:pPr>
              <w:pStyle w:val="Compact"/>
              <w:jc w:val="left"/>
              <w:spacing w:before="20" w:after="20" w:line="220" w:lineRule="auto"/>
            </w:pPr>
            <w:r>
              <w:rPr>
                <w:sz w:val="13"/>
                <w:szCs w:val="13"/>
              </w:rPr>
              <w:t xml:space="preserve">Capitec Life (Capitec)</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FY2026 (Feb)</w:t>
            </w:r>
          </w:p>
        </w:tc>
        <w:tc>
          <w:tcPr>
            <w:tcW w:w="630" w:type="dxa"/>
          </w:tcPr>
          <w:p>
            <w:pPr>
              <w:pStyle w:val="Compact"/>
              <w:jc w:val="left"/>
              <w:spacing w:before="20" w:after="20" w:line="220" w:lineRule="auto"/>
            </w:pPr>
            <w:r>
              <w:rPr>
                <w:sz w:val="13"/>
                <w:szCs w:val="13"/>
              </w:rPr>
              <w:t xml:space="preserve">4.4%</w:t>
            </w:r>
          </w:p>
        </w:tc>
        <w:tc>
          <w:tcPr>
            <w:tcW w:w="990" w:type="dxa"/>
          </w:tcPr>
          <w:p>
            <w:pPr>
              <w:pStyle w:val="Compact"/>
              <w:jc w:val="left"/>
              <w:spacing w:before="20" w:after="20" w:line="220" w:lineRule="auto"/>
            </w:pPr>
            <w:r>
              <w:rPr>
                <w:sz w:val="13"/>
                <w:szCs w:val="13"/>
              </w:rPr>
              <w:t xml:space="preserve">4.4%</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Etiqa Family Takaful</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life</w:t>
            </w:r>
          </w:p>
        </w:tc>
        <w:tc>
          <w:tcPr>
            <w:tcW w:w="2497" w:type="dxa"/>
          </w:tcPr>
          <w:p>
            <w:pPr>
              <w:pStyle w:val="Compact"/>
              <w:jc w:val="left"/>
              <w:spacing w:before="20" w:after="20" w:line="220" w:lineRule="auto"/>
            </w:pPr>
            <w:r>
              <w:rPr>
                <w:sz w:val="13"/>
                <w:szCs w:val="13"/>
              </w:rPr>
              <w:t xml:space="preserve">partly captive</w:t>
            </w:r>
          </w:p>
        </w:tc>
        <w:tc>
          <w:tcPr>
            <w:tcW w:w="1985" w:type="dxa"/>
          </w:tcPr>
          <w:p>
            <w:pPr>
              <w:pStyle w:val="Compact"/>
              <w:jc w:val="left"/>
              <w:spacing w:before="20" w:after="20" w:line="220" w:lineRule="auto"/>
            </w:pPr>
            <w:r>
              <w:rPr>
                <w:sz w:val="13"/>
                <w:szCs w:val="13"/>
              </w:rPr>
              <w:t xml:space="preserve">MFRS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14.7%</w:t>
            </w:r>
          </w:p>
        </w:tc>
        <w:tc>
          <w:tcPr>
            <w:tcW w:w="990" w:type="dxa"/>
          </w:tcPr>
          <w:p>
            <w:pPr>
              <w:pStyle w:val="Compact"/>
              <w:jc w:val="left"/>
              <w:spacing w:before="20" w:after="20" w:line="220" w:lineRule="auto"/>
            </w:pPr>
            <w:r>
              <w:rPr>
                <w:sz w:val="13"/>
                <w:szCs w:val="13"/>
              </w:rPr>
              <w:t xml:space="preserve">14.7%</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Etiqa Life Insurance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life</w:t>
            </w:r>
          </w:p>
        </w:tc>
        <w:tc>
          <w:tcPr>
            <w:tcW w:w="2497" w:type="dxa"/>
          </w:tcPr>
          <w:p>
            <w:pPr>
              <w:pStyle w:val="Compact"/>
              <w:jc w:val="left"/>
              <w:spacing w:before="20" w:after="20" w:line="220" w:lineRule="auto"/>
            </w:pPr>
            <w:r>
              <w:rPr>
                <w:sz w:val="13"/>
                <w:szCs w:val="13"/>
              </w:rPr>
              <w:t xml:space="preserve">partly captive</w:t>
            </w:r>
          </w:p>
        </w:tc>
        <w:tc>
          <w:tcPr>
            <w:tcW w:w="1985" w:type="dxa"/>
          </w:tcPr>
          <w:p>
            <w:pPr>
              <w:pStyle w:val="Compact"/>
              <w:jc w:val="left"/>
              <w:spacing w:before="20" w:after="20" w:line="220" w:lineRule="auto"/>
            </w:pPr>
            <w:r>
              <w:rPr>
                <w:sz w:val="13"/>
                <w:szCs w:val="13"/>
              </w:rPr>
              <w:t xml:space="preserve">MFRS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31.6%</w:t>
            </w:r>
          </w:p>
        </w:tc>
        <w:tc>
          <w:tcPr>
            <w:tcW w:w="990" w:type="dxa"/>
          </w:tcPr>
          <w:p>
            <w:pPr>
              <w:pStyle w:val="Compact"/>
              <w:jc w:val="left"/>
              <w:spacing w:before="20" w:after="20" w:line="220" w:lineRule="auto"/>
            </w:pPr>
            <w:r>
              <w:rPr>
                <w:sz w:val="13"/>
                <w:szCs w:val="13"/>
              </w:rPr>
              <w:t xml:space="preserve">31.6%</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Liberty Group (Standard 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2497" w:type="dxa"/>
          </w:tcPr>
          <w:p>
            <w:pPr>
              <w:pStyle w:val="Compact"/>
              <w:jc w:val="left"/>
              <w:spacing w:before="20" w:after="20" w:line="220" w:lineRule="auto"/>
            </w:pPr>
            <w:r>
              <w:rPr>
                <w:sz w:val="13"/>
                <w:szCs w:val="13"/>
              </w:rPr>
              <w:t xml:space="preserve">mixed</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30.8%</w:t>
            </w:r>
          </w:p>
        </w:tc>
        <w:tc>
          <w:tcPr>
            <w:tcW w:w="990" w:type="dxa"/>
          </w:tcPr>
          <w:p>
            <w:pPr>
              <w:pStyle w:val="Compact"/>
              <w:jc w:val="left"/>
              <w:spacing w:before="20" w:after="20" w:line="220" w:lineRule="auto"/>
            </w:pPr>
            <w:r>
              <w:rPr>
                <w:sz w:val="13"/>
                <w:szCs w:val="13"/>
              </w:rPr>
              <w:t xml:space="preserve">30.8%</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SBI Life (opex / GWP)</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life</w:t>
            </w:r>
          </w:p>
        </w:tc>
        <w:tc>
          <w:tcPr>
            <w:tcW w:w="2497" w:type="dxa"/>
          </w:tcPr>
          <w:p>
            <w:pPr>
              <w:pStyle w:val="Compact"/>
              <w:jc w:val="left"/>
              <w:spacing w:before="20" w:after="20" w:line="220" w:lineRule="auto"/>
            </w:pPr>
            <w:r>
              <w:rPr>
                <w:sz w:val="13"/>
                <w:szCs w:val="13"/>
              </w:rPr>
              <w:t xml:space="preserve">bank-led (60 percent of APE via SBI)</w:t>
            </w:r>
          </w:p>
        </w:tc>
        <w:tc>
          <w:tcPr>
            <w:tcW w:w="1985" w:type="dxa"/>
          </w:tcPr>
          <w:p>
            <w:pPr>
              <w:pStyle w:val="Compact"/>
              <w:jc w:val="left"/>
              <w:spacing w:before="20" w:after="20" w:line="220" w:lineRule="auto"/>
            </w:pPr>
            <w:r>
              <w:rPr>
                <w:sz w:val="13"/>
                <w:szCs w:val="13"/>
              </w:rPr>
              <w:t xml:space="preserve">IRDAI GAAP, GWP denominator</w:t>
            </w:r>
          </w:p>
        </w:tc>
        <w:tc>
          <w:tcPr>
            <w:tcW w:w="1042" w:type="dxa"/>
          </w:tcPr>
          <w:p>
            <w:pPr>
              <w:pStyle w:val="Compact"/>
              <w:jc w:val="left"/>
              <w:spacing w:before="20" w:after="20" w:line="220" w:lineRule="auto"/>
            </w:pPr>
            <w:r>
              <w:rPr>
                <w:sz w:val="13"/>
                <w:szCs w:val="13"/>
              </w:rPr>
              <w:t xml:space="preserve">FY2026 (Mar)</w:t>
            </w:r>
          </w:p>
        </w:tc>
        <w:tc>
          <w:tcPr>
            <w:tcW w:w="630" w:type="dxa"/>
          </w:tcPr>
          <w:p>
            <w:pPr>
              <w:pStyle w:val="Compact"/>
              <w:jc w:val="left"/>
              <w:spacing w:before="20" w:after="20" w:line="220" w:lineRule="auto"/>
            </w:pPr>
            <w:r>
              <w:rPr>
                <w:sz w:val="13"/>
                <w:szCs w:val="13"/>
              </w:rPr>
              <w:t xml:space="preserve">6.1%</w:t>
            </w:r>
          </w:p>
        </w:tc>
        <w:tc>
          <w:tcPr>
            <w:tcW w:w="990" w:type="dxa"/>
          </w:tcPr>
          <w:p>
            <w:pPr>
              <w:pStyle w:val="Compact"/>
              <w:jc w:val="left"/>
              <w:spacing w:before="20" w:after="20" w:line="220" w:lineRule="auto"/>
            </w:pPr>
            <w:r>
              <w:rPr>
                <w:sz w:val="13"/>
                <w:szCs w:val="13"/>
              </w:rPr>
              <w:t xml:space="preserve">6.1%</w:t>
            </w:r>
          </w:p>
        </w:tc>
        <w:tc>
          <w:tcPr>
            <w:tcW w:w="944" w:type="dxa"/>
          </w:tcPr>
          <w:p>
            <w:pPr>
              <w:pStyle w:val="Compact"/>
              <w:jc w:val="left"/>
              <w:spacing w:before="20" w:after="20" w:line="220" w:lineRule="auto"/>
            </w:pPr>
            <w:r>
              <w:rPr>
                <w:sz w:val="13"/>
                <w:szCs w:val="13"/>
              </w:rPr>
              <w:t xml:space="preserve">no</w:t>
            </w:r>
          </w:p>
        </w:tc>
      </w:tr>
      <w:tr>
        <w:tc>
          <w:tcPr>
            <w:tcW w:w="4787" w:type="dxa"/>
          </w:tcPr>
          <w:p>
            <w:pPr>
              <w:pStyle w:val="Compact"/>
              <w:jc w:val="left"/>
              <w:spacing w:before="20" w:after="20" w:line="220" w:lineRule="auto"/>
            </w:pPr>
            <w:r>
              <w:rPr>
                <w:sz w:val="13"/>
                <w:szCs w:val="13"/>
              </w:rPr>
              <w:t xml:space="preserve">Scottish Widows Limited (Lloyds)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life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36.6%</w:t>
            </w:r>
          </w:p>
        </w:tc>
        <w:tc>
          <w:tcPr>
            <w:tcW w:w="990" w:type="dxa"/>
          </w:tcPr>
          <w:p>
            <w:pPr>
              <w:pStyle w:val="Compact"/>
              <w:jc w:val="left"/>
              <w:spacing w:before="20" w:after="20" w:line="220" w:lineRule="auto"/>
            </w:pPr>
            <w:r>
              <w:rPr>
                <w:sz w:val="13"/>
                <w:szCs w:val="13"/>
              </w:rPr>
              <w:t xml:space="preserve">36.6%</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VidaCaixa (CaixaBank) attributable expenses excluding commission only</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life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IFRS 17; attributable only</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5.4%</w:t>
            </w:r>
          </w:p>
        </w:tc>
        <w:tc>
          <w:tcPr>
            <w:tcW w:w="990" w:type="dxa"/>
          </w:tcPr>
          <w:p>
            <w:pPr>
              <w:pStyle w:val="Compact"/>
              <w:jc w:val="left"/>
              <w:spacing w:before="20" w:after="20" w:line="220" w:lineRule="auto"/>
            </w:pPr>
            <w:r>
              <w:rPr>
                <w:sz w:val="13"/>
                <w:szCs w:val="13"/>
              </w:rPr>
              <w:t xml:space="preserve">5.4%</w:t>
            </w:r>
          </w:p>
        </w:tc>
        <w:tc>
          <w:tcPr>
            <w:tcW w:w="944" w:type="dxa"/>
          </w:tcPr>
          <w:p>
            <w:pPr>
              <w:pStyle w:val="Compact"/>
              <w:jc w:val="left"/>
              <w:spacing w:before="20" w:after="20" w:line="220" w:lineRule="auto"/>
            </w:pPr>
            <w:r>
              <w:rPr>
                <w:sz w:val="13"/>
                <w:szCs w:val="13"/>
              </w:rPr>
              <w:t xml:space="preserve">no</w:t>
            </w:r>
          </w:p>
        </w:tc>
      </w:tr>
      <w:tr>
        <w:tc>
          <w:tcPr>
            <w:tcW w:w="4787" w:type="dxa"/>
          </w:tcPr>
          <w:p>
            <w:pPr>
              <w:pStyle w:val="Compact"/>
              <w:jc w:val="left"/>
              <w:spacing w:before="20" w:after="20" w:line="220" w:lineRule="auto"/>
            </w:pPr>
            <w:r>
              <w:rPr>
                <w:sz w:val="13"/>
                <w:szCs w:val="13"/>
              </w:rPr>
              <w:t xml:space="preserve">Etiqa General Insurance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nonlife</w:t>
            </w:r>
          </w:p>
        </w:tc>
        <w:tc>
          <w:tcPr>
            <w:tcW w:w="2497" w:type="dxa"/>
          </w:tcPr>
          <w:p>
            <w:pPr>
              <w:pStyle w:val="Compact"/>
              <w:jc w:val="left"/>
              <w:spacing w:before="20" w:after="20" w:line="220" w:lineRule="auto"/>
            </w:pPr>
            <w:r>
              <w:rPr>
                <w:sz w:val="13"/>
                <w:szCs w:val="13"/>
              </w:rPr>
              <w:t xml:space="preserve">partly captive</w:t>
            </w:r>
          </w:p>
        </w:tc>
        <w:tc>
          <w:tcPr>
            <w:tcW w:w="1985" w:type="dxa"/>
          </w:tcPr>
          <w:p>
            <w:pPr>
              <w:pStyle w:val="Compact"/>
              <w:jc w:val="left"/>
              <w:spacing w:before="20" w:after="20" w:line="220" w:lineRule="auto"/>
            </w:pPr>
            <w:r>
              <w:rPr>
                <w:sz w:val="13"/>
                <w:szCs w:val="13"/>
              </w:rPr>
              <w:t xml:space="preserve">MFRS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7.9%</w:t>
            </w:r>
          </w:p>
        </w:tc>
        <w:tc>
          <w:tcPr>
            <w:tcW w:w="990" w:type="dxa"/>
          </w:tcPr>
          <w:p>
            <w:pPr>
              <w:pStyle w:val="Compact"/>
              <w:jc w:val="left"/>
              <w:spacing w:before="20" w:after="20" w:line="220" w:lineRule="auto"/>
            </w:pPr>
            <w:r>
              <w:rPr>
                <w:sz w:val="13"/>
                <w:szCs w:val="13"/>
              </w:rPr>
              <w:t xml:space="preserve">7.9%</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OUTsurance SA</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2497" w:type="dxa"/>
          </w:tcPr>
          <w:p>
            <w:pPr>
              <w:pStyle w:val="Compact"/>
              <w:jc w:val="left"/>
              <w:spacing w:before="20" w:after="20" w:line="220" w:lineRule="auto"/>
            </w:pPr>
            <w:r>
              <w:rPr>
                <w:sz w:val="13"/>
                <w:szCs w:val="13"/>
              </w:rPr>
              <w:t xml:space="preserve">direct</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22.0%</w:t>
            </w:r>
          </w:p>
        </w:tc>
        <w:tc>
          <w:tcPr>
            <w:tcW w:w="990" w:type="dxa"/>
          </w:tcPr>
          <w:p>
            <w:pPr>
              <w:pStyle w:val="Compact"/>
              <w:jc w:val="left"/>
              <w:spacing w:before="20" w:after="20" w:line="220" w:lineRule="auto"/>
            </w:pPr>
            <w:r>
              <w:rPr>
                <w:sz w:val="13"/>
                <w:szCs w:val="13"/>
              </w:rPr>
              <w:t xml:space="preserve">22.0%</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Santam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2497" w:type="dxa"/>
          </w:tcPr>
          <w:p>
            <w:pPr>
              <w:pStyle w:val="Compact"/>
              <w:jc w:val="left"/>
              <w:spacing w:before="20" w:after="20" w:line="220" w:lineRule="auto"/>
            </w:pPr>
            <w:r>
              <w:rPr>
                <w:sz w:val="13"/>
                <w:szCs w:val="13"/>
              </w:rPr>
              <w:t xml:space="preserve">open</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14.9%</w:t>
            </w:r>
          </w:p>
        </w:tc>
        <w:tc>
          <w:tcPr>
            <w:tcW w:w="990" w:type="dxa"/>
          </w:tcPr>
          <w:p>
            <w:pPr>
              <w:pStyle w:val="Compact"/>
              <w:jc w:val="left"/>
              <w:spacing w:before="20" w:after="20" w:line="220" w:lineRule="auto"/>
            </w:pPr>
            <w:r>
              <w:rPr>
                <w:sz w:val="13"/>
                <w:szCs w:val="13"/>
              </w:rPr>
              <w:t xml:space="preserve">14.9%</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Standard Insurance Limited (Standard 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nonlife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21.2%</w:t>
            </w:r>
          </w:p>
        </w:tc>
        <w:tc>
          <w:tcPr>
            <w:tcW w:w="990" w:type="dxa"/>
          </w:tcPr>
          <w:p>
            <w:pPr>
              <w:pStyle w:val="Compact"/>
              <w:jc w:val="left"/>
              <w:spacing w:before="20" w:after="20" w:line="220" w:lineRule="auto"/>
            </w:pPr>
            <w:r>
              <w:rPr>
                <w:sz w:val="13"/>
                <w:szCs w:val="13"/>
              </w:rPr>
              <w:t xml:space="preserve">21.2%</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BNP Paribas Cardif</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partly captive</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11.8%</w:t>
            </w:r>
          </w:p>
        </w:tc>
        <w:tc>
          <w:tcPr>
            <w:tcW w:w="990" w:type="dxa"/>
          </w:tcPr>
          <w:p>
            <w:pPr>
              <w:pStyle w:val="Compact"/>
              <w:jc w:val="left"/>
              <w:spacing w:before="20" w:after="20" w:line="220" w:lineRule="auto"/>
            </w:pPr>
            <w:r>
              <w:rPr>
                <w:sz w:val="13"/>
                <w:szCs w:val="13"/>
              </w:rPr>
              <w:t xml:space="preserve">11.8%</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Bradesco Seguros (personnel + admin / premiums earned incl. pension)</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Brazilian GAAP managerial</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6.6%</w:t>
            </w:r>
          </w:p>
        </w:tc>
        <w:tc>
          <w:tcPr>
            <w:tcW w:w="990" w:type="dxa"/>
          </w:tcPr>
          <w:p>
            <w:pPr>
              <w:pStyle w:val="Compact"/>
              <w:jc w:val="left"/>
              <w:spacing w:before="20" w:after="20" w:line="220" w:lineRule="auto"/>
            </w:pPr>
            <w:r>
              <w:rPr>
                <w:sz w:val="13"/>
                <w:szCs w:val="13"/>
              </w:rPr>
              <w:t xml:space="preserve">6.6%</w:t>
            </w:r>
          </w:p>
        </w:tc>
        <w:tc>
          <w:tcPr>
            <w:tcW w:w="944" w:type="dxa"/>
          </w:tcPr>
          <w:p>
            <w:pPr>
              <w:pStyle w:val="Compact"/>
              <w:jc w:val="left"/>
              <w:spacing w:before="20" w:after="20" w:line="220" w:lineRule="auto"/>
            </w:pPr>
            <w:r>
              <w:rPr>
                <w:sz w:val="13"/>
                <w:szCs w:val="13"/>
              </w:rPr>
              <w:t xml:space="preserve">no</w:t>
            </w:r>
          </w:p>
        </w:tc>
      </w:tr>
      <w:tr>
        <w:tc>
          <w:tcPr>
            <w:tcW w:w="4787" w:type="dxa"/>
          </w:tcPr>
          <w:p>
            <w:pPr>
              <w:pStyle w:val="Compact"/>
              <w:jc w:val="left"/>
              <w:spacing w:before="20" w:after="20" w:line="220" w:lineRule="auto"/>
            </w:pPr>
            <w:r>
              <w:rPr>
                <w:sz w:val="13"/>
                <w:szCs w:val="13"/>
              </w:rPr>
              <w:t xml:space="preserve">Brasilseg (BB Seguridade) admin / retained earned premiums</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Brazilian GAAP managerial</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6.2%</w:t>
            </w:r>
          </w:p>
        </w:tc>
        <w:tc>
          <w:tcPr>
            <w:tcW w:w="990" w:type="dxa"/>
          </w:tcPr>
          <w:p>
            <w:pPr>
              <w:pStyle w:val="Compact"/>
              <w:jc w:val="left"/>
              <w:spacing w:before="20" w:after="20" w:line="220" w:lineRule="auto"/>
            </w:pPr>
            <w:r>
              <w:rPr>
                <w:sz w:val="13"/>
                <w:szCs w:val="13"/>
              </w:rPr>
              <w:t xml:space="preserve">6.2%</w:t>
            </w:r>
          </w:p>
        </w:tc>
        <w:tc>
          <w:tcPr>
            <w:tcW w:w="944" w:type="dxa"/>
          </w:tcPr>
          <w:p>
            <w:pPr>
              <w:pStyle w:val="Compact"/>
              <w:jc w:val="left"/>
              <w:spacing w:before="20" w:after="20" w:line="220" w:lineRule="auto"/>
            </w:pPr>
            <w:r>
              <w:rPr>
                <w:sz w:val="13"/>
                <w:szCs w:val="13"/>
              </w:rPr>
              <w:t xml:space="preserve">no</w:t>
            </w:r>
          </w:p>
        </w:tc>
      </w:tr>
      <w:tr>
        <w:tc>
          <w:tcPr>
            <w:tcW w:w="4787" w:type="dxa"/>
          </w:tcPr>
          <w:p>
            <w:pPr>
              <w:pStyle w:val="Compact"/>
              <w:jc w:val="left"/>
              <w:spacing w:before="20" w:after="20" w:line="220" w:lineRule="auto"/>
            </w:pPr>
            <w:r>
              <w:rPr>
                <w:sz w:val="13"/>
                <w:szCs w:val="13"/>
              </w:rPr>
              <w:t xml:space="preserve">Credit Agricole Assurances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bank captive</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8.7%</w:t>
            </w:r>
          </w:p>
        </w:tc>
        <w:tc>
          <w:tcPr>
            <w:tcW w:w="990" w:type="dxa"/>
          </w:tcPr>
          <w:p>
            <w:pPr>
              <w:pStyle w:val="Compact"/>
              <w:jc w:val="left"/>
              <w:spacing w:before="20" w:after="20" w:line="220" w:lineRule="auto"/>
            </w:pPr>
            <w:r>
              <w:rPr>
                <w:sz w:val="13"/>
                <w:szCs w:val="13"/>
              </w:rPr>
              <w:t xml:space="preserve">8.7%</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KBC Insurance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bank branches and tied agents</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23.3%</w:t>
            </w:r>
          </w:p>
        </w:tc>
        <w:tc>
          <w:tcPr>
            <w:tcW w:w="990" w:type="dxa"/>
          </w:tcPr>
          <w:p>
            <w:pPr>
              <w:pStyle w:val="Compact"/>
              <w:jc w:val="left"/>
              <w:spacing w:before="20" w:after="20" w:line="220" w:lineRule="auto"/>
            </w:pPr>
            <w:r>
              <w:rPr>
                <w:sz w:val="13"/>
                <w:szCs w:val="13"/>
              </w:rPr>
              <w:t xml:space="preserve">23.3%</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Momentum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open</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23.7%</w:t>
            </w:r>
          </w:p>
        </w:tc>
        <w:tc>
          <w:tcPr>
            <w:tcW w:w="990" w:type="dxa"/>
          </w:tcPr>
          <w:p>
            <w:pPr>
              <w:pStyle w:val="Compact"/>
              <w:jc w:val="left"/>
              <w:spacing w:before="20" w:after="20" w:line="220" w:lineRule="auto"/>
            </w:pPr>
            <w:r>
              <w:rPr>
                <w:sz w:val="13"/>
                <w:szCs w:val="13"/>
              </w:rPr>
              <w:t xml:space="preserve">23.7%</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Old Mutual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open</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30.4%</w:t>
            </w:r>
          </w:p>
        </w:tc>
        <w:tc>
          <w:tcPr>
            <w:tcW w:w="990" w:type="dxa"/>
          </w:tcPr>
          <w:p>
            <w:pPr>
              <w:pStyle w:val="Compact"/>
              <w:jc w:val="left"/>
              <w:spacing w:before="20" w:after="20" w:line="220" w:lineRule="auto"/>
            </w:pPr>
            <w:r>
              <w:rPr>
                <w:sz w:val="13"/>
                <w:szCs w:val="13"/>
              </w:rPr>
              <w:t xml:space="preserve">30.4%</w:t>
            </w:r>
          </w:p>
        </w:tc>
        <w:tc>
          <w:tcPr>
            <w:tcW w:w="944" w:type="dxa"/>
          </w:tcPr>
          <w:p>
            <w:pPr>
              <w:pStyle w:val="Compact"/>
              <w:jc w:val="left"/>
              <w:spacing w:before="20" w:after="20" w:line="220" w:lineRule="auto"/>
            </w:pPr>
            <w:r>
              <w:rPr>
                <w:sz w:val="13"/>
                <w:szCs w:val="13"/>
              </w:rPr>
              <w:t xml:space="preserve">yes</w:t>
            </w:r>
          </w:p>
        </w:tc>
      </w:tr>
      <w:tr>
        <w:tc>
          <w:tcPr>
            <w:tcW w:w="4787" w:type="dxa"/>
          </w:tcPr>
          <w:p>
            <w:pPr>
              <w:pStyle w:val="Compact"/>
              <w:jc w:val="left"/>
              <w:spacing w:before="20" w:after="20" w:line="220" w:lineRule="auto"/>
            </w:pPr>
            <w:r>
              <w:rPr>
                <w:sz w:val="13"/>
                <w:szCs w:val="13"/>
              </w:rPr>
              <w:t xml:space="preserve">Sanlam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497" w:type="dxa"/>
          </w:tcPr>
          <w:p>
            <w:pPr>
              <w:pStyle w:val="Compact"/>
              <w:jc w:val="left"/>
              <w:spacing w:before="20" w:after="20" w:line="220" w:lineRule="auto"/>
            </w:pPr>
            <w:r>
              <w:rPr>
                <w:sz w:val="13"/>
                <w:szCs w:val="13"/>
              </w:rPr>
              <w:t xml:space="preserve">open</w:t>
            </w:r>
          </w:p>
        </w:tc>
        <w:tc>
          <w:tcPr>
            <w:tcW w:w="1985" w:type="dxa"/>
          </w:tcPr>
          <w:p>
            <w:pPr>
              <w:pStyle w:val="Compact"/>
              <w:jc w:val="left"/>
              <w:spacing w:before="20" w:after="20" w:line="220" w:lineRule="auto"/>
            </w:pPr>
            <w:r>
              <w:rPr>
                <w:sz w:val="13"/>
                <w:szCs w:val="13"/>
              </w:rPr>
              <w:t xml:space="preserve">IFRS 17</w:t>
            </w:r>
          </w:p>
        </w:tc>
        <w:tc>
          <w:tcPr>
            <w:tcW w:w="1042"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38.1%</w:t>
            </w:r>
          </w:p>
        </w:tc>
        <w:tc>
          <w:tcPr>
            <w:tcW w:w="990" w:type="dxa"/>
          </w:tcPr>
          <w:p>
            <w:pPr>
              <w:pStyle w:val="Compact"/>
              <w:jc w:val="left"/>
              <w:spacing w:before="20" w:after="20" w:line="220" w:lineRule="auto"/>
            </w:pPr>
            <w:r>
              <w:rPr>
                <w:sz w:val="13"/>
                <w:szCs w:val="13"/>
              </w:rPr>
              <w:t xml:space="preserve">38.1%</w:t>
            </w:r>
          </w:p>
        </w:tc>
        <w:tc>
          <w:tcPr>
            <w:tcW w:w="944"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M2; raw values link to data_ids in the Raw data tab.</w:t>
      </w:r>
    </w:p>
    <w:bookmarkEnd w:id="64"/>
    <w:bookmarkStart w:id="65" w:name="Xd95319b1f2d795f3cc1038587ca057b330b0391"/>
    <w:p>
      <w:pPr>
        <w:pStyle w:val="Heading4"/>
      </w:pPr>
      <w:r>
        <w:t xml:space="preserve">M3: Acquisition cost (amortised acquisition cash flows or commission) / insurance revenue</w:t>
      </w:r>
    </w:p>
    <w:tbl>
      <w:tblPr>
        <w:tblStyle w:val="Table"/>
        <w:tblLook w:firstRow="1" w:lastRow="0" w:firstColumn="0" w:lastColumn="0" w:noHBand="0" w:noVBand="0" w:val="0020"/>
        <w:jc w:val="start"/>
        <w:tblW w:w="14567" w:type="dxa"/>
        <w:tblLayout w:type="fixed"/>
      </w:tblPr>
      <w:tblGrid>
        <w:gridCol w:w="4613"/>
        <w:gridCol w:w="774"/>
        <w:gridCol w:w="918"/>
        <w:gridCol w:w="1323"/>
        <w:gridCol w:w="3275"/>
        <w:gridCol w:w="1081"/>
        <w:gridCol w:w="630"/>
        <w:gridCol w:w="990"/>
        <w:gridCol w:w="963"/>
      </w:tblGrid>
      <w:tr>
        <w:trPr>
          <w:tblHeader w:val="true"/>
        </w:trPr>
        <w:tc>
          <w:tcPr>
            <w:tcW w:w="4613"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1323" w:type="dxa"/>
          </w:tcPr>
          <w:p>
            <w:pPr>
              <w:pStyle w:val="Compact"/>
              <w:jc w:val="left"/>
              <w:spacing w:before="20" w:after="20" w:line="220" w:lineRule="auto"/>
            </w:pPr>
            <w:r>
              <w:rPr>
                <w:sz w:val="13"/>
                <w:szCs w:val="13"/>
              </w:rPr>
              <w:t xml:space="preserve">Distribution</w:t>
            </w:r>
          </w:p>
        </w:tc>
        <w:tc>
          <w:tcPr>
            <w:tcW w:w="3275" w:type="dxa"/>
          </w:tcPr>
          <w:p>
            <w:pPr>
              <w:pStyle w:val="Compact"/>
              <w:jc w:val="left"/>
              <w:spacing w:before="20" w:after="20" w:line="220" w:lineRule="auto"/>
            </w:pPr>
            <w:r>
              <w:rPr>
                <w:sz w:val="13"/>
                <w:szCs w:val="13"/>
              </w:rPr>
              <w:t xml:space="preserve">Basis</w:t>
            </w:r>
          </w:p>
        </w:tc>
        <w:tc>
          <w:tcPr>
            <w:tcW w:w="1081"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63" w:type="dxa"/>
          </w:tcPr>
          <w:p>
            <w:pPr>
              <w:pStyle w:val="Compact"/>
              <w:jc w:val="left"/>
              <w:spacing w:before="20" w:after="20" w:line="220" w:lineRule="auto"/>
            </w:pPr>
            <w:r>
              <w:rPr>
                <w:sz w:val="13"/>
                <w:szCs w:val="13"/>
              </w:rPr>
              <w:t xml:space="preserve">In medians</w:t>
            </w:r>
          </w:p>
        </w:tc>
      </w:tr>
      <w:tr>
        <w:tc>
          <w:tcPr>
            <w:tcW w:w="4613" w:type="dxa"/>
          </w:tcPr>
          <w:p>
            <w:pPr>
              <w:pStyle w:val="Compact"/>
              <w:jc w:val="left"/>
              <w:spacing w:before="20" w:after="20" w:line="220" w:lineRule="auto"/>
            </w:pPr>
            <w:r>
              <w:rPr>
                <w:sz w:val="13"/>
                <w:szCs w:val="13"/>
              </w:rPr>
              <w:t xml:space="preserve">AFS Life Insurance SA (allocated)</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life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8.4%</w:t>
            </w:r>
          </w:p>
        </w:tc>
        <w:tc>
          <w:tcPr>
            <w:tcW w:w="990" w:type="dxa"/>
          </w:tcPr>
          <w:p>
            <w:pPr>
              <w:pStyle w:val="Compact"/>
              <w:jc w:val="left"/>
              <w:spacing w:before="20" w:after="20" w:line="220" w:lineRule="auto"/>
            </w:pPr>
            <w:r>
              <w:rPr>
                <w:sz w:val="13"/>
                <w:szCs w:val="13"/>
              </w:rPr>
              <w:t xml:space="preserve">8.4%</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AFS Non-Life Insurance SA (allocated)</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nonlife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13.0%</w:t>
            </w:r>
          </w:p>
        </w:tc>
        <w:tc>
          <w:tcPr>
            <w:tcW w:w="990" w:type="dxa"/>
          </w:tcPr>
          <w:p>
            <w:pPr>
              <w:pStyle w:val="Compact"/>
              <w:jc w:val="left"/>
              <w:spacing w:before="20" w:after="20" w:line="220" w:lineRule="auto"/>
            </w:pPr>
            <w:r>
              <w:rPr>
                <w:sz w:val="13"/>
                <w:szCs w:val="13"/>
              </w:rPr>
              <w:t xml:space="preserve">13.0%</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AFS Insurance SA (allocated amortisation of acquisition cash flows)</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10.8%</w:t>
            </w:r>
          </w:p>
        </w:tc>
        <w:tc>
          <w:tcPr>
            <w:tcW w:w="990" w:type="dxa"/>
          </w:tcPr>
          <w:p>
            <w:pPr>
              <w:pStyle w:val="Compact"/>
              <w:jc w:val="left"/>
              <w:spacing w:before="20" w:after="20" w:line="220" w:lineRule="auto"/>
            </w:pPr>
            <w:r>
              <w:rPr>
                <w:sz w:val="13"/>
                <w:szCs w:val="13"/>
              </w:rPr>
              <w:t xml:space="preserve">10.8%</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AFS Insurance SA excluding fee to Absa Bank (cash view)</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6.7%</w:t>
            </w:r>
          </w:p>
        </w:tc>
        <w:tc>
          <w:tcPr>
            <w:tcW w:w="990" w:type="dxa"/>
          </w:tcPr>
          <w:p>
            <w:pPr>
              <w:pStyle w:val="Compact"/>
              <w:jc w:val="left"/>
              <w:spacing w:before="20" w:after="20" w:line="220" w:lineRule="auto"/>
            </w:pPr>
            <w:r>
              <w:rPr>
                <w:sz w:val="13"/>
                <w:szCs w:val="13"/>
              </w:rPr>
              <w:t xml:space="preserve">6.7%</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AFS Insurance SA, cash acquisition flows (allocated)</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 cash view</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15.3%</w:t>
            </w:r>
          </w:p>
        </w:tc>
        <w:tc>
          <w:tcPr>
            <w:tcW w:w="990" w:type="dxa"/>
          </w:tcPr>
          <w:p>
            <w:pPr>
              <w:pStyle w:val="Compact"/>
              <w:jc w:val="left"/>
              <w:spacing w:before="20" w:after="20" w:line="220" w:lineRule="auto"/>
            </w:pPr>
            <w:r>
              <w:rPr>
                <w:sz w:val="13"/>
                <w:szCs w:val="13"/>
              </w:rPr>
              <w:t xml:space="preserve">15.3%</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Capitec Life (Capitec)</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FY2026 (Feb)</w:t>
            </w:r>
          </w:p>
        </w:tc>
        <w:tc>
          <w:tcPr>
            <w:tcW w:w="630" w:type="dxa"/>
          </w:tcPr>
          <w:p>
            <w:pPr>
              <w:pStyle w:val="Compact"/>
              <w:jc w:val="left"/>
              <w:spacing w:before="20" w:after="20" w:line="220" w:lineRule="auto"/>
            </w:pPr>
            <w:r>
              <w:rPr>
                <w:sz w:val="13"/>
                <w:szCs w:val="13"/>
              </w:rPr>
              <w:t xml:space="preserve">0.1%</w:t>
            </w:r>
          </w:p>
        </w:tc>
        <w:tc>
          <w:tcPr>
            <w:tcW w:w="990" w:type="dxa"/>
          </w:tcPr>
          <w:p>
            <w:pPr>
              <w:pStyle w:val="Compact"/>
              <w:jc w:val="left"/>
              <w:spacing w:before="20" w:after="20" w:line="220" w:lineRule="auto"/>
            </w:pPr>
            <w:r>
              <w:rPr>
                <w:sz w:val="13"/>
                <w:szCs w:val="13"/>
              </w:rPr>
              <w:t xml:space="preserve">0.1%</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Discovery Life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life</w:t>
            </w:r>
          </w:p>
        </w:tc>
        <w:tc>
          <w:tcPr>
            <w:tcW w:w="1323" w:type="dxa"/>
          </w:tcPr>
          <w:p>
            <w:pPr>
              <w:pStyle w:val="Compact"/>
              <w:jc w:val="left"/>
              <w:spacing w:before="20" w:after="20" w:line="220" w:lineRule="auto"/>
            </w:pPr>
            <w:r>
              <w:rPr>
                <w:sz w:val="13"/>
                <w:szCs w:val="13"/>
              </w:rPr>
              <w:t xml:space="preserve">open</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12.7%</w:t>
            </w:r>
          </w:p>
        </w:tc>
        <w:tc>
          <w:tcPr>
            <w:tcW w:w="990" w:type="dxa"/>
          </w:tcPr>
          <w:p>
            <w:pPr>
              <w:pStyle w:val="Compact"/>
              <w:jc w:val="left"/>
              <w:spacing w:before="20" w:after="20" w:line="220" w:lineRule="auto"/>
            </w:pPr>
            <w:r>
              <w:rPr>
                <w:sz w:val="13"/>
                <w:szCs w:val="13"/>
              </w:rPr>
              <w:t xml:space="preserve">12.7%</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Liberty Group (Standard 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1323" w:type="dxa"/>
          </w:tcPr>
          <w:p>
            <w:pPr>
              <w:pStyle w:val="Compact"/>
              <w:jc w:val="left"/>
              <w:spacing w:before="20" w:after="20" w:line="220" w:lineRule="auto"/>
            </w:pPr>
            <w:r>
              <w:rPr>
                <w:sz w:val="13"/>
                <w:szCs w:val="13"/>
              </w:rPr>
              <w:t xml:space="preserve">mixed</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8.7%</w:t>
            </w:r>
          </w:p>
        </w:tc>
        <w:tc>
          <w:tcPr>
            <w:tcW w:w="990" w:type="dxa"/>
          </w:tcPr>
          <w:p>
            <w:pPr>
              <w:pStyle w:val="Compact"/>
              <w:jc w:val="left"/>
              <w:spacing w:before="20" w:after="20" w:line="220" w:lineRule="auto"/>
            </w:pPr>
            <w:r>
              <w:rPr>
                <w:sz w:val="13"/>
                <w:szCs w:val="13"/>
              </w:rPr>
              <w:t xml:space="preserve">8.7%</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Scottish Widows Limited (Lloyds)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life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1.9%</w:t>
            </w:r>
          </w:p>
        </w:tc>
        <w:tc>
          <w:tcPr>
            <w:tcW w:w="990" w:type="dxa"/>
          </w:tcPr>
          <w:p>
            <w:pPr>
              <w:pStyle w:val="Compact"/>
              <w:jc w:val="left"/>
              <w:spacing w:before="20" w:after="20" w:line="220" w:lineRule="auto"/>
            </w:pPr>
            <w:r>
              <w:rPr>
                <w:sz w:val="13"/>
                <w:szCs w:val="13"/>
              </w:rPr>
              <w:t xml:space="preserve">1.9%</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VidaCaixa (CaixaBank)</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life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19.8%</w:t>
            </w:r>
          </w:p>
        </w:tc>
        <w:tc>
          <w:tcPr>
            <w:tcW w:w="990" w:type="dxa"/>
          </w:tcPr>
          <w:p>
            <w:pPr>
              <w:pStyle w:val="Compact"/>
              <w:jc w:val="left"/>
              <w:spacing w:before="20" w:after="20" w:line="220" w:lineRule="auto"/>
            </w:pPr>
            <w:r>
              <w:rPr>
                <w:sz w:val="13"/>
                <w:szCs w:val="13"/>
              </w:rPr>
              <w:t xml:space="preserve">19.8%</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Discovery Insure</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1323" w:type="dxa"/>
          </w:tcPr>
          <w:p>
            <w:pPr>
              <w:pStyle w:val="Compact"/>
              <w:jc w:val="left"/>
              <w:spacing w:before="20" w:after="20" w:line="220" w:lineRule="auto"/>
            </w:pPr>
            <w:r>
              <w:rPr>
                <w:sz w:val="13"/>
                <w:szCs w:val="13"/>
              </w:rPr>
              <w:t xml:space="preserve">open and direct</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15.4%</w:t>
            </w:r>
          </w:p>
        </w:tc>
        <w:tc>
          <w:tcPr>
            <w:tcW w:w="990" w:type="dxa"/>
          </w:tcPr>
          <w:p>
            <w:pPr>
              <w:pStyle w:val="Compact"/>
              <w:jc w:val="left"/>
              <w:spacing w:before="20" w:after="20" w:line="220" w:lineRule="auto"/>
            </w:pPr>
            <w:r>
              <w:rPr>
                <w:sz w:val="13"/>
                <w:szCs w:val="13"/>
              </w:rPr>
              <w:t xml:space="preserve">15.4%</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Etiqa General Insurance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nonlife</w:t>
            </w:r>
          </w:p>
        </w:tc>
        <w:tc>
          <w:tcPr>
            <w:tcW w:w="1323" w:type="dxa"/>
          </w:tcPr>
          <w:p>
            <w:pPr>
              <w:pStyle w:val="Compact"/>
              <w:jc w:val="left"/>
              <w:spacing w:before="20" w:after="20" w:line="220" w:lineRule="auto"/>
            </w:pPr>
            <w:r>
              <w:rPr>
                <w:sz w:val="13"/>
                <w:szCs w:val="13"/>
              </w:rPr>
              <w:t xml:space="preserve">partly captive</w:t>
            </w:r>
          </w:p>
        </w:tc>
        <w:tc>
          <w:tcPr>
            <w:tcW w:w="3275" w:type="dxa"/>
          </w:tcPr>
          <w:p>
            <w:pPr>
              <w:pStyle w:val="Compact"/>
              <w:jc w:val="left"/>
              <w:spacing w:before="20" w:after="20" w:line="220" w:lineRule="auto"/>
            </w:pPr>
            <w:r>
              <w:rPr>
                <w:sz w:val="13"/>
                <w:szCs w:val="13"/>
              </w:rPr>
              <w:t xml:space="preserve">MFRS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5.6%</w:t>
            </w:r>
          </w:p>
        </w:tc>
        <w:tc>
          <w:tcPr>
            <w:tcW w:w="990" w:type="dxa"/>
          </w:tcPr>
          <w:p>
            <w:pPr>
              <w:pStyle w:val="Compact"/>
              <w:jc w:val="left"/>
              <w:spacing w:before="20" w:after="20" w:line="220" w:lineRule="auto"/>
            </w:pPr>
            <w:r>
              <w:rPr>
                <w:sz w:val="13"/>
                <w:szCs w:val="13"/>
              </w:rPr>
              <w:t xml:space="preserve">5.6%</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Santam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1323" w:type="dxa"/>
          </w:tcPr>
          <w:p>
            <w:pPr>
              <w:pStyle w:val="Compact"/>
              <w:jc w:val="left"/>
              <w:spacing w:before="20" w:after="20" w:line="220" w:lineRule="auto"/>
            </w:pPr>
            <w:r>
              <w:rPr>
                <w:sz w:val="13"/>
                <w:szCs w:val="13"/>
              </w:rPr>
              <w:t xml:space="preserve">open</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12.4%</w:t>
            </w:r>
          </w:p>
        </w:tc>
        <w:tc>
          <w:tcPr>
            <w:tcW w:w="990" w:type="dxa"/>
          </w:tcPr>
          <w:p>
            <w:pPr>
              <w:pStyle w:val="Compact"/>
              <w:jc w:val="left"/>
              <w:spacing w:before="20" w:after="20" w:line="220" w:lineRule="auto"/>
            </w:pPr>
            <w:r>
              <w:rPr>
                <w:sz w:val="13"/>
                <w:szCs w:val="13"/>
              </w:rPr>
              <w:t xml:space="preserve">12.4%</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Standard Insurance Limited (Standard 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nonlife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16.8%</w:t>
            </w:r>
          </w:p>
        </w:tc>
        <w:tc>
          <w:tcPr>
            <w:tcW w:w="990" w:type="dxa"/>
          </w:tcPr>
          <w:p>
            <w:pPr>
              <w:pStyle w:val="Compact"/>
              <w:jc w:val="left"/>
              <w:spacing w:before="20" w:after="20" w:line="220" w:lineRule="auto"/>
            </w:pPr>
            <w:r>
              <w:rPr>
                <w:sz w:val="13"/>
                <w:szCs w:val="13"/>
              </w:rPr>
              <w:t xml:space="preserve">16.8%</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BNP Paribas Cardif</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partly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51.4%</w:t>
            </w:r>
          </w:p>
        </w:tc>
        <w:tc>
          <w:tcPr>
            <w:tcW w:w="990" w:type="dxa"/>
          </w:tcPr>
          <w:p>
            <w:pPr>
              <w:pStyle w:val="Compact"/>
              <w:jc w:val="left"/>
              <w:spacing w:before="20" w:after="20" w:line="220" w:lineRule="auto"/>
            </w:pPr>
            <w:r>
              <w:rPr>
                <w:sz w:val="13"/>
                <w:szCs w:val="13"/>
              </w:rPr>
              <w:t xml:space="preserve">51.4%</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Bradesco Seguros (selling expenses / premiums earned)</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Brazilian GAAP managerial</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6.7%</w:t>
            </w:r>
          </w:p>
        </w:tc>
        <w:tc>
          <w:tcPr>
            <w:tcW w:w="990" w:type="dxa"/>
          </w:tcPr>
          <w:p>
            <w:pPr>
              <w:pStyle w:val="Compact"/>
              <w:jc w:val="left"/>
              <w:spacing w:before="20" w:after="20" w:line="220" w:lineRule="auto"/>
            </w:pPr>
            <w:r>
              <w:rPr>
                <w:sz w:val="13"/>
                <w:szCs w:val="13"/>
              </w:rPr>
              <w:t xml:space="preserve">6.7%</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Brasilseg (BB Seguridade)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 numerator from SUSEP acquisition costs</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28.5%</w:t>
            </w:r>
          </w:p>
        </w:tc>
        <w:tc>
          <w:tcPr>
            <w:tcW w:w="990" w:type="dxa"/>
          </w:tcPr>
          <w:p>
            <w:pPr>
              <w:pStyle w:val="Compact"/>
              <w:jc w:val="left"/>
              <w:spacing w:before="20" w:after="20" w:line="220" w:lineRule="auto"/>
            </w:pPr>
            <w:r>
              <w:rPr>
                <w:sz w:val="13"/>
                <w:szCs w:val="13"/>
              </w:rPr>
              <w:t xml:space="preserve">28.5%</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Credit Agricole Assurances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27.0%</w:t>
            </w:r>
          </w:p>
        </w:tc>
        <w:tc>
          <w:tcPr>
            <w:tcW w:w="990" w:type="dxa"/>
          </w:tcPr>
          <w:p>
            <w:pPr>
              <w:pStyle w:val="Compact"/>
              <w:jc w:val="left"/>
              <w:spacing w:before="20" w:after="20" w:line="220" w:lineRule="auto"/>
            </w:pPr>
            <w:r>
              <w:rPr>
                <w:sz w:val="13"/>
                <w:szCs w:val="13"/>
              </w:rPr>
              <w:t xml:space="preserve">27.0%</w:t>
            </w:r>
          </w:p>
        </w:tc>
        <w:tc>
          <w:tcPr>
            <w:tcW w:w="963" w:type="dxa"/>
          </w:tcPr>
          <w:p>
            <w:pPr>
              <w:pStyle w:val="Compact"/>
              <w:jc w:val="left"/>
              <w:spacing w:before="20" w:after="20" w:line="220" w:lineRule="auto"/>
            </w:pPr>
            <w:r>
              <w:rPr>
                <w:sz w:val="13"/>
                <w:szCs w:val="13"/>
              </w:rPr>
              <w:t xml:space="preserve">no</w:t>
            </w:r>
          </w:p>
        </w:tc>
      </w:tr>
      <w:tr>
        <w:tc>
          <w:tcPr>
            <w:tcW w:w="4613" w:type="dxa"/>
          </w:tcPr>
          <w:p>
            <w:pPr>
              <w:pStyle w:val="Compact"/>
              <w:jc w:val="left"/>
              <w:spacing w:before="20" w:after="20" w:line="220" w:lineRule="auto"/>
            </w:pPr>
            <w:r>
              <w:rPr>
                <w:sz w:val="13"/>
                <w:szCs w:val="13"/>
              </w:rPr>
              <w:t xml:space="preserve">Etiqa (Maybank insurance and takaful segment)</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partly captive</w:t>
            </w:r>
          </w:p>
        </w:tc>
        <w:tc>
          <w:tcPr>
            <w:tcW w:w="3275" w:type="dxa"/>
          </w:tcPr>
          <w:p>
            <w:pPr>
              <w:pStyle w:val="Compact"/>
              <w:jc w:val="left"/>
              <w:spacing w:before="20" w:after="20" w:line="220" w:lineRule="auto"/>
            </w:pPr>
            <w:r>
              <w:rPr>
                <w:sz w:val="13"/>
                <w:szCs w:val="13"/>
              </w:rPr>
              <w:t xml:space="preserve">MFRS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11.1%</w:t>
            </w:r>
          </w:p>
        </w:tc>
        <w:tc>
          <w:tcPr>
            <w:tcW w:w="990" w:type="dxa"/>
          </w:tcPr>
          <w:p>
            <w:pPr>
              <w:pStyle w:val="Compact"/>
              <w:jc w:val="left"/>
              <w:spacing w:before="20" w:after="20" w:line="220" w:lineRule="auto"/>
            </w:pPr>
            <w:r>
              <w:rPr>
                <w:sz w:val="13"/>
                <w:szCs w:val="13"/>
              </w:rPr>
              <w:t xml:space="preserve">11.1%</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FirstRand insurance activities (FNB Life, FNB STI)</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(Jun)</w:t>
            </w:r>
          </w:p>
        </w:tc>
        <w:tc>
          <w:tcPr>
            <w:tcW w:w="630" w:type="dxa"/>
          </w:tcPr>
          <w:p>
            <w:pPr>
              <w:pStyle w:val="Compact"/>
              <w:jc w:val="left"/>
              <w:spacing w:before="20" w:after="20" w:line="220" w:lineRule="auto"/>
            </w:pPr>
            <w:r>
              <w:rPr>
                <w:sz w:val="13"/>
                <w:szCs w:val="13"/>
              </w:rPr>
              <w:t xml:space="preserve">5.3%</w:t>
            </w:r>
          </w:p>
        </w:tc>
        <w:tc>
          <w:tcPr>
            <w:tcW w:w="990" w:type="dxa"/>
          </w:tcPr>
          <w:p>
            <w:pPr>
              <w:pStyle w:val="Compact"/>
              <w:jc w:val="left"/>
              <w:spacing w:before="20" w:after="20" w:line="220" w:lineRule="auto"/>
            </w:pPr>
            <w:r>
              <w:rPr>
                <w:sz w:val="13"/>
                <w:szCs w:val="13"/>
              </w:rPr>
              <w:t xml:space="preserve">5.3%</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Momentum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open</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10.1%</w:t>
            </w:r>
          </w:p>
        </w:tc>
        <w:tc>
          <w:tcPr>
            <w:tcW w:w="990" w:type="dxa"/>
          </w:tcPr>
          <w:p>
            <w:pPr>
              <w:pStyle w:val="Compact"/>
              <w:jc w:val="left"/>
              <w:spacing w:before="20" w:after="20" w:line="220" w:lineRule="auto"/>
            </w:pPr>
            <w:r>
              <w:rPr>
                <w:sz w:val="13"/>
                <w:szCs w:val="13"/>
              </w:rPr>
              <w:t xml:space="preserve">10.1%</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Nedbank Insurance</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bank captive</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15.7%</w:t>
            </w:r>
          </w:p>
        </w:tc>
        <w:tc>
          <w:tcPr>
            <w:tcW w:w="990" w:type="dxa"/>
          </w:tcPr>
          <w:p>
            <w:pPr>
              <w:pStyle w:val="Compact"/>
              <w:jc w:val="left"/>
              <w:spacing w:before="20" w:after="20" w:line="220" w:lineRule="auto"/>
            </w:pPr>
            <w:r>
              <w:rPr>
                <w:sz w:val="13"/>
                <w:szCs w:val="13"/>
              </w:rPr>
              <w:t xml:space="preserve">15.7%</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Old Mutual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open</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14.9%</w:t>
            </w:r>
          </w:p>
        </w:tc>
        <w:tc>
          <w:tcPr>
            <w:tcW w:w="990" w:type="dxa"/>
          </w:tcPr>
          <w:p>
            <w:pPr>
              <w:pStyle w:val="Compact"/>
              <w:jc w:val="left"/>
              <w:spacing w:before="20" w:after="20" w:line="220" w:lineRule="auto"/>
            </w:pPr>
            <w:r>
              <w:rPr>
                <w:sz w:val="13"/>
                <w:szCs w:val="13"/>
              </w:rPr>
              <w:t xml:space="preserve">14.9%</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Sanlam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open</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4.3%</w:t>
            </w:r>
          </w:p>
        </w:tc>
        <w:tc>
          <w:tcPr>
            <w:tcW w:w="990" w:type="dxa"/>
          </w:tcPr>
          <w:p>
            <w:pPr>
              <w:pStyle w:val="Compact"/>
              <w:jc w:val="left"/>
              <w:spacing w:before="20" w:after="20" w:line="220" w:lineRule="auto"/>
            </w:pPr>
            <w:r>
              <w:rPr>
                <w:sz w:val="13"/>
                <w:szCs w:val="13"/>
              </w:rPr>
              <w:t xml:space="preserve">4.3%</w:t>
            </w:r>
          </w:p>
        </w:tc>
        <w:tc>
          <w:tcPr>
            <w:tcW w:w="963" w:type="dxa"/>
          </w:tcPr>
          <w:p>
            <w:pPr>
              <w:pStyle w:val="Compact"/>
              <w:jc w:val="left"/>
              <w:spacing w:before="20" w:after="20" w:line="220" w:lineRule="auto"/>
            </w:pPr>
            <w:r>
              <w:rPr>
                <w:sz w:val="13"/>
                <w:szCs w:val="13"/>
              </w:rPr>
              <w:t xml:space="preserve">yes</w:t>
            </w:r>
          </w:p>
        </w:tc>
      </w:tr>
      <w:tr>
        <w:tc>
          <w:tcPr>
            <w:tcW w:w="4613" w:type="dxa"/>
          </w:tcPr>
          <w:p>
            <w:pPr>
              <w:pStyle w:val="Compact"/>
              <w:jc w:val="left"/>
              <w:spacing w:before="20" w:after="20" w:line="220" w:lineRule="auto"/>
            </w:pPr>
            <w:r>
              <w:rPr>
                <w:sz w:val="13"/>
                <w:szCs w:val="13"/>
              </w:rPr>
              <w:t xml:space="preserve">Standard Bank Group consolidated (includes Liberty)</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composite</w:t>
            </w:r>
          </w:p>
        </w:tc>
        <w:tc>
          <w:tcPr>
            <w:tcW w:w="1323" w:type="dxa"/>
          </w:tcPr>
          <w:p>
            <w:pPr>
              <w:pStyle w:val="Compact"/>
              <w:jc w:val="left"/>
              <w:spacing w:before="20" w:after="20" w:line="220" w:lineRule="auto"/>
            </w:pPr>
            <w:r>
              <w:rPr>
                <w:sz w:val="13"/>
                <w:szCs w:val="13"/>
              </w:rPr>
              <w:t xml:space="preserve">mixed</w:t>
            </w:r>
          </w:p>
        </w:tc>
        <w:tc>
          <w:tcPr>
            <w:tcW w:w="3275" w:type="dxa"/>
          </w:tcPr>
          <w:p>
            <w:pPr>
              <w:pStyle w:val="Compact"/>
              <w:jc w:val="left"/>
              <w:spacing w:before="20" w:after="20" w:line="220" w:lineRule="auto"/>
            </w:pPr>
            <w:r>
              <w:rPr>
                <w:sz w:val="13"/>
                <w:szCs w:val="13"/>
              </w:rPr>
              <w:t xml:space="preserve">IFRS 17</w:t>
            </w:r>
          </w:p>
        </w:tc>
        <w:tc>
          <w:tcPr>
            <w:tcW w:w="1081"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8.4%</w:t>
            </w:r>
          </w:p>
        </w:tc>
        <w:tc>
          <w:tcPr>
            <w:tcW w:w="990" w:type="dxa"/>
          </w:tcPr>
          <w:p>
            <w:pPr>
              <w:pStyle w:val="Compact"/>
              <w:jc w:val="left"/>
              <w:spacing w:before="20" w:after="20" w:line="220" w:lineRule="auto"/>
            </w:pPr>
            <w:r>
              <w:rPr>
                <w:sz w:val="13"/>
                <w:szCs w:val="13"/>
              </w:rPr>
              <w:t xml:space="preserve">8.4%</w:t>
            </w:r>
          </w:p>
        </w:tc>
        <w:tc>
          <w:tcPr>
            <w:tcW w:w="963" w:type="dxa"/>
          </w:tcPr>
          <w:p>
            <w:pPr>
              <w:pStyle w:val="Compact"/>
              <w:jc w:val="left"/>
              <w:spacing w:before="20" w:after="20" w:line="220" w:lineRule="auto"/>
            </w:pPr>
            <w:r>
              <w:rPr>
                <w:sz w:val="13"/>
                <w:szCs w:val="13"/>
              </w:rPr>
              <w:t xml:space="preserve">no</w:t>
            </w:r>
          </w:p>
        </w:tc>
      </w:tr>
    </w:tbl>
    <w:p>
      <w:pPr>
        <w:pStyle w:val="BodyText"/>
      </w:pPr>
      <w:r>
        <w:t xml:space="preserve">Source: afs_cost_benchmark.xlsx, Benchmark tab rows M3; raw values link to data_ids in the Raw data tab.</w:t>
      </w:r>
    </w:p>
    <w:bookmarkEnd w:id="65"/>
    <w:bookmarkStart w:id="66" w:name="X9834b9c7e7672c2268cd18afd1b0fd64891304b"/>
    <w:p>
      <w:pPr>
        <w:pStyle w:val="Heading4"/>
      </w:pPr>
      <w:r>
        <w:t xml:space="preserve">M4: Acquisition cost / gross written premium</w:t>
      </w:r>
    </w:p>
    <w:tbl>
      <w:tblPr>
        <w:tblStyle w:val="Table"/>
        <w:tblLook w:firstRow="1" w:lastRow="0" w:firstColumn="0" w:lastColumn="0" w:noHBand="0" w:noVBand="0" w:val="0020"/>
        <w:jc w:val="start"/>
        <w:tblW w:w="14568" w:type="dxa"/>
        <w:tblLayout w:type="fixed"/>
      </w:tblPr>
      <w:tblGrid>
        <w:gridCol w:w="4295"/>
        <w:gridCol w:w="774"/>
        <w:gridCol w:w="918"/>
        <w:gridCol w:w="1263"/>
        <w:gridCol w:w="3642"/>
        <w:gridCol w:w="1089"/>
        <w:gridCol w:w="630"/>
        <w:gridCol w:w="990"/>
        <w:gridCol w:w="967"/>
      </w:tblGrid>
      <w:tr>
        <w:trPr>
          <w:tblHeader w:val="true"/>
        </w:trPr>
        <w:tc>
          <w:tcPr>
            <w:tcW w:w="4295"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1263" w:type="dxa"/>
          </w:tcPr>
          <w:p>
            <w:pPr>
              <w:pStyle w:val="Compact"/>
              <w:jc w:val="left"/>
              <w:spacing w:before="20" w:after="20" w:line="220" w:lineRule="auto"/>
            </w:pPr>
            <w:r>
              <w:rPr>
                <w:sz w:val="13"/>
                <w:szCs w:val="13"/>
              </w:rPr>
              <w:t xml:space="preserve">Distribution</w:t>
            </w:r>
          </w:p>
        </w:tc>
        <w:tc>
          <w:tcPr>
            <w:tcW w:w="3642" w:type="dxa"/>
          </w:tcPr>
          <w:p>
            <w:pPr>
              <w:pStyle w:val="Compact"/>
              <w:jc w:val="left"/>
              <w:spacing w:before="20" w:after="20" w:line="220" w:lineRule="auto"/>
            </w:pPr>
            <w:r>
              <w:rPr>
                <w:sz w:val="13"/>
                <w:szCs w:val="13"/>
              </w:rPr>
              <w:t xml:space="preserve">Basis</w:t>
            </w:r>
          </w:p>
        </w:tc>
        <w:tc>
          <w:tcPr>
            <w:tcW w:w="1089"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67" w:type="dxa"/>
          </w:tcPr>
          <w:p>
            <w:pPr>
              <w:pStyle w:val="Compact"/>
              <w:jc w:val="left"/>
              <w:spacing w:before="20" w:after="20" w:line="220" w:lineRule="auto"/>
            </w:pPr>
            <w:r>
              <w:rPr>
                <w:sz w:val="13"/>
                <w:szCs w:val="13"/>
              </w:rPr>
              <w:t xml:space="preserve">In medians</w:t>
            </w:r>
          </w:p>
        </w:tc>
      </w:tr>
      <w:tr>
        <w:tc>
          <w:tcPr>
            <w:tcW w:w="4295" w:type="dxa"/>
          </w:tcPr>
          <w:p>
            <w:pPr>
              <w:pStyle w:val="Compact"/>
              <w:jc w:val="left"/>
              <w:spacing w:before="20" w:after="20" w:line="220" w:lineRule="auto"/>
            </w:pPr>
            <w:r>
              <w:rPr>
                <w:sz w:val="13"/>
                <w:szCs w:val="13"/>
              </w:rPr>
              <w:t xml:space="preserve">AFS Life Insurance SA (allocated amortisation / net premiums)</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life</w:t>
            </w:r>
          </w:p>
        </w:tc>
        <w:tc>
          <w:tcPr>
            <w:tcW w:w="1263" w:type="dxa"/>
          </w:tcPr>
          <w:p>
            <w:pPr>
              <w:pStyle w:val="Compact"/>
              <w:jc w:val="left"/>
              <w:spacing w:before="20" w:after="20" w:line="220" w:lineRule="auto"/>
            </w:pPr>
            <w:r>
              <w:rPr>
                <w:sz w:val="13"/>
                <w:szCs w:val="13"/>
              </w:rPr>
              <w:t xml:space="preserve">bank captive</w:t>
            </w:r>
          </w:p>
        </w:tc>
        <w:tc>
          <w:tcPr>
            <w:tcW w:w="3642" w:type="dxa"/>
          </w:tcPr>
          <w:p>
            <w:pPr>
              <w:pStyle w:val="Compact"/>
              <w:jc w:val="left"/>
              <w:spacing w:before="20" w:after="20" w:line="220" w:lineRule="auto"/>
            </w:pPr>
            <w:r>
              <w:rPr>
                <w:sz w:val="13"/>
                <w:szCs w:val="13"/>
              </w:rPr>
              <w:t xml:space="preserve">IFRS 17 numerator, Absa net premium KPI denominator</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8.9%</w:t>
            </w:r>
          </w:p>
        </w:tc>
        <w:tc>
          <w:tcPr>
            <w:tcW w:w="990" w:type="dxa"/>
          </w:tcPr>
          <w:p>
            <w:pPr>
              <w:pStyle w:val="Compact"/>
              <w:jc w:val="left"/>
              <w:spacing w:before="20" w:after="20" w:line="220" w:lineRule="auto"/>
            </w:pPr>
            <w:r>
              <w:rPr>
                <w:sz w:val="13"/>
                <w:szCs w:val="13"/>
              </w:rPr>
              <w:t xml:space="preserve">8.9%</w:t>
            </w:r>
          </w:p>
        </w:tc>
        <w:tc>
          <w:tcPr>
            <w:tcW w:w="967" w:type="dxa"/>
          </w:tcPr>
          <w:p>
            <w:pPr>
              <w:pStyle w:val="Compact"/>
              <w:jc w:val="left"/>
              <w:spacing w:before="20" w:after="20" w:line="220" w:lineRule="auto"/>
            </w:pPr>
            <w:r>
              <w:rPr>
                <w:sz w:val="13"/>
                <w:szCs w:val="13"/>
              </w:rPr>
              <w:t xml:space="preserve">no</w:t>
            </w:r>
          </w:p>
        </w:tc>
      </w:tr>
      <w:tr>
        <w:tc>
          <w:tcPr>
            <w:tcW w:w="4295" w:type="dxa"/>
          </w:tcPr>
          <w:p>
            <w:pPr>
              <w:pStyle w:val="Compact"/>
              <w:jc w:val="left"/>
              <w:spacing w:before="20" w:after="20" w:line="220" w:lineRule="auto"/>
            </w:pPr>
            <w:r>
              <w:rPr>
                <w:sz w:val="13"/>
                <w:szCs w:val="13"/>
              </w:rPr>
              <w:t xml:space="preserve">AFS Non-Life Insurance SA (allocated amortisation / GWP)</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nonlife</w:t>
            </w:r>
          </w:p>
        </w:tc>
        <w:tc>
          <w:tcPr>
            <w:tcW w:w="1263" w:type="dxa"/>
          </w:tcPr>
          <w:p>
            <w:pPr>
              <w:pStyle w:val="Compact"/>
              <w:jc w:val="left"/>
              <w:spacing w:before="20" w:after="20" w:line="220" w:lineRule="auto"/>
            </w:pPr>
            <w:r>
              <w:rPr>
                <w:sz w:val="13"/>
                <w:szCs w:val="13"/>
              </w:rPr>
              <w:t xml:space="preserve">bank captive</w:t>
            </w:r>
          </w:p>
        </w:tc>
        <w:tc>
          <w:tcPr>
            <w:tcW w:w="3642" w:type="dxa"/>
          </w:tcPr>
          <w:p>
            <w:pPr>
              <w:pStyle w:val="Compact"/>
              <w:jc w:val="left"/>
              <w:spacing w:before="20" w:after="20" w:line="220" w:lineRule="auto"/>
            </w:pPr>
            <w:r>
              <w:rPr>
                <w:sz w:val="13"/>
                <w:szCs w:val="13"/>
              </w:rPr>
              <w:t xml:space="preserve">IFRS 17 numerator, Absa GWP KPI denominator</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12.9%</w:t>
            </w:r>
          </w:p>
        </w:tc>
        <w:tc>
          <w:tcPr>
            <w:tcW w:w="990" w:type="dxa"/>
          </w:tcPr>
          <w:p>
            <w:pPr>
              <w:pStyle w:val="Compact"/>
              <w:jc w:val="left"/>
              <w:spacing w:before="20" w:after="20" w:line="220" w:lineRule="auto"/>
            </w:pPr>
            <w:r>
              <w:rPr>
                <w:sz w:val="13"/>
                <w:szCs w:val="13"/>
              </w:rPr>
              <w:t xml:space="preserve">12.9%</w:t>
            </w:r>
          </w:p>
        </w:tc>
        <w:tc>
          <w:tcPr>
            <w:tcW w:w="967" w:type="dxa"/>
          </w:tcPr>
          <w:p>
            <w:pPr>
              <w:pStyle w:val="Compact"/>
              <w:jc w:val="left"/>
              <w:spacing w:before="20" w:after="20" w:line="220" w:lineRule="auto"/>
            </w:pPr>
            <w:r>
              <w:rPr>
                <w:sz w:val="13"/>
                <w:szCs w:val="13"/>
              </w:rPr>
              <w:t xml:space="preserve">no</w:t>
            </w:r>
          </w:p>
        </w:tc>
      </w:tr>
      <w:tr>
        <w:tc>
          <w:tcPr>
            <w:tcW w:w="4295" w:type="dxa"/>
          </w:tcPr>
          <w:p>
            <w:pPr>
              <w:pStyle w:val="Compact"/>
              <w:jc w:val="left"/>
              <w:spacing w:before="20" w:after="20" w:line="220" w:lineRule="auto"/>
            </w:pPr>
            <w:r>
              <w:rPr>
                <w:sz w:val="13"/>
                <w:szCs w:val="13"/>
              </w:rPr>
              <w:t xml:space="preserve">SBI Life (commission / GWP)</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life</w:t>
            </w:r>
          </w:p>
        </w:tc>
        <w:tc>
          <w:tcPr>
            <w:tcW w:w="1263" w:type="dxa"/>
          </w:tcPr>
          <w:p>
            <w:pPr>
              <w:pStyle w:val="Compact"/>
              <w:jc w:val="left"/>
              <w:spacing w:before="20" w:after="20" w:line="220" w:lineRule="auto"/>
            </w:pPr>
            <w:r>
              <w:rPr>
                <w:sz w:val="13"/>
                <w:szCs w:val="13"/>
              </w:rPr>
              <w:t xml:space="preserve">bank-led</w:t>
            </w:r>
          </w:p>
        </w:tc>
        <w:tc>
          <w:tcPr>
            <w:tcW w:w="3642" w:type="dxa"/>
          </w:tcPr>
          <w:p>
            <w:pPr>
              <w:pStyle w:val="Compact"/>
              <w:jc w:val="left"/>
              <w:spacing w:before="20" w:after="20" w:line="220" w:lineRule="auto"/>
            </w:pPr>
            <w:r>
              <w:rPr>
                <w:sz w:val="13"/>
                <w:szCs w:val="13"/>
              </w:rPr>
              <w:t xml:space="preserve">IRDAI GAAP</w:t>
            </w:r>
          </w:p>
        </w:tc>
        <w:tc>
          <w:tcPr>
            <w:tcW w:w="1089" w:type="dxa"/>
          </w:tcPr>
          <w:p>
            <w:pPr>
              <w:pStyle w:val="Compact"/>
              <w:jc w:val="left"/>
              <w:spacing w:before="20" w:after="20" w:line="220" w:lineRule="auto"/>
            </w:pPr>
            <w:r>
              <w:rPr>
                <w:sz w:val="13"/>
                <w:szCs w:val="13"/>
              </w:rPr>
              <w:t xml:space="preserve">FY2026 (Mar)</w:t>
            </w:r>
          </w:p>
        </w:tc>
        <w:tc>
          <w:tcPr>
            <w:tcW w:w="630" w:type="dxa"/>
          </w:tcPr>
          <w:p>
            <w:pPr>
              <w:pStyle w:val="Compact"/>
              <w:jc w:val="left"/>
              <w:spacing w:before="20" w:after="20" w:line="220" w:lineRule="auto"/>
            </w:pPr>
            <w:r>
              <w:rPr>
                <w:sz w:val="13"/>
                <w:szCs w:val="13"/>
              </w:rPr>
              <w:t xml:space="preserve">4.4%</w:t>
            </w:r>
          </w:p>
        </w:tc>
        <w:tc>
          <w:tcPr>
            <w:tcW w:w="990" w:type="dxa"/>
          </w:tcPr>
          <w:p>
            <w:pPr>
              <w:pStyle w:val="Compact"/>
              <w:jc w:val="left"/>
              <w:spacing w:before="20" w:after="20" w:line="220" w:lineRule="auto"/>
            </w:pPr>
            <w:r>
              <w:rPr>
                <w:sz w:val="13"/>
                <w:szCs w:val="13"/>
              </w:rPr>
              <w:t xml:space="preserve">4.4%</w:t>
            </w:r>
          </w:p>
        </w:tc>
        <w:tc>
          <w:tcPr>
            <w:tcW w:w="967" w:type="dxa"/>
          </w:tcPr>
          <w:p>
            <w:pPr>
              <w:pStyle w:val="Compact"/>
              <w:jc w:val="left"/>
              <w:spacing w:before="20" w:after="20" w:line="220" w:lineRule="auto"/>
            </w:pPr>
            <w:r>
              <w:rPr>
                <w:sz w:val="13"/>
                <w:szCs w:val="13"/>
              </w:rPr>
              <w:t xml:space="preserve">yes</w:t>
            </w:r>
          </w:p>
        </w:tc>
      </w:tr>
      <w:tr>
        <w:tc>
          <w:tcPr>
            <w:tcW w:w="4295" w:type="dxa"/>
          </w:tcPr>
          <w:p>
            <w:pPr>
              <w:pStyle w:val="Compact"/>
              <w:jc w:val="left"/>
              <w:spacing w:before="20" w:after="20" w:line="220" w:lineRule="auto"/>
            </w:pPr>
            <w:r>
              <w:rPr>
                <w:sz w:val="13"/>
                <w:szCs w:val="13"/>
              </w:rPr>
              <w:t xml:space="preserve">VidaCaixa (CaixaBank)</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life</w:t>
            </w:r>
          </w:p>
        </w:tc>
        <w:tc>
          <w:tcPr>
            <w:tcW w:w="1263" w:type="dxa"/>
          </w:tcPr>
          <w:p>
            <w:pPr>
              <w:pStyle w:val="Compact"/>
              <w:jc w:val="left"/>
              <w:spacing w:before="20" w:after="20" w:line="220" w:lineRule="auto"/>
            </w:pPr>
            <w:r>
              <w:rPr>
                <w:sz w:val="13"/>
                <w:szCs w:val="13"/>
              </w:rPr>
              <w:t xml:space="preserve">bank captive</w:t>
            </w:r>
          </w:p>
        </w:tc>
        <w:tc>
          <w:tcPr>
            <w:tcW w:w="3642" w:type="dxa"/>
          </w:tcPr>
          <w:p>
            <w:pPr>
              <w:pStyle w:val="Compact"/>
              <w:jc w:val="left"/>
              <w:spacing w:before="20" w:after="20" w:line="220" w:lineRule="auto"/>
            </w:pPr>
            <w:r>
              <w:rPr>
                <w:sz w:val="13"/>
                <w:szCs w:val="13"/>
              </w:rPr>
              <w:t xml:space="preserve">IFRS 17 / Solvency II GWP</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5.5%</w:t>
            </w:r>
          </w:p>
        </w:tc>
        <w:tc>
          <w:tcPr>
            <w:tcW w:w="990" w:type="dxa"/>
          </w:tcPr>
          <w:p>
            <w:pPr>
              <w:pStyle w:val="Compact"/>
              <w:jc w:val="left"/>
              <w:spacing w:before="20" w:after="20" w:line="220" w:lineRule="auto"/>
            </w:pPr>
            <w:r>
              <w:rPr>
                <w:sz w:val="13"/>
                <w:szCs w:val="13"/>
              </w:rPr>
              <w:t xml:space="preserve">5.5%</w:t>
            </w:r>
          </w:p>
        </w:tc>
        <w:tc>
          <w:tcPr>
            <w:tcW w:w="967" w:type="dxa"/>
          </w:tcPr>
          <w:p>
            <w:pPr>
              <w:pStyle w:val="Compact"/>
              <w:jc w:val="left"/>
              <w:spacing w:before="20" w:after="20" w:line="220" w:lineRule="auto"/>
            </w:pPr>
            <w:r>
              <w:rPr>
                <w:sz w:val="13"/>
                <w:szCs w:val="13"/>
              </w:rPr>
              <w:t xml:space="preserve">no</w:t>
            </w:r>
          </w:p>
        </w:tc>
      </w:tr>
      <w:tr>
        <w:tc>
          <w:tcPr>
            <w:tcW w:w="4295" w:type="dxa"/>
          </w:tcPr>
          <w:p>
            <w:pPr>
              <w:pStyle w:val="Compact"/>
              <w:jc w:val="left"/>
              <w:spacing w:before="20" w:after="20" w:line="220" w:lineRule="auto"/>
            </w:pPr>
            <w:r>
              <w:rPr>
                <w:sz w:val="13"/>
                <w:szCs w:val="13"/>
              </w:rPr>
              <w:t xml:space="preserve">Santam conventional (management basis)</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1263" w:type="dxa"/>
          </w:tcPr>
          <w:p>
            <w:pPr>
              <w:pStyle w:val="Compact"/>
              <w:jc w:val="left"/>
              <w:spacing w:before="20" w:after="20" w:line="220" w:lineRule="auto"/>
            </w:pPr>
            <w:r>
              <w:rPr>
                <w:sz w:val="13"/>
                <w:szCs w:val="13"/>
              </w:rPr>
              <w:t xml:space="preserve">open</w:t>
            </w:r>
          </w:p>
        </w:tc>
        <w:tc>
          <w:tcPr>
            <w:tcW w:w="3642" w:type="dxa"/>
          </w:tcPr>
          <w:p>
            <w:pPr>
              <w:pStyle w:val="Compact"/>
              <w:jc w:val="left"/>
              <w:spacing w:before="20" w:after="20" w:line="220" w:lineRule="auto"/>
            </w:pPr>
            <w:r>
              <w:rPr>
                <w:sz w:val="13"/>
                <w:szCs w:val="13"/>
              </w:rPr>
              <w:t xml:space="preserve">Management basis</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11.5%</w:t>
            </w:r>
          </w:p>
        </w:tc>
        <w:tc>
          <w:tcPr>
            <w:tcW w:w="990" w:type="dxa"/>
          </w:tcPr>
          <w:p>
            <w:pPr>
              <w:pStyle w:val="Compact"/>
              <w:jc w:val="left"/>
              <w:spacing w:before="20" w:after="20" w:line="220" w:lineRule="auto"/>
            </w:pPr>
            <w:r>
              <w:rPr>
                <w:sz w:val="13"/>
                <w:szCs w:val="13"/>
              </w:rPr>
              <w:t xml:space="preserve">11.5%</w:t>
            </w:r>
          </w:p>
        </w:tc>
        <w:tc>
          <w:tcPr>
            <w:tcW w:w="967" w:type="dxa"/>
          </w:tcPr>
          <w:p>
            <w:pPr>
              <w:pStyle w:val="Compact"/>
              <w:jc w:val="left"/>
              <w:spacing w:before="20" w:after="20" w:line="220" w:lineRule="auto"/>
            </w:pPr>
            <w:r>
              <w:rPr>
                <w:sz w:val="13"/>
                <w:szCs w:val="13"/>
              </w:rPr>
              <w:t xml:space="preserve">yes</w:t>
            </w:r>
          </w:p>
        </w:tc>
      </w:tr>
      <w:tr>
        <w:tc>
          <w:tcPr>
            <w:tcW w:w="4295" w:type="dxa"/>
          </w:tcPr>
          <w:p>
            <w:pPr>
              <w:pStyle w:val="Compact"/>
              <w:jc w:val="left"/>
              <w:spacing w:before="20" w:after="20" w:line="220" w:lineRule="auto"/>
            </w:pPr>
            <w:r>
              <w:rPr>
                <w:sz w:val="13"/>
                <w:szCs w:val="13"/>
              </w:rPr>
              <w:t xml:space="preserve">Standard Insurance Limited (Standard Bank)</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nonlife</w:t>
            </w:r>
          </w:p>
        </w:tc>
        <w:tc>
          <w:tcPr>
            <w:tcW w:w="1263" w:type="dxa"/>
          </w:tcPr>
          <w:p>
            <w:pPr>
              <w:pStyle w:val="Compact"/>
              <w:jc w:val="left"/>
              <w:spacing w:before="20" w:after="20" w:line="220" w:lineRule="auto"/>
            </w:pPr>
            <w:r>
              <w:rPr>
                <w:sz w:val="13"/>
                <w:szCs w:val="13"/>
              </w:rPr>
              <w:t xml:space="preserve">bank captive</w:t>
            </w:r>
          </w:p>
        </w:tc>
        <w:tc>
          <w:tcPr>
            <w:tcW w:w="3642" w:type="dxa"/>
          </w:tcPr>
          <w:p>
            <w:pPr>
              <w:pStyle w:val="Compact"/>
              <w:jc w:val="left"/>
              <w:spacing w:before="20" w:after="20" w:line="220" w:lineRule="auto"/>
            </w:pPr>
            <w:r>
              <w:rPr>
                <w:sz w:val="13"/>
                <w:szCs w:val="13"/>
              </w:rPr>
              <w:t xml:space="preserve">IFRS 17 / SBG GWP KPI</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16.8%</w:t>
            </w:r>
          </w:p>
        </w:tc>
        <w:tc>
          <w:tcPr>
            <w:tcW w:w="990" w:type="dxa"/>
          </w:tcPr>
          <w:p>
            <w:pPr>
              <w:pStyle w:val="Compact"/>
              <w:jc w:val="left"/>
              <w:spacing w:before="20" w:after="20" w:line="220" w:lineRule="auto"/>
            </w:pPr>
            <w:r>
              <w:rPr>
                <w:sz w:val="13"/>
                <w:szCs w:val="13"/>
              </w:rPr>
              <w:t xml:space="preserve">16.8%</w:t>
            </w:r>
          </w:p>
        </w:tc>
        <w:tc>
          <w:tcPr>
            <w:tcW w:w="967" w:type="dxa"/>
          </w:tcPr>
          <w:p>
            <w:pPr>
              <w:pStyle w:val="Compact"/>
              <w:jc w:val="left"/>
              <w:spacing w:before="20" w:after="20" w:line="220" w:lineRule="auto"/>
            </w:pPr>
            <w:r>
              <w:rPr>
                <w:sz w:val="13"/>
                <w:szCs w:val="13"/>
              </w:rPr>
              <w:t xml:space="preserve">yes</w:t>
            </w:r>
          </w:p>
        </w:tc>
      </w:tr>
      <w:tr>
        <w:tc>
          <w:tcPr>
            <w:tcW w:w="4295" w:type="dxa"/>
          </w:tcPr>
          <w:p>
            <w:pPr>
              <w:pStyle w:val="Compact"/>
              <w:jc w:val="left"/>
              <w:spacing w:before="20" w:after="20" w:line="220" w:lineRule="auto"/>
            </w:pPr>
            <w:r>
              <w:rPr>
                <w:sz w:val="13"/>
                <w:szCs w:val="13"/>
              </w:rPr>
              <w:t xml:space="preserve">BNP Paribas Cardif</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1263" w:type="dxa"/>
          </w:tcPr>
          <w:p>
            <w:pPr>
              <w:pStyle w:val="Compact"/>
              <w:jc w:val="left"/>
              <w:spacing w:before="20" w:after="20" w:line="220" w:lineRule="auto"/>
            </w:pPr>
            <w:r>
              <w:rPr>
                <w:sz w:val="13"/>
                <w:szCs w:val="13"/>
              </w:rPr>
              <w:t xml:space="preserve">partly captive</w:t>
            </w:r>
          </w:p>
        </w:tc>
        <w:tc>
          <w:tcPr>
            <w:tcW w:w="3642" w:type="dxa"/>
          </w:tcPr>
          <w:p>
            <w:pPr>
              <w:pStyle w:val="Compact"/>
              <w:jc w:val="left"/>
              <w:spacing w:before="20" w:after="20" w:line="220" w:lineRule="auto"/>
            </w:pPr>
            <w:r>
              <w:rPr>
                <w:sz w:val="13"/>
                <w:szCs w:val="13"/>
              </w:rPr>
              <w:t xml:space="preserve">IFRS 17 / GWP KPI</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12.8%</w:t>
            </w:r>
          </w:p>
        </w:tc>
        <w:tc>
          <w:tcPr>
            <w:tcW w:w="990" w:type="dxa"/>
          </w:tcPr>
          <w:p>
            <w:pPr>
              <w:pStyle w:val="Compact"/>
              <w:jc w:val="left"/>
              <w:spacing w:before="20" w:after="20" w:line="220" w:lineRule="auto"/>
            </w:pPr>
            <w:r>
              <w:rPr>
                <w:sz w:val="13"/>
                <w:szCs w:val="13"/>
              </w:rPr>
              <w:t xml:space="preserve">12.8%</w:t>
            </w:r>
          </w:p>
        </w:tc>
        <w:tc>
          <w:tcPr>
            <w:tcW w:w="967" w:type="dxa"/>
          </w:tcPr>
          <w:p>
            <w:pPr>
              <w:pStyle w:val="Compact"/>
              <w:jc w:val="left"/>
              <w:spacing w:before="20" w:after="20" w:line="220" w:lineRule="auto"/>
            </w:pPr>
            <w:r>
              <w:rPr>
                <w:sz w:val="13"/>
                <w:szCs w:val="13"/>
              </w:rPr>
              <w:t xml:space="preserve">no</w:t>
            </w:r>
          </w:p>
        </w:tc>
      </w:tr>
      <w:tr>
        <w:tc>
          <w:tcPr>
            <w:tcW w:w="4295" w:type="dxa"/>
          </w:tcPr>
          <w:p>
            <w:pPr>
              <w:pStyle w:val="Compact"/>
              <w:jc w:val="left"/>
              <w:spacing w:before="20" w:after="20" w:line="220" w:lineRule="auto"/>
            </w:pPr>
            <w:r>
              <w:rPr>
                <w:sz w:val="13"/>
                <w:szCs w:val="13"/>
              </w:rPr>
              <w:t xml:space="preserve">Brasilseg (BB Seguridade)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1263" w:type="dxa"/>
          </w:tcPr>
          <w:p>
            <w:pPr>
              <w:pStyle w:val="Compact"/>
              <w:jc w:val="left"/>
              <w:spacing w:before="20" w:after="20" w:line="220" w:lineRule="auto"/>
            </w:pPr>
            <w:r>
              <w:rPr>
                <w:sz w:val="13"/>
                <w:szCs w:val="13"/>
              </w:rPr>
              <w:t xml:space="preserve">bank captive</w:t>
            </w:r>
          </w:p>
        </w:tc>
        <w:tc>
          <w:tcPr>
            <w:tcW w:w="3642" w:type="dxa"/>
          </w:tcPr>
          <w:p>
            <w:pPr>
              <w:pStyle w:val="Compact"/>
              <w:jc w:val="left"/>
              <w:spacing w:before="20" w:after="20" w:line="220" w:lineRule="auto"/>
            </w:pPr>
            <w:r>
              <w:rPr>
                <w:sz w:val="13"/>
                <w:szCs w:val="13"/>
              </w:rPr>
              <w:t xml:space="preserve">SUSEP</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31.2%</w:t>
            </w:r>
          </w:p>
        </w:tc>
        <w:tc>
          <w:tcPr>
            <w:tcW w:w="990" w:type="dxa"/>
          </w:tcPr>
          <w:p>
            <w:pPr>
              <w:pStyle w:val="Compact"/>
              <w:jc w:val="left"/>
              <w:spacing w:before="20" w:after="20" w:line="220" w:lineRule="auto"/>
            </w:pPr>
            <w:r>
              <w:rPr>
                <w:sz w:val="13"/>
                <w:szCs w:val="13"/>
              </w:rPr>
              <w:t xml:space="preserve">31.2%</w:t>
            </w:r>
          </w:p>
        </w:tc>
        <w:tc>
          <w:tcPr>
            <w:tcW w:w="967" w:type="dxa"/>
          </w:tcPr>
          <w:p>
            <w:pPr>
              <w:pStyle w:val="Compact"/>
              <w:jc w:val="left"/>
              <w:spacing w:before="20" w:after="20" w:line="220" w:lineRule="auto"/>
            </w:pPr>
            <w:r>
              <w:rPr>
                <w:sz w:val="13"/>
                <w:szCs w:val="13"/>
              </w:rPr>
              <w:t xml:space="preserve">no</w:t>
            </w:r>
          </w:p>
        </w:tc>
      </w:tr>
      <w:tr>
        <w:tc>
          <w:tcPr>
            <w:tcW w:w="4295" w:type="dxa"/>
          </w:tcPr>
          <w:p>
            <w:pPr>
              <w:pStyle w:val="Compact"/>
              <w:jc w:val="left"/>
              <w:spacing w:before="20" w:after="20" w:line="220" w:lineRule="auto"/>
            </w:pPr>
            <w:r>
              <w:rPr>
                <w:sz w:val="13"/>
                <w:szCs w:val="13"/>
              </w:rPr>
              <w:t xml:space="preserve">Credit Agricole Assurances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1263" w:type="dxa"/>
          </w:tcPr>
          <w:p>
            <w:pPr>
              <w:pStyle w:val="Compact"/>
              <w:jc w:val="left"/>
              <w:spacing w:before="20" w:after="20" w:line="220" w:lineRule="auto"/>
            </w:pPr>
            <w:r>
              <w:rPr>
                <w:sz w:val="13"/>
                <w:szCs w:val="13"/>
              </w:rPr>
              <w:t xml:space="preserve">bank captive</w:t>
            </w:r>
          </w:p>
        </w:tc>
        <w:tc>
          <w:tcPr>
            <w:tcW w:w="3642" w:type="dxa"/>
          </w:tcPr>
          <w:p>
            <w:pPr>
              <w:pStyle w:val="Compact"/>
              <w:jc w:val="left"/>
              <w:spacing w:before="20" w:after="20" w:line="220" w:lineRule="auto"/>
            </w:pPr>
            <w:r>
              <w:rPr>
                <w:sz w:val="13"/>
                <w:szCs w:val="13"/>
              </w:rPr>
              <w:t xml:space="preserve">IFRS 17 / premium income KPI</w:t>
            </w:r>
          </w:p>
        </w:tc>
        <w:tc>
          <w:tcPr>
            <w:tcW w:w="1089"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7.9%</w:t>
            </w:r>
          </w:p>
        </w:tc>
        <w:tc>
          <w:tcPr>
            <w:tcW w:w="990" w:type="dxa"/>
          </w:tcPr>
          <w:p>
            <w:pPr>
              <w:pStyle w:val="Compact"/>
              <w:jc w:val="left"/>
              <w:spacing w:before="20" w:after="20" w:line="220" w:lineRule="auto"/>
            </w:pPr>
            <w:r>
              <w:rPr>
                <w:sz w:val="13"/>
                <w:szCs w:val="13"/>
              </w:rPr>
              <w:t xml:space="preserve">7.9%</w:t>
            </w:r>
          </w:p>
        </w:tc>
        <w:tc>
          <w:tcPr>
            <w:tcW w:w="967" w:type="dxa"/>
          </w:tcPr>
          <w:p>
            <w:pPr>
              <w:pStyle w:val="Compact"/>
              <w:jc w:val="left"/>
              <w:spacing w:before="20" w:after="20" w:line="220" w:lineRule="auto"/>
            </w:pPr>
            <w:r>
              <w:rPr>
                <w:sz w:val="13"/>
                <w:szCs w:val="13"/>
              </w:rPr>
              <w:t xml:space="preserve">no</w:t>
            </w:r>
          </w:p>
        </w:tc>
      </w:tr>
      <w:tr>
        <w:tc>
          <w:tcPr>
            <w:tcW w:w="4295" w:type="dxa"/>
          </w:tcPr>
          <w:p>
            <w:pPr>
              <w:pStyle w:val="Compact"/>
              <w:jc w:val="left"/>
              <w:spacing w:before="20" w:after="20" w:line="220" w:lineRule="auto"/>
            </w:pPr>
            <w:r>
              <w:rPr>
                <w:sz w:val="13"/>
                <w:szCs w:val="13"/>
              </w:rPr>
              <w:t xml:space="preserve">FirstRand insurance activities (FNB Life, FNB STI)</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composite</w:t>
            </w:r>
          </w:p>
        </w:tc>
        <w:tc>
          <w:tcPr>
            <w:tcW w:w="1263" w:type="dxa"/>
          </w:tcPr>
          <w:p>
            <w:pPr>
              <w:pStyle w:val="Compact"/>
              <w:jc w:val="left"/>
              <w:spacing w:before="20" w:after="20" w:line="220" w:lineRule="auto"/>
            </w:pPr>
            <w:r>
              <w:rPr>
                <w:sz w:val="13"/>
                <w:szCs w:val="13"/>
              </w:rPr>
              <w:t xml:space="preserve">bank captive</w:t>
            </w:r>
          </w:p>
        </w:tc>
        <w:tc>
          <w:tcPr>
            <w:tcW w:w="3642" w:type="dxa"/>
          </w:tcPr>
          <w:p>
            <w:pPr>
              <w:pStyle w:val="Compact"/>
              <w:jc w:val="left"/>
              <w:spacing w:before="20" w:after="20" w:line="220" w:lineRule="auto"/>
            </w:pPr>
            <w:r>
              <w:rPr>
                <w:sz w:val="13"/>
                <w:szCs w:val="13"/>
              </w:rPr>
              <w:t xml:space="preserve">IFRS 17 / GWP KPI</w:t>
            </w:r>
          </w:p>
        </w:tc>
        <w:tc>
          <w:tcPr>
            <w:tcW w:w="1089" w:type="dxa"/>
          </w:tcPr>
          <w:p>
            <w:pPr>
              <w:pStyle w:val="Compact"/>
              <w:jc w:val="left"/>
              <w:spacing w:before="20" w:after="20" w:line="220" w:lineRule="auto"/>
            </w:pPr>
            <w:r>
              <w:rPr>
                <w:sz w:val="13"/>
                <w:szCs w:val="13"/>
              </w:rPr>
              <w:t xml:space="preserve">FY2025 (Jun)</w:t>
            </w:r>
          </w:p>
        </w:tc>
        <w:tc>
          <w:tcPr>
            <w:tcW w:w="630" w:type="dxa"/>
          </w:tcPr>
          <w:p>
            <w:pPr>
              <w:pStyle w:val="Compact"/>
              <w:jc w:val="left"/>
              <w:spacing w:before="20" w:after="20" w:line="220" w:lineRule="auto"/>
            </w:pPr>
            <w:r>
              <w:rPr>
                <w:sz w:val="13"/>
                <w:szCs w:val="13"/>
              </w:rPr>
              <w:t xml:space="preserve">5.1%</w:t>
            </w:r>
          </w:p>
        </w:tc>
        <w:tc>
          <w:tcPr>
            <w:tcW w:w="990" w:type="dxa"/>
          </w:tcPr>
          <w:p>
            <w:pPr>
              <w:pStyle w:val="Compact"/>
              <w:jc w:val="left"/>
              <w:spacing w:before="20" w:after="20" w:line="220" w:lineRule="auto"/>
            </w:pPr>
            <w:r>
              <w:rPr>
                <w:sz w:val="13"/>
                <w:szCs w:val="13"/>
              </w:rPr>
              <w:t xml:space="preserve">5.1%</w:t>
            </w:r>
          </w:p>
        </w:tc>
        <w:tc>
          <w:tcPr>
            <w:tcW w:w="967"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M4; raw values link to data_ids in the Raw data tab.</w:t>
      </w:r>
    </w:p>
    <w:bookmarkEnd w:id="66"/>
    <w:bookmarkStart w:id="67" w:name="X2cf64a5777a652b46ca9b1db3ccc2ae4c9488c4"/>
    <w:p>
      <w:pPr>
        <w:pStyle w:val="Heading4"/>
      </w:pPr>
      <w:r>
        <w:t xml:space="preserve">M5: Non-life combined ratio, IFRS 17 proxy: (insurance service expenses + net reinsurance expense) / insurance revenue, before non-attributable expenses</w:t>
      </w:r>
    </w:p>
    <w:tbl>
      <w:tblPr>
        <w:tblStyle w:val="Table"/>
        <w:tblLook w:firstRow="1" w:lastRow="0" w:firstColumn="0" w:lastColumn="0" w:noHBand="0" w:noVBand="0" w:val="0020"/>
        <w:jc w:val="start"/>
        <w:tblW w:w="13014" w:type="dxa"/>
        <w:tblLayout w:type="fixed"/>
      </w:tblPr>
      <w:tblGrid>
        <w:gridCol w:w="3942"/>
        <w:gridCol w:w="774"/>
        <w:gridCol w:w="774"/>
        <w:gridCol w:w="1350"/>
        <w:gridCol w:w="2430"/>
        <w:gridCol w:w="1134"/>
        <w:gridCol w:w="630"/>
        <w:gridCol w:w="990"/>
        <w:gridCol w:w="990"/>
      </w:tblGrid>
      <w:tr>
        <w:trPr>
          <w:tblHeader w:val="true"/>
        </w:trPr>
        <w:tc>
          <w:tcPr>
            <w:tcW w:w="3942"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774" w:type="dxa"/>
          </w:tcPr>
          <w:p>
            <w:pPr>
              <w:pStyle w:val="Compact"/>
              <w:jc w:val="left"/>
              <w:spacing w:before="20" w:after="20" w:line="220" w:lineRule="auto"/>
            </w:pPr>
            <w:r>
              <w:rPr>
                <w:sz w:val="13"/>
                <w:szCs w:val="13"/>
              </w:rPr>
              <w:t xml:space="preserve">Mix</w:t>
            </w:r>
          </w:p>
        </w:tc>
        <w:tc>
          <w:tcPr>
            <w:tcW w:w="1350" w:type="dxa"/>
          </w:tcPr>
          <w:p>
            <w:pPr>
              <w:pStyle w:val="Compact"/>
              <w:jc w:val="left"/>
              <w:spacing w:before="20" w:after="20" w:line="220" w:lineRule="auto"/>
            </w:pPr>
            <w:r>
              <w:rPr>
                <w:sz w:val="13"/>
                <w:szCs w:val="13"/>
              </w:rPr>
              <w:t xml:space="preserve">Distribution</w:t>
            </w:r>
          </w:p>
        </w:tc>
        <w:tc>
          <w:tcPr>
            <w:tcW w:w="2430" w:type="dxa"/>
          </w:tcPr>
          <w:p>
            <w:pPr>
              <w:pStyle w:val="Compact"/>
              <w:jc w:val="left"/>
              <w:spacing w:before="20" w:after="20" w:line="220" w:lineRule="auto"/>
            </w:pPr>
            <w:r>
              <w:rPr>
                <w:sz w:val="13"/>
                <w:szCs w:val="13"/>
              </w:rPr>
              <w:t xml:space="preserve">Basis</w:t>
            </w:r>
          </w:p>
        </w:tc>
        <w:tc>
          <w:tcPr>
            <w:tcW w:w="1134"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90" w:type="dxa"/>
          </w:tcPr>
          <w:p>
            <w:pPr>
              <w:pStyle w:val="Compact"/>
              <w:jc w:val="left"/>
              <w:spacing w:before="20" w:after="20" w:line="220" w:lineRule="auto"/>
            </w:pPr>
            <w:r>
              <w:rPr>
                <w:sz w:val="13"/>
                <w:szCs w:val="13"/>
              </w:rPr>
              <w:t xml:space="preserve">In medians</w:t>
            </w:r>
          </w:p>
        </w:tc>
      </w:tr>
      <w:tr>
        <w:tc>
          <w:tcPr>
            <w:tcW w:w="3942" w:type="dxa"/>
          </w:tcPr>
          <w:p>
            <w:pPr>
              <w:pStyle w:val="Compact"/>
              <w:jc w:val="left"/>
              <w:spacing w:before="20" w:after="20" w:line="220" w:lineRule="auto"/>
            </w:pPr>
            <w:r>
              <w:rPr>
                <w:sz w:val="13"/>
                <w:szCs w:val="13"/>
              </w:rPr>
              <w:t xml:space="preserve">AFS Non-Life Insurance SA</w:t>
            </w:r>
          </w:p>
        </w:tc>
        <w:tc>
          <w:tcPr>
            <w:tcW w:w="774" w:type="dxa"/>
          </w:tcPr>
          <w:p>
            <w:pPr>
              <w:pStyle w:val="Compact"/>
              <w:jc w:val="left"/>
              <w:spacing w:before="20" w:after="20" w:line="220" w:lineRule="auto"/>
            </w:pPr>
            <w:r>
              <w:rPr>
                <w:sz w:val="13"/>
                <w:szCs w:val="13"/>
              </w:rPr>
              <w:t xml:space="preserve">AFS</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bank captive</w:t>
            </w:r>
          </w:p>
        </w:tc>
        <w:tc>
          <w:tcPr>
            <w:tcW w:w="2430"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81.5%</w:t>
            </w:r>
          </w:p>
        </w:tc>
        <w:tc>
          <w:tcPr>
            <w:tcW w:w="990" w:type="dxa"/>
          </w:tcPr>
          <w:p>
            <w:pPr>
              <w:pStyle w:val="Compact"/>
              <w:jc w:val="left"/>
              <w:spacing w:before="20" w:after="20" w:line="220" w:lineRule="auto"/>
            </w:pPr>
            <w:r>
              <w:rPr>
                <w:sz w:val="13"/>
                <w:szCs w:val="13"/>
              </w:rPr>
              <w:t xml:space="preserve">81.5%</w:t>
            </w:r>
          </w:p>
        </w:tc>
        <w:tc>
          <w:tcPr>
            <w:tcW w:w="990" w:type="dxa"/>
          </w:tcPr>
          <w:p>
            <w:pPr>
              <w:pStyle w:val="Compact"/>
              <w:jc w:val="left"/>
              <w:spacing w:before="20" w:after="20" w:line="220" w:lineRule="auto"/>
            </w:pPr>
            <w:r>
              <w:rPr>
                <w:sz w:val="13"/>
                <w:szCs w:val="13"/>
              </w:rPr>
              <w:t xml:space="preserve">no</w:t>
            </w:r>
          </w:p>
        </w:tc>
      </w:tr>
      <w:tr>
        <w:tc>
          <w:tcPr>
            <w:tcW w:w="3942" w:type="dxa"/>
          </w:tcPr>
          <w:p>
            <w:pPr>
              <w:pStyle w:val="Compact"/>
              <w:jc w:val="left"/>
              <w:spacing w:before="20" w:after="20" w:line="220" w:lineRule="auto"/>
            </w:pPr>
            <w:r>
              <w:rPr>
                <w:sz w:val="13"/>
                <w:szCs w:val="13"/>
              </w:rPr>
              <w:t xml:space="preserve">Discovery Insure</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 and direct</w:t>
            </w:r>
          </w:p>
        </w:tc>
        <w:tc>
          <w:tcPr>
            <w:tcW w:w="2430"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88.5%</w:t>
            </w:r>
          </w:p>
        </w:tc>
        <w:tc>
          <w:tcPr>
            <w:tcW w:w="990" w:type="dxa"/>
          </w:tcPr>
          <w:p>
            <w:pPr>
              <w:pStyle w:val="Compact"/>
              <w:jc w:val="left"/>
              <w:spacing w:before="20" w:after="20" w:line="220" w:lineRule="auto"/>
            </w:pPr>
            <w:r>
              <w:rPr>
                <w:sz w:val="13"/>
                <w:szCs w:val="13"/>
              </w:rPr>
              <w:t xml:space="preserve">88.5%</w:t>
            </w:r>
          </w:p>
        </w:tc>
        <w:tc>
          <w:tcPr>
            <w:tcW w:w="990" w:type="dxa"/>
          </w:tcPr>
          <w:p>
            <w:pPr>
              <w:pStyle w:val="Compact"/>
              <w:jc w:val="left"/>
              <w:spacing w:before="20" w:after="20" w:line="220" w:lineRule="auto"/>
            </w:pPr>
            <w:r>
              <w:rPr>
                <w:sz w:val="13"/>
                <w:szCs w:val="13"/>
              </w:rPr>
              <w:t xml:space="preserve">yes</w:t>
            </w:r>
          </w:p>
        </w:tc>
      </w:tr>
      <w:tr>
        <w:tc>
          <w:tcPr>
            <w:tcW w:w="3942" w:type="dxa"/>
          </w:tcPr>
          <w:p>
            <w:pPr>
              <w:pStyle w:val="Compact"/>
              <w:jc w:val="left"/>
              <w:spacing w:before="20" w:after="20" w:line="220" w:lineRule="auto"/>
            </w:pPr>
            <w:r>
              <w:rPr>
                <w:sz w:val="13"/>
                <w:szCs w:val="13"/>
              </w:rPr>
              <w:t xml:space="preserve">FirstRand short-term insurance (non-life portfolio)</w:t>
            </w:r>
          </w:p>
        </w:tc>
        <w:tc>
          <w:tcPr>
            <w:tcW w:w="774" w:type="dxa"/>
          </w:tcPr>
          <w:p>
            <w:pPr>
              <w:pStyle w:val="Compact"/>
              <w:jc w:val="left"/>
              <w:spacing w:before="20" w:after="20" w:line="220" w:lineRule="auto"/>
            </w:pPr>
            <w:r>
              <w:rPr>
                <w:sz w:val="13"/>
                <w:szCs w:val="13"/>
              </w:rPr>
              <w:t xml:space="preserve">LB</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bank captive</w:t>
            </w:r>
          </w:p>
        </w:tc>
        <w:tc>
          <w:tcPr>
            <w:tcW w:w="2430" w:type="dxa"/>
          </w:tcPr>
          <w:p>
            <w:pPr>
              <w:pStyle w:val="Compact"/>
              <w:jc w:val="left"/>
              <w:spacing w:before="20" w:after="20" w:line="220" w:lineRule="auto"/>
            </w:pPr>
            <w:r>
              <w:rPr>
                <w:sz w:val="13"/>
                <w:szCs w:val="13"/>
              </w:rPr>
              <w:t xml:space="preserve">IFRS 17; reinsurance not split</w:t>
            </w:r>
          </w:p>
        </w:tc>
        <w:tc>
          <w:tcPr>
            <w:tcW w:w="1134" w:type="dxa"/>
          </w:tcPr>
          <w:p>
            <w:pPr>
              <w:pStyle w:val="Compact"/>
              <w:jc w:val="left"/>
              <w:spacing w:before="20" w:after="20" w:line="220" w:lineRule="auto"/>
            </w:pPr>
            <w:r>
              <w:rPr>
                <w:sz w:val="13"/>
                <w:szCs w:val="13"/>
              </w:rPr>
              <w:t xml:space="preserve">FY2025 (Jun)</w:t>
            </w:r>
          </w:p>
        </w:tc>
        <w:tc>
          <w:tcPr>
            <w:tcW w:w="630" w:type="dxa"/>
          </w:tcPr>
          <w:p>
            <w:pPr>
              <w:pStyle w:val="Compact"/>
              <w:jc w:val="left"/>
              <w:spacing w:before="20" w:after="20" w:line="220" w:lineRule="auto"/>
            </w:pPr>
            <w:r>
              <w:rPr>
                <w:sz w:val="13"/>
                <w:szCs w:val="13"/>
              </w:rPr>
              <w:t xml:space="preserve">79.1%</w:t>
            </w:r>
          </w:p>
        </w:tc>
        <w:tc>
          <w:tcPr>
            <w:tcW w:w="990" w:type="dxa"/>
          </w:tcPr>
          <w:p>
            <w:pPr>
              <w:pStyle w:val="Compact"/>
              <w:jc w:val="left"/>
              <w:spacing w:before="20" w:after="20" w:line="220" w:lineRule="auto"/>
            </w:pPr>
            <w:r>
              <w:rPr>
                <w:sz w:val="13"/>
                <w:szCs w:val="13"/>
              </w:rPr>
              <w:t xml:space="preserve">79.1%</w:t>
            </w:r>
          </w:p>
        </w:tc>
        <w:tc>
          <w:tcPr>
            <w:tcW w:w="990" w:type="dxa"/>
          </w:tcPr>
          <w:p>
            <w:pPr>
              <w:pStyle w:val="Compact"/>
              <w:jc w:val="left"/>
              <w:spacing w:before="20" w:after="20" w:line="220" w:lineRule="auto"/>
            </w:pPr>
            <w:r>
              <w:rPr>
                <w:sz w:val="13"/>
                <w:szCs w:val="13"/>
              </w:rPr>
              <w:t xml:space="preserve">no</w:t>
            </w:r>
          </w:p>
        </w:tc>
      </w:tr>
      <w:tr>
        <w:tc>
          <w:tcPr>
            <w:tcW w:w="3942" w:type="dxa"/>
          </w:tcPr>
          <w:p>
            <w:pPr>
              <w:pStyle w:val="Compact"/>
              <w:jc w:val="left"/>
              <w:spacing w:before="20" w:after="20" w:line="220" w:lineRule="auto"/>
            </w:pPr>
            <w:r>
              <w:rPr>
                <w:sz w:val="13"/>
                <w:szCs w:val="13"/>
              </w:rPr>
              <w:t xml:space="preserve">Hollard Insurance Company</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w:t>
            </w:r>
          </w:p>
        </w:tc>
        <w:tc>
          <w:tcPr>
            <w:tcW w:w="2430" w:type="dxa"/>
          </w:tcPr>
          <w:p>
            <w:pPr>
              <w:pStyle w:val="Compact"/>
              <w:jc w:val="left"/>
              <w:spacing w:before="20" w:after="20" w:line="220" w:lineRule="auto"/>
            </w:pPr>
            <w:r>
              <w:rPr>
                <w:sz w:val="13"/>
                <w:szCs w:val="13"/>
              </w:rPr>
              <w:t xml:space="preserve">IFRS 17 (KPMG)</w:t>
            </w:r>
          </w:p>
        </w:tc>
        <w:tc>
          <w:tcPr>
            <w:tcW w:w="1134" w:type="dxa"/>
          </w:tcPr>
          <w:p>
            <w:pPr>
              <w:pStyle w:val="Compact"/>
              <w:jc w:val="left"/>
              <w:spacing w:before="20" w:after="20" w:line="220" w:lineRule="auto"/>
            </w:pPr>
            <w:r>
              <w:rPr>
                <w:sz w:val="13"/>
                <w:szCs w:val="13"/>
              </w:rPr>
              <w:t xml:space="preserve">FY2024 (Jun)</w:t>
            </w:r>
          </w:p>
        </w:tc>
        <w:tc>
          <w:tcPr>
            <w:tcW w:w="630" w:type="dxa"/>
          </w:tcPr>
          <w:p>
            <w:pPr>
              <w:pStyle w:val="Compact"/>
              <w:jc w:val="left"/>
              <w:spacing w:before="20" w:after="20" w:line="220" w:lineRule="auto"/>
            </w:pPr>
            <w:r>
              <w:rPr>
                <w:sz w:val="13"/>
                <w:szCs w:val="13"/>
              </w:rPr>
              <w:t xml:space="preserve">93.0%</w:t>
            </w:r>
          </w:p>
        </w:tc>
        <w:tc>
          <w:tcPr>
            <w:tcW w:w="990" w:type="dxa"/>
          </w:tcPr>
          <w:p>
            <w:pPr>
              <w:pStyle w:val="Compact"/>
              <w:jc w:val="left"/>
              <w:spacing w:before="20" w:after="20" w:line="220" w:lineRule="auto"/>
            </w:pPr>
            <w:r>
              <w:rPr>
                <w:sz w:val="13"/>
                <w:szCs w:val="13"/>
              </w:rPr>
              <w:t xml:space="preserve">93.0%</w:t>
            </w:r>
          </w:p>
        </w:tc>
        <w:tc>
          <w:tcPr>
            <w:tcW w:w="990" w:type="dxa"/>
          </w:tcPr>
          <w:p>
            <w:pPr>
              <w:pStyle w:val="Compact"/>
              <w:jc w:val="left"/>
              <w:spacing w:before="20" w:after="20" w:line="220" w:lineRule="auto"/>
            </w:pPr>
            <w:r>
              <w:rPr>
                <w:sz w:val="13"/>
                <w:szCs w:val="13"/>
              </w:rPr>
              <w:t xml:space="preserve">yes</w:t>
            </w:r>
          </w:p>
        </w:tc>
      </w:tr>
      <w:tr>
        <w:tc>
          <w:tcPr>
            <w:tcW w:w="3942" w:type="dxa"/>
          </w:tcPr>
          <w:p>
            <w:pPr>
              <w:pStyle w:val="Compact"/>
              <w:jc w:val="left"/>
              <w:spacing w:before="20" w:after="20" w:line="220" w:lineRule="auto"/>
            </w:pPr>
            <w:r>
              <w:rPr>
                <w:sz w:val="13"/>
                <w:szCs w:val="13"/>
              </w:rPr>
              <w:t xml:space="preserve">Nedgroup Insurance Company (Nedbank)</w:t>
            </w:r>
          </w:p>
        </w:tc>
        <w:tc>
          <w:tcPr>
            <w:tcW w:w="774" w:type="dxa"/>
          </w:tcPr>
          <w:p>
            <w:pPr>
              <w:pStyle w:val="Compact"/>
              <w:jc w:val="left"/>
              <w:spacing w:before="20" w:after="20" w:line="220" w:lineRule="auto"/>
            </w:pPr>
            <w:r>
              <w:rPr>
                <w:sz w:val="13"/>
                <w:szCs w:val="13"/>
              </w:rPr>
              <w:t xml:space="preserve">LB</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bank captive</w:t>
            </w:r>
          </w:p>
        </w:tc>
        <w:tc>
          <w:tcPr>
            <w:tcW w:w="2430" w:type="dxa"/>
          </w:tcPr>
          <w:p>
            <w:pPr>
              <w:pStyle w:val="Compact"/>
              <w:jc w:val="left"/>
              <w:spacing w:before="20" w:after="20" w:line="220" w:lineRule="auto"/>
            </w:pPr>
            <w:r>
              <w:rPr>
                <w:sz w:val="13"/>
                <w:szCs w:val="13"/>
              </w:rPr>
              <w:t xml:space="preserve">IFRS 17 (KPMG)</w:t>
            </w:r>
          </w:p>
        </w:tc>
        <w:tc>
          <w:tcPr>
            <w:tcW w:w="113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94.6%</w:t>
            </w:r>
          </w:p>
        </w:tc>
        <w:tc>
          <w:tcPr>
            <w:tcW w:w="990" w:type="dxa"/>
          </w:tcPr>
          <w:p>
            <w:pPr>
              <w:pStyle w:val="Compact"/>
              <w:jc w:val="left"/>
              <w:spacing w:before="20" w:after="20" w:line="220" w:lineRule="auto"/>
            </w:pPr>
            <w:r>
              <w:rPr>
                <w:sz w:val="13"/>
                <w:szCs w:val="13"/>
              </w:rPr>
              <w:t xml:space="preserve">94.6%</w:t>
            </w:r>
          </w:p>
        </w:tc>
        <w:tc>
          <w:tcPr>
            <w:tcW w:w="990" w:type="dxa"/>
          </w:tcPr>
          <w:p>
            <w:pPr>
              <w:pStyle w:val="Compact"/>
              <w:jc w:val="left"/>
              <w:spacing w:before="20" w:after="20" w:line="220" w:lineRule="auto"/>
            </w:pPr>
            <w:r>
              <w:rPr>
                <w:sz w:val="13"/>
                <w:szCs w:val="13"/>
              </w:rPr>
              <w:t xml:space="preserve">yes</w:t>
            </w:r>
          </w:p>
        </w:tc>
      </w:tr>
      <w:tr>
        <w:tc>
          <w:tcPr>
            <w:tcW w:w="3942" w:type="dxa"/>
          </w:tcPr>
          <w:p>
            <w:pPr>
              <w:pStyle w:val="Compact"/>
              <w:jc w:val="left"/>
              <w:spacing w:before="20" w:after="20" w:line="220" w:lineRule="auto"/>
            </w:pPr>
            <w:r>
              <w:rPr>
                <w:sz w:val="13"/>
                <w:szCs w:val="13"/>
              </w:rPr>
              <w:t xml:space="preserve">Old Mutual Insure</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w:t>
            </w:r>
          </w:p>
        </w:tc>
        <w:tc>
          <w:tcPr>
            <w:tcW w:w="2430"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90.5%</w:t>
            </w:r>
          </w:p>
        </w:tc>
        <w:tc>
          <w:tcPr>
            <w:tcW w:w="990" w:type="dxa"/>
          </w:tcPr>
          <w:p>
            <w:pPr>
              <w:pStyle w:val="Compact"/>
              <w:jc w:val="left"/>
              <w:spacing w:before="20" w:after="20" w:line="220" w:lineRule="auto"/>
            </w:pPr>
            <w:r>
              <w:rPr>
                <w:sz w:val="13"/>
                <w:szCs w:val="13"/>
              </w:rPr>
              <w:t xml:space="preserve">90.5%</w:t>
            </w:r>
          </w:p>
        </w:tc>
        <w:tc>
          <w:tcPr>
            <w:tcW w:w="990" w:type="dxa"/>
          </w:tcPr>
          <w:p>
            <w:pPr>
              <w:pStyle w:val="Compact"/>
              <w:jc w:val="left"/>
              <w:spacing w:before="20" w:after="20" w:line="220" w:lineRule="auto"/>
            </w:pPr>
            <w:r>
              <w:rPr>
                <w:sz w:val="13"/>
                <w:szCs w:val="13"/>
              </w:rPr>
              <w:t xml:space="preserve">yes</w:t>
            </w:r>
          </w:p>
        </w:tc>
      </w:tr>
      <w:tr>
        <w:tc>
          <w:tcPr>
            <w:tcW w:w="3942" w:type="dxa"/>
          </w:tcPr>
          <w:p>
            <w:pPr>
              <w:pStyle w:val="Compact"/>
              <w:jc w:val="left"/>
              <w:spacing w:before="20" w:after="20" w:line="220" w:lineRule="auto"/>
            </w:pPr>
            <w:r>
              <w:rPr>
                <w:sz w:val="13"/>
                <w:szCs w:val="13"/>
              </w:rPr>
              <w:t xml:space="preserve">Santam Group</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w:t>
            </w:r>
          </w:p>
        </w:tc>
        <w:tc>
          <w:tcPr>
            <w:tcW w:w="2430"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87.4%</w:t>
            </w:r>
          </w:p>
        </w:tc>
        <w:tc>
          <w:tcPr>
            <w:tcW w:w="990" w:type="dxa"/>
          </w:tcPr>
          <w:p>
            <w:pPr>
              <w:pStyle w:val="Compact"/>
              <w:jc w:val="left"/>
              <w:spacing w:before="20" w:after="20" w:line="220" w:lineRule="auto"/>
            </w:pPr>
            <w:r>
              <w:rPr>
                <w:sz w:val="13"/>
                <w:szCs w:val="13"/>
              </w:rPr>
              <w:t xml:space="preserve">87.4%</w:t>
            </w:r>
          </w:p>
        </w:tc>
        <w:tc>
          <w:tcPr>
            <w:tcW w:w="990" w:type="dxa"/>
          </w:tcPr>
          <w:p>
            <w:pPr>
              <w:pStyle w:val="Compact"/>
              <w:jc w:val="left"/>
              <w:spacing w:before="20" w:after="20" w:line="220" w:lineRule="auto"/>
            </w:pPr>
            <w:r>
              <w:rPr>
                <w:sz w:val="13"/>
                <w:szCs w:val="13"/>
              </w:rPr>
              <w:t xml:space="preserve">yes</w:t>
            </w:r>
          </w:p>
        </w:tc>
      </w:tr>
      <w:tr>
        <w:tc>
          <w:tcPr>
            <w:tcW w:w="3942" w:type="dxa"/>
          </w:tcPr>
          <w:p>
            <w:pPr>
              <w:pStyle w:val="Compact"/>
              <w:jc w:val="left"/>
              <w:spacing w:before="20" w:after="20" w:line="220" w:lineRule="auto"/>
            </w:pPr>
            <w:r>
              <w:rPr>
                <w:sz w:val="13"/>
                <w:szCs w:val="13"/>
              </w:rPr>
              <w:t xml:space="preserve">Standard Insurance Limited (Standard Bank)</w:t>
            </w:r>
          </w:p>
        </w:tc>
        <w:tc>
          <w:tcPr>
            <w:tcW w:w="774" w:type="dxa"/>
          </w:tcPr>
          <w:p>
            <w:pPr>
              <w:pStyle w:val="Compact"/>
              <w:jc w:val="left"/>
              <w:spacing w:before="20" w:after="20" w:line="220" w:lineRule="auto"/>
            </w:pPr>
            <w:r>
              <w:rPr>
                <w:sz w:val="13"/>
                <w:szCs w:val="13"/>
              </w:rPr>
              <w:t xml:space="preserve">LB</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bank captive</w:t>
            </w:r>
          </w:p>
        </w:tc>
        <w:tc>
          <w:tcPr>
            <w:tcW w:w="2430"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73.7%</w:t>
            </w:r>
          </w:p>
        </w:tc>
        <w:tc>
          <w:tcPr>
            <w:tcW w:w="990" w:type="dxa"/>
          </w:tcPr>
          <w:p>
            <w:pPr>
              <w:pStyle w:val="Compact"/>
              <w:jc w:val="left"/>
              <w:spacing w:before="20" w:after="20" w:line="220" w:lineRule="auto"/>
            </w:pPr>
            <w:r>
              <w:rPr>
                <w:sz w:val="13"/>
                <w:szCs w:val="13"/>
              </w:rPr>
              <w:t xml:space="preserve">73.7%</w:t>
            </w:r>
          </w:p>
        </w:tc>
        <w:tc>
          <w:tcPr>
            <w:tcW w:w="990"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M5; raw values link to data_ids in the Raw data tab.</w:t>
      </w:r>
    </w:p>
    <w:bookmarkEnd w:id="67"/>
    <w:bookmarkStart w:id="68" w:name="X068631992b561a4b21981a4e6629b6b3c8c3034"/>
    <w:p>
      <w:pPr>
        <w:pStyle w:val="Heading4"/>
      </w:pPr>
      <w:r>
        <w:t xml:space="preserve">M5b: Non-life combined ratio including non-attributable expenses</w:t>
      </w:r>
    </w:p>
    <w:tbl>
      <w:tblPr>
        <w:tblStyle w:val="Table"/>
        <w:tblLook w:firstRow="1" w:lastRow="0" w:firstColumn="0" w:lastColumn="0" w:noHBand="0" w:noVBand="0" w:val="0020"/>
        <w:jc w:val="start"/>
        <w:tblW w:w="11214" w:type="dxa"/>
        <w:tblLayout w:type="fixed"/>
      </w:tblPr>
      <w:tblGrid>
        <w:gridCol w:w="3294"/>
        <w:gridCol w:w="774"/>
        <w:gridCol w:w="774"/>
        <w:gridCol w:w="1350"/>
        <w:gridCol w:w="1278"/>
        <w:gridCol w:w="1134"/>
        <w:gridCol w:w="630"/>
        <w:gridCol w:w="990"/>
        <w:gridCol w:w="990"/>
      </w:tblGrid>
      <w:tr>
        <w:trPr>
          <w:tblHeader w:val="true"/>
        </w:trPr>
        <w:tc>
          <w:tcPr>
            <w:tcW w:w="3294"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774" w:type="dxa"/>
          </w:tcPr>
          <w:p>
            <w:pPr>
              <w:pStyle w:val="Compact"/>
              <w:jc w:val="left"/>
              <w:spacing w:before="20" w:after="20" w:line="220" w:lineRule="auto"/>
            </w:pPr>
            <w:r>
              <w:rPr>
                <w:sz w:val="13"/>
                <w:szCs w:val="13"/>
              </w:rPr>
              <w:t xml:space="preserve">Mix</w:t>
            </w:r>
          </w:p>
        </w:tc>
        <w:tc>
          <w:tcPr>
            <w:tcW w:w="1350" w:type="dxa"/>
          </w:tcPr>
          <w:p>
            <w:pPr>
              <w:pStyle w:val="Compact"/>
              <w:jc w:val="left"/>
              <w:spacing w:before="20" w:after="20" w:line="220" w:lineRule="auto"/>
            </w:pPr>
            <w:r>
              <w:rPr>
                <w:sz w:val="13"/>
                <w:szCs w:val="13"/>
              </w:rPr>
              <w:t xml:space="preserve">Distribution</w:t>
            </w:r>
          </w:p>
        </w:tc>
        <w:tc>
          <w:tcPr>
            <w:tcW w:w="1278" w:type="dxa"/>
          </w:tcPr>
          <w:p>
            <w:pPr>
              <w:pStyle w:val="Compact"/>
              <w:jc w:val="left"/>
              <w:spacing w:before="20" w:after="20" w:line="220" w:lineRule="auto"/>
            </w:pPr>
            <w:r>
              <w:rPr>
                <w:sz w:val="13"/>
                <w:szCs w:val="13"/>
              </w:rPr>
              <w:t xml:space="preserve">Basis</w:t>
            </w:r>
          </w:p>
        </w:tc>
        <w:tc>
          <w:tcPr>
            <w:tcW w:w="1134"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90" w:type="dxa"/>
          </w:tcPr>
          <w:p>
            <w:pPr>
              <w:pStyle w:val="Compact"/>
              <w:jc w:val="left"/>
              <w:spacing w:before="20" w:after="20" w:line="220" w:lineRule="auto"/>
            </w:pPr>
            <w:r>
              <w:rPr>
                <w:sz w:val="13"/>
                <w:szCs w:val="13"/>
              </w:rPr>
              <w:t xml:space="preserve">In medians</w:t>
            </w:r>
          </w:p>
        </w:tc>
      </w:tr>
      <w:tr>
        <w:tc>
          <w:tcPr>
            <w:tcW w:w="3294" w:type="dxa"/>
          </w:tcPr>
          <w:p>
            <w:pPr>
              <w:pStyle w:val="Compact"/>
              <w:jc w:val="left"/>
              <w:spacing w:before="20" w:after="20" w:line="220" w:lineRule="auto"/>
            </w:pPr>
            <w:r>
              <w:rPr>
                <w:sz w:val="13"/>
                <w:szCs w:val="13"/>
              </w:rPr>
              <w:t xml:space="preserve">AFS Non-Life Insurance SA</w:t>
            </w:r>
          </w:p>
        </w:tc>
        <w:tc>
          <w:tcPr>
            <w:tcW w:w="774" w:type="dxa"/>
          </w:tcPr>
          <w:p>
            <w:pPr>
              <w:pStyle w:val="Compact"/>
              <w:jc w:val="left"/>
              <w:spacing w:before="20" w:after="20" w:line="220" w:lineRule="auto"/>
            </w:pPr>
            <w:r>
              <w:rPr>
                <w:sz w:val="13"/>
                <w:szCs w:val="13"/>
              </w:rPr>
              <w:t xml:space="preserve">AFS</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bank captive</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93.8%</w:t>
            </w:r>
          </w:p>
        </w:tc>
        <w:tc>
          <w:tcPr>
            <w:tcW w:w="990" w:type="dxa"/>
          </w:tcPr>
          <w:p>
            <w:pPr>
              <w:pStyle w:val="Compact"/>
              <w:jc w:val="left"/>
              <w:spacing w:before="20" w:after="20" w:line="220" w:lineRule="auto"/>
            </w:pPr>
            <w:r>
              <w:rPr>
                <w:sz w:val="13"/>
                <w:szCs w:val="13"/>
              </w:rPr>
              <w:t xml:space="preserve">93.8%</w:t>
            </w:r>
          </w:p>
        </w:tc>
        <w:tc>
          <w:tcPr>
            <w:tcW w:w="990" w:type="dxa"/>
          </w:tcPr>
          <w:p>
            <w:pPr>
              <w:pStyle w:val="Compact"/>
              <w:jc w:val="left"/>
              <w:spacing w:before="20" w:after="20" w:line="220" w:lineRule="auto"/>
            </w:pPr>
            <w:r>
              <w:rPr>
                <w:sz w:val="13"/>
                <w:szCs w:val="13"/>
              </w:rPr>
              <w:t xml:space="preserve">no</w:t>
            </w:r>
          </w:p>
        </w:tc>
      </w:tr>
      <w:tr>
        <w:tc>
          <w:tcPr>
            <w:tcW w:w="3294" w:type="dxa"/>
          </w:tcPr>
          <w:p>
            <w:pPr>
              <w:pStyle w:val="Compact"/>
              <w:jc w:val="left"/>
              <w:spacing w:before="20" w:after="20" w:line="220" w:lineRule="auto"/>
            </w:pPr>
            <w:r>
              <w:rPr>
                <w:sz w:val="13"/>
                <w:szCs w:val="13"/>
              </w:rPr>
              <w:t xml:space="preserve">Discovery Insure</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 and direct</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91.1%</w:t>
            </w:r>
          </w:p>
        </w:tc>
        <w:tc>
          <w:tcPr>
            <w:tcW w:w="990" w:type="dxa"/>
          </w:tcPr>
          <w:p>
            <w:pPr>
              <w:pStyle w:val="Compact"/>
              <w:jc w:val="left"/>
              <w:spacing w:before="20" w:after="20" w:line="220" w:lineRule="auto"/>
            </w:pPr>
            <w:r>
              <w:rPr>
                <w:sz w:val="13"/>
                <w:szCs w:val="13"/>
              </w:rPr>
              <w:t xml:space="preserve">91.1%</w:t>
            </w:r>
          </w:p>
        </w:tc>
        <w:tc>
          <w:tcPr>
            <w:tcW w:w="990" w:type="dxa"/>
          </w:tcPr>
          <w:p>
            <w:pPr>
              <w:pStyle w:val="Compact"/>
              <w:jc w:val="left"/>
              <w:spacing w:before="20" w:after="20" w:line="220" w:lineRule="auto"/>
            </w:pPr>
            <w:r>
              <w:rPr>
                <w:sz w:val="13"/>
                <w:szCs w:val="13"/>
              </w:rPr>
              <w:t xml:space="preserve">yes</w:t>
            </w:r>
          </w:p>
        </w:tc>
      </w:tr>
      <w:tr>
        <w:tc>
          <w:tcPr>
            <w:tcW w:w="3294" w:type="dxa"/>
          </w:tcPr>
          <w:p>
            <w:pPr>
              <w:pStyle w:val="Compact"/>
              <w:jc w:val="left"/>
              <w:spacing w:before="20" w:after="20" w:line="220" w:lineRule="auto"/>
            </w:pPr>
            <w:r>
              <w:rPr>
                <w:sz w:val="13"/>
                <w:szCs w:val="13"/>
              </w:rPr>
              <w:t xml:space="preserve">Hollard Insurance Company</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w:t>
            </w:r>
          </w:p>
        </w:tc>
        <w:tc>
          <w:tcPr>
            <w:tcW w:w="1278" w:type="dxa"/>
          </w:tcPr>
          <w:p>
            <w:pPr>
              <w:pStyle w:val="Compact"/>
              <w:jc w:val="left"/>
              <w:spacing w:before="20" w:after="20" w:line="220" w:lineRule="auto"/>
            </w:pPr>
            <w:r>
              <w:rPr>
                <w:sz w:val="13"/>
                <w:szCs w:val="13"/>
              </w:rPr>
              <w:t xml:space="preserve">IFRS 17 (KPMG)</w:t>
            </w:r>
          </w:p>
        </w:tc>
        <w:tc>
          <w:tcPr>
            <w:tcW w:w="1134" w:type="dxa"/>
          </w:tcPr>
          <w:p>
            <w:pPr>
              <w:pStyle w:val="Compact"/>
              <w:jc w:val="left"/>
              <w:spacing w:before="20" w:after="20" w:line="220" w:lineRule="auto"/>
            </w:pPr>
            <w:r>
              <w:rPr>
                <w:sz w:val="13"/>
                <w:szCs w:val="13"/>
              </w:rPr>
              <w:t xml:space="preserve">FY2024 (Jun)</w:t>
            </w:r>
          </w:p>
        </w:tc>
        <w:tc>
          <w:tcPr>
            <w:tcW w:w="630" w:type="dxa"/>
          </w:tcPr>
          <w:p>
            <w:pPr>
              <w:pStyle w:val="Compact"/>
              <w:jc w:val="left"/>
              <w:spacing w:before="20" w:after="20" w:line="220" w:lineRule="auto"/>
            </w:pPr>
            <w:r>
              <w:rPr>
                <w:sz w:val="13"/>
                <w:szCs w:val="13"/>
              </w:rPr>
              <w:t xml:space="preserve">99.9%</w:t>
            </w:r>
          </w:p>
        </w:tc>
        <w:tc>
          <w:tcPr>
            <w:tcW w:w="990" w:type="dxa"/>
          </w:tcPr>
          <w:p>
            <w:pPr>
              <w:pStyle w:val="Compact"/>
              <w:jc w:val="left"/>
              <w:spacing w:before="20" w:after="20" w:line="220" w:lineRule="auto"/>
            </w:pPr>
            <w:r>
              <w:rPr>
                <w:sz w:val="13"/>
                <w:szCs w:val="13"/>
              </w:rPr>
              <w:t xml:space="preserve">99.9%</w:t>
            </w:r>
          </w:p>
        </w:tc>
        <w:tc>
          <w:tcPr>
            <w:tcW w:w="990" w:type="dxa"/>
          </w:tcPr>
          <w:p>
            <w:pPr>
              <w:pStyle w:val="Compact"/>
              <w:jc w:val="left"/>
              <w:spacing w:before="20" w:after="20" w:line="220" w:lineRule="auto"/>
            </w:pPr>
            <w:r>
              <w:rPr>
                <w:sz w:val="13"/>
                <w:szCs w:val="13"/>
              </w:rPr>
              <w:t xml:space="preserve">yes</w:t>
            </w:r>
          </w:p>
        </w:tc>
      </w:tr>
      <w:tr>
        <w:tc>
          <w:tcPr>
            <w:tcW w:w="3294" w:type="dxa"/>
          </w:tcPr>
          <w:p>
            <w:pPr>
              <w:pStyle w:val="Compact"/>
              <w:jc w:val="left"/>
              <w:spacing w:before="20" w:after="20" w:line="220" w:lineRule="auto"/>
            </w:pPr>
            <w:r>
              <w:rPr>
                <w:sz w:val="13"/>
                <w:szCs w:val="13"/>
              </w:rPr>
              <w:t xml:space="preserve">Nedgroup Insurance Company (Nedbank)</w:t>
            </w:r>
          </w:p>
        </w:tc>
        <w:tc>
          <w:tcPr>
            <w:tcW w:w="774" w:type="dxa"/>
          </w:tcPr>
          <w:p>
            <w:pPr>
              <w:pStyle w:val="Compact"/>
              <w:jc w:val="left"/>
              <w:spacing w:before="20" w:after="20" w:line="220" w:lineRule="auto"/>
            </w:pPr>
            <w:r>
              <w:rPr>
                <w:sz w:val="13"/>
                <w:szCs w:val="13"/>
              </w:rPr>
              <w:t xml:space="preserve">LB</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bank captive</w:t>
            </w:r>
          </w:p>
        </w:tc>
        <w:tc>
          <w:tcPr>
            <w:tcW w:w="1278" w:type="dxa"/>
          </w:tcPr>
          <w:p>
            <w:pPr>
              <w:pStyle w:val="Compact"/>
              <w:jc w:val="left"/>
              <w:spacing w:before="20" w:after="20" w:line="220" w:lineRule="auto"/>
            </w:pPr>
            <w:r>
              <w:rPr>
                <w:sz w:val="13"/>
                <w:szCs w:val="13"/>
              </w:rPr>
              <w:t xml:space="preserve">IFRS 17 (KPMG)</w:t>
            </w:r>
          </w:p>
        </w:tc>
        <w:tc>
          <w:tcPr>
            <w:tcW w:w="1134" w:type="dxa"/>
          </w:tcPr>
          <w:p>
            <w:pPr>
              <w:pStyle w:val="Compact"/>
              <w:jc w:val="left"/>
              <w:spacing w:before="20" w:after="20" w:line="220" w:lineRule="auto"/>
            </w:pPr>
            <w:r>
              <w:rPr>
                <w:sz w:val="13"/>
                <w:szCs w:val="13"/>
              </w:rPr>
              <w:t xml:space="preserve">FY2024 (Dec)</w:t>
            </w:r>
          </w:p>
        </w:tc>
        <w:tc>
          <w:tcPr>
            <w:tcW w:w="630" w:type="dxa"/>
          </w:tcPr>
          <w:p>
            <w:pPr>
              <w:pStyle w:val="Compact"/>
              <w:jc w:val="left"/>
              <w:spacing w:before="20" w:after="20" w:line="220" w:lineRule="auto"/>
            </w:pPr>
            <w:r>
              <w:rPr>
                <w:sz w:val="13"/>
                <w:szCs w:val="13"/>
              </w:rPr>
              <w:t xml:space="preserve">96.3%</w:t>
            </w:r>
          </w:p>
        </w:tc>
        <w:tc>
          <w:tcPr>
            <w:tcW w:w="990" w:type="dxa"/>
          </w:tcPr>
          <w:p>
            <w:pPr>
              <w:pStyle w:val="Compact"/>
              <w:jc w:val="left"/>
              <w:spacing w:before="20" w:after="20" w:line="220" w:lineRule="auto"/>
            </w:pPr>
            <w:r>
              <w:rPr>
                <w:sz w:val="13"/>
                <w:szCs w:val="13"/>
              </w:rPr>
              <w:t xml:space="preserve">96.3%</w:t>
            </w:r>
          </w:p>
        </w:tc>
        <w:tc>
          <w:tcPr>
            <w:tcW w:w="990" w:type="dxa"/>
          </w:tcPr>
          <w:p>
            <w:pPr>
              <w:pStyle w:val="Compact"/>
              <w:jc w:val="left"/>
              <w:spacing w:before="20" w:after="20" w:line="220" w:lineRule="auto"/>
            </w:pPr>
            <w:r>
              <w:rPr>
                <w:sz w:val="13"/>
                <w:szCs w:val="13"/>
              </w:rPr>
              <w:t xml:space="preserve">yes</w:t>
            </w:r>
          </w:p>
        </w:tc>
      </w:tr>
      <w:tr>
        <w:tc>
          <w:tcPr>
            <w:tcW w:w="3294" w:type="dxa"/>
          </w:tcPr>
          <w:p>
            <w:pPr>
              <w:pStyle w:val="Compact"/>
              <w:jc w:val="left"/>
              <w:spacing w:before="20" w:after="20" w:line="220" w:lineRule="auto"/>
            </w:pPr>
            <w:r>
              <w:rPr>
                <w:sz w:val="13"/>
                <w:szCs w:val="13"/>
              </w:rPr>
              <w:t xml:space="preserve">Old Mutual Insure</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94.8%</w:t>
            </w:r>
          </w:p>
        </w:tc>
        <w:tc>
          <w:tcPr>
            <w:tcW w:w="990" w:type="dxa"/>
          </w:tcPr>
          <w:p>
            <w:pPr>
              <w:pStyle w:val="Compact"/>
              <w:jc w:val="left"/>
              <w:spacing w:before="20" w:after="20" w:line="220" w:lineRule="auto"/>
            </w:pPr>
            <w:r>
              <w:rPr>
                <w:sz w:val="13"/>
                <w:szCs w:val="13"/>
              </w:rPr>
              <w:t xml:space="preserve">94.8%</w:t>
            </w:r>
          </w:p>
        </w:tc>
        <w:tc>
          <w:tcPr>
            <w:tcW w:w="990" w:type="dxa"/>
          </w:tcPr>
          <w:p>
            <w:pPr>
              <w:pStyle w:val="Compact"/>
              <w:jc w:val="left"/>
              <w:spacing w:before="20" w:after="20" w:line="220" w:lineRule="auto"/>
            </w:pPr>
            <w:r>
              <w:rPr>
                <w:sz w:val="13"/>
                <w:szCs w:val="13"/>
              </w:rPr>
              <w:t xml:space="preserve">yes</w:t>
            </w:r>
          </w:p>
        </w:tc>
      </w:tr>
      <w:tr>
        <w:tc>
          <w:tcPr>
            <w:tcW w:w="3294" w:type="dxa"/>
          </w:tcPr>
          <w:p>
            <w:pPr>
              <w:pStyle w:val="Compact"/>
              <w:jc w:val="left"/>
              <w:spacing w:before="20" w:after="20" w:line="220" w:lineRule="auto"/>
            </w:pPr>
            <w:r>
              <w:rPr>
                <w:sz w:val="13"/>
                <w:szCs w:val="13"/>
              </w:rPr>
              <w:t xml:space="preserve">Santam Group</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open</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90.6%</w:t>
            </w:r>
          </w:p>
        </w:tc>
        <w:tc>
          <w:tcPr>
            <w:tcW w:w="990" w:type="dxa"/>
          </w:tcPr>
          <w:p>
            <w:pPr>
              <w:pStyle w:val="Compact"/>
              <w:jc w:val="left"/>
              <w:spacing w:before="20" w:after="20" w:line="220" w:lineRule="auto"/>
            </w:pPr>
            <w:r>
              <w:rPr>
                <w:sz w:val="13"/>
                <w:szCs w:val="13"/>
              </w:rPr>
              <w:t xml:space="preserve">90.6%</w:t>
            </w:r>
          </w:p>
        </w:tc>
        <w:tc>
          <w:tcPr>
            <w:tcW w:w="990" w:type="dxa"/>
          </w:tcPr>
          <w:p>
            <w:pPr>
              <w:pStyle w:val="Compact"/>
              <w:jc w:val="left"/>
              <w:spacing w:before="20" w:after="20" w:line="220" w:lineRule="auto"/>
            </w:pPr>
            <w:r>
              <w:rPr>
                <w:sz w:val="13"/>
                <w:szCs w:val="13"/>
              </w:rPr>
              <w:t xml:space="preserve">yes</w:t>
            </w:r>
          </w:p>
        </w:tc>
      </w:tr>
      <w:tr>
        <w:tc>
          <w:tcPr>
            <w:tcW w:w="3294" w:type="dxa"/>
          </w:tcPr>
          <w:p>
            <w:pPr>
              <w:pStyle w:val="Compact"/>
              <w:jc w:val="left"/>
              <w:spacing w:before="20" w:after="20" w:line="220" w:lineRule="auto"/>
            </w:pPr>
            <w:r>
              <w:rPr>
                <w:sz w:val="13"/>
                <w:szCs w:val="13"/>
              </w:rPr>
              <w:t xml:space="preserve">Standard Insurance Limited (Standard Bank)</w:t>
            </w:r>
          </w:p>
        </w:tc>
        <w:tc>
          <w:tcPr>
            <w:tcW w:w="774" w:type="dxa"/>
          </w:tcPr>
          <w:p>
            <w:pPr>
              <w:pStyle w:val="Compact"/>
              <w:jc w:val="left"/>
              <w:spacing w:before="20" w:after="20" w:line="220" w:lineRule="auto"/>
            </w:pPr>
            <w:r>
              <w:rPr>
                <w:sz w:val="13"/>
                <w:szCs w:val="13"/>
              </w:rPr>
              <w:t xml:space="preserve">LB</w:t>
            </w:r>
          </w:p>
        </w:tc>
        <w:tc>
          <w:tcPr>
            <w:tcW w:w="774" w:type="dxa"/>
          </w:tcPr>
          <w:p>
            <w:pPr>
              <w:pStyle w:val="Compact"/>
              <w:jc w:val="left"/>
              <w:spacing w:before="20" w:after="20" w:line="220" w:lineRule="auto"/>
            </w:pPr>
            <w:r>
              <w:rPr>
                <w:sz w:val="13"/>
                <w:szCs w:val="13"/>
              </w:rPr>
              <w:t xml:space="preserve">nonlife</w:t>
            </w:r>
          </w:p>
        </w:tc>
        <w:tc>
          <w:tcPr>
            <w:tcW w:w="1350" w:type="dxa"/>
          </w:tcPr>
          <w:p>
            <w:pPr>
              <w:pStyle w:val="Compact"/>
              <w:jc w:val="left"/>
              <w:spacing w:before="20" w:after="20" w:line="220" w:lineRule="auto"/>
            </w:pPr>
            <w:r>
              <w:rPr>
                <w:sz w:val="13"/>
                <w:szCs w:val="13"/>
              </w:rPr>
              <w:t xml:space="preserve">bank captive</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77.9%</w:t>
            </w:r>
          </w:p>
        </w:tc>
        <w:tc>
          <w:tcPr>
            <w:tcW w:w="990" w:type="dxa"/>
          </w:tcPr>
          <w:p>
            <w:pPr>
              <w:pStyle w:val="Compact"/>
              <w:jc w:val="left"/>
              <w:spacing w:before="20" w:after="20" w:line="220" w:lineRule="auto"/>
            </w:pPr>
            <w:r>
              <w:rPr>
                <w:sz w:val="13"/>
                <w:szCs w:val="13"/>
              </w:rPr>
              <w:t xml:space="preserve">77.9%</w:t>
            </w:r>
          </w:p>
        </w:tc>
        <w:tc>
          <w:tcPr>
            <w:tcW w:w="990"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M5b; raw values link to data_ids in the Raw data tab.</w:t>
      </w:r>
    </w:p>
    <w:bookmarkEnd w:id="68"/>
    <w:bookmarkStart w:id="69" w:name="Xc357b9e7a037b115b402bd6b1d1ab7f4fd1572b"/>
    <w:p>
      <w:pPr>
        <w:pStyle w:val="Heading4"/>
      </w:pPr>
      <w:r>
        <w:t xml:space="preserve">M5r: Non-life combined ratio as reported by the entity (own definition)</w:t>
      </w:r>
    </w:p>
    <w:tbl>
      <w:tblPr>
        <w:tblStyle w:val="Table"/>
        <w:tblLook w:firstRow="1" w:lastRow="0" w:firstColumn="0" w:lastColumn="0" w:noHBand="0" w:noVBand="0" w:val="0020"/>
        <w:jc w:val="start"/>
        <w:tblW w:w="14568" w:type="dxa"/>
        <w:tblLayout w:type="fixed"/>
      </w:tblPr>
      <w:tblGrid>
        <w:gridCol w:w="3994"/>
        <w:gridCol w:w="774"/>
        <w:gridCol w:w="774"/>
        <w:gridCol w:w="2063"/>
        <w:gridCol w:w="3375"/>
        <w:gridCol w:w="1030"/>
        <w:gridCol w:w="630"/>
        <w:gridCol w:w="990"/>
        <w:gridCol w:w="938"/>
      </w:tblGrid>
      <w:tr>
        <w:trPr>
          <w:tblHeader w:val="true"/>
        </w:trPr>
        <w:tc>
          <w:tcPr>
            <w:tcW w:w="3994"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774" w:type="dxa"/>
          </w:tcPr>
          <w:p>
            <w:pPr>
              <w:pStyle w:val="Compact"/>
              <w:jc w:val="left"/>
              <w:spacing w:before="20" w:after="20" w:line="220" w:lineRule="auto"/>
            </w:pPr>
            <w:r>
              <w:rPr>
                <w:sz w:val="13"/>
                <w:szCs w:val="13"/>
              </w:rPr>
              <w:t xml:space="preserve">Mix</w:t>
            </w:r>
          </w:p>
        </w:tc>
        <w:tc>
          <w:tcPr>
            <w:tcW w:w="2063" w:type="dxa"/>
          </w:tcPr>
          <w:p>
            <w:pPr>
              <w:pStyle w:val="Compact"/>
              <w:jc w:val="left"/>
              <w:spacing w:before="20" w:after="20" w:line="220" w:lineRule="auto"/>
            </w:pPr>
            <w:r>
              <w:rPr>
                <w:sz w:val="13"/>
                <w:szCs w:val="13"/>
              </w:rPr>
              <w:t xml:space="preserve">Distribution</w:t>
            </w:r>
          </w:p>
        </w:tc>
        <w:tc>
          <w:tcPr>
            <w:tcW w:w="3375" w:type="dxa"/>
          </w:tcPr>
          <w:p>
            <w:pPr>
              <w:pStyle w:val="Compact"/>
              <w:jc w:val="left"/>
              <w:spacing w:before="20" w:after="20" w:line="220" w:lineRule="auto"/>
            </w:pPr>
            <w:r>
              <w:rPr>
                <w:sz w:val="13"/>
                <w:szCs w:val="13"/>
              </w:rPr>
              <w:t xml:space="preserve">Basis</w:t>
            </w:r>
          </w:p>
        </w:tc>
        <w:tc>
          <w:tcPr>
            <w:tcW w:w="1030"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38" w:type="dxa"/>
          </w:tcPr>
          <w:p>
            <w:pPr>
              <w:pStyle w:val="Compact"/>
              <w:jc w:val="left"/>
              <w:spacing w:before="20" w:after="20" w:line="220" w:lineRule="auto"/>
            </w:pPr>
            <w:r>
              <w:rPr>
                <w:sz w:val="13"/>
                <w:szCs w:val="13"/>
              </w:rPr>
              <w:t xml:space="preserve">In medians</w:t>
            </w:r>
          </w:p>
        </w:tc>
      </w:tr>
      <w:tr>
        <w:tc>
          <w:tcPr>
            <w:tcW w:w="3994" w:type="dxa"/>
          </w:tcPr>
          <w:p>
            <w:pPr>
              <w:pStyle w:val="Compact"/>
              <w:jc w:val="left"/>
              <w:spacing w:before="20" w:after="20" w:line="220" w:lineRule="auto"/>
            </w:pPr>
            <w:r>
              <w:rPr>
                <w:sz w:val="13"/>
                <w:szCs w:val="13"/>
              </w:rPr>
              <w:t xml:space="preserve">AFS Non-Life Insurance SA (1 minus reported underwriting margin)</w:t>
            </w:r>
          </w:p>
        </w:tc>
        <w:tc>
          <w:tcPr>
            <w:tcW w:w="774" w:type="dxa"/>
          </w:tcPr>
          <w:p>
            <w:pPr>
              <w:pStyle w:val="Compact"/>
              <w:jc w:val="left"/>
              <w:spacing w:before="20" w:after="20" w:line="220" w:lineRule="auto"/>
            </w:pPr>
            <w:r>
              <w:rPr>
                <w:sz w:val="13"/>
                <w:szCs w:val="13"/>
              </w:rPr>
              <w:t xml:space="preserve">AFS</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bank captive</w:t>
            </w:r>
          </w:p>
        </w:tc>
        <w:tc>
          <w:tcPr>
            <w:tcW w:w="3375" w:type="dxa"/>
          </w:tcPr>
          <w:p>
            <w:pPr>
              <w:pStyle w:val="Compact"/>
              <w:jc w:val="left"/>
              <w:spacing w:before="20" w:after="20" w:line="220" w:lineRule="auto"/>
            </w:pPr>
            <w:r>
              <w:rPr>
                <w:sz w:val="13"/>
                <w:szCs w:val="13"/>
              </w:rPr>
              <w:t xml:space="preserve">Absa definition</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92.4%</w:t>
            </w:r>
          </w:p>
        </w:tc>
        <w:tc>
          <w:tcPr>
            <w:tcW w:w="990" w:type="dxa"/>
          </w:tcPr>
          <w:p>
            <w:pPr>
              <w:pStyle w:val="Compact"/>
              <w:jc w:val="left"/>
              <w:spacing w:before="20" w:after="20" w:line="220" w:lineRule="auto"/>
            </w:pPr>
            <w:r>
              <w:rPr>
                <w:sz w:val="13"/>
                <w:szCs w:val="13"/>
              </w:rPr>
              <w:t xml:space="preserve">92.4%</w:t>
            </w:r>
          </w:p>
        </w:tc>
        <w:tc>
          <w:tcPr>
            <w:tcW w:w="938" w:type="dxa"/>
          </w:tcPr>
          <w:p>
            <w:pPr>
              <w:pStyle w:val="Compact"/>
              <w:jc w:val="left"/>
              <w:spacing w:before="20" w:after="20" w:line="220" w:lineRule="auto"/>
            </w:pPr>
            <w:r>
              <w:rPr>
                <w:sz w:val="13"/>
                <w:szCs w:val="13"/>
              </w:rPr>
              <w:t xml:space="preserve">no</w:t>
            </w:r>
          </w:p>
        </w:tc>
      </w:tr>
      <w:tr>
        <w:tc>
          <w:tcPr>
            <w:tcW w:w="3994" w:type="dxa"/>
          </w:tcPr>
          <w:p>
            <w:pPr>
              <w:pStyle w:val="Compact"/>
              <w:jc w:val="left"/>
              <w:spacing w:before="20" w:after="20" w:line="220" w:lineRule="auto"/>
            </w:pPr>
            <w:r>
              <w:rPr>
                <w:sz w:val="13"/>
                <w:szCs w:val="13"/>
              </w:rPr>
              <w:t xml:space="preserve">Brasilseg (BB Seguridade)</w:t>
            </w:r>
          </w:p>
        </w:tc>
        <w:tc>
          <w:tcPr>
            <w:tcW w:w="774" w:type="dxa"/>
          </w:tcPr>
          <w:p>
            <w:pPr>
              <w:pStyle w:val="Compact"/>
              <w:jc w:val="left"/>
              <w:spacing w:before="20" w:after="20" w:line="220" w:lineRule="auto"/>
            </w:pPr>
            <w:r>
              <w:rPr>
                <w:sz w:val="13"/>
                <w:szCs w:val="13"/>
              </w:rPr>
              <w:t xml:space="preserve">EM</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bank captive</w:t>
            </w:r>
          </w:p>
        </w:tc>
        <w:tc>
          <w:tcPr>
            <w:tcW w:w="3375" w:type="dxa"/>
          </w:tcPr>
          <w:p>
            <w:pPr>
              <w:pStyle w:val="Compact"/>
              <w:jc w:val="left"/>
              <w:spacing w:before="20" w:after="20" w:line="220" w:lineRule="auto"/>
            </w:pPr>
            <w:r>
              <w:rPr>
                <w:sz w:val="13"/>
                <w:szCs w:val="13"/>
              </w:rPr>
              <w:t xml:space="preserve">SUSEP combined ratio</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64.4%</w:t>
            </w:r>
          </w:p>
        </w:tc>
        <w:tc>
          <w:tcPr>
            <w:tcW w:w="990" w:type="dxa"/>
          </w:tcPr>
          <w:p>
            <w:pPr>
              <w:pStyle w:val="Compact"/>
              <w:jc w:val="left"/>
              <w:spacing w:before="20" w:after="20" w:line="220" w:lineRule="auto"/>
            </w:pPr>
            <w:r>
              <w:rPr>
                <w:sz w:val="13"/>
                <w:szCs w:val="13"/>
              </w:rPr>
              <w:t xml:space="preserve">64.4%</w:t>
            </w:r>
          </w:p>
        </w:tc>
        <w:tc>
          <w:tcPr>
            <w:tcW w:w="938" w:type="dxa"/>
          </w:tcPr>
          <w:p>
            <w:pPr>
              <w:pStyle w:val="Compact"/>
              <w:jc w:val="left"/>
              <w:spacing w:before="20" w:after="20" w:line="220" w:lineRule="auto"/>
            </w:pPr>
            <w:r>
              <w:rPr>
                <w:sz w:val="13"/>
                <w:szCs w:val="13"/>
              </w:rPr>
              <w:t xml:space="preserve">no</w:t>
            </w:r>
          </w:p>
        </w:tc>
      </w:tr>
      <w:tr>
        <w:tc>
          <w:tcPr>
            <w:tcW w:w="3994" w:type="dxa"/>
          </w:tcPr>
          <w:p>
            <w:pPr>
              <w:pStyle w:val="Compact"/>
              <w:jc w:val="left"/>
              <w:spacing w:before="20" w:after="20" w:line="220" w:lineRule="auto"/>
            </w:pPr>
            <w:r>
              <w:rPr>
                <w:sz w:val="13"/>
                <w:szCs w:val="13"/>
              </w:rPr>
              <w:t xml:space="preserve">Credit Agricole Assurances (Pacifica, P&amp;C France)</w:t>
            </w:r>
          </w:p>
        </w:tc>
        <w:tc>
          <w:tcPr>
            <w:tcW w:w="774" w:type="dxa"/>
          </w:tcPr>
          <w:p>
            <w:pPr>
              <w:pStyle w:val="Compact"/>
              <w:jc w:val="left"/>
              <w:spacing w:before="20" w:after="20" w:line="220" w:lineRule="auto"/>
            </w:pPr>
            <w:r>
              <w:rPr>
                <w:sz w:val="13"/>
                <w:szCs w:val="13"/>
              </w:rPr>
              <w:t xml:space="preserve">EU</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bank captive</w:t>
            </w:r>
          </w:p>
        </w:tc>
        <w:tc>
          <w:tcPr>
            <w:tcW w:w="3375" w:type="dxa"/>
          </w:tcPr>
          <w:p>
            <w:pPr>
              <w:pStyle w:val="Compact"/>
              <w:jc w:val="left"/>
              <w:spacing w:before="20" w:after="20" w:line="220" w:lineRule="auto"/>
            </w:pPr>
            <w:r>
              <w:rPr>
                <w:sz w:val="13"/>
                <w:szCs w:val="13"/>
              </w:rPr>
              <w:t xml:space="preserve">Management definition, net of reinsurance, discounted</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94.6%</w:t>
            </w:r>
          </w:p>
        </w:tc>
        <w:tc>
          <w:tcPr>
            <w:tcW w:w="990" w:type="dxa"/>
          </w:tcPr>
          <w:p>
            <w:pPr>
              <w:pStyle w:val="Compact"/>
              <w:jc w:val="left"/>
              <w:spacing w:before="20" w:after="20" w:line="220" w:lineRule="auto"/>
            </w:pPr>
            <w:r>
              <w:rPr>
                <w:sz w:val="13"/>
                <w:szCs w:val="13"/>
              </w:rPr>
              <w:t xml:space="preserve">94.6%</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Etiqa General Insurance (1 minus service result / revenue)</w:t>
            </w:r>
          </w:p>
        </w:tc>
        <w:tc>
          <w:tcPr>
            <w:tcW w:w="774" w:type="dxa"/>
          </w:tcPr>
          <w:p>
            <w:pPr>
              <w:pStyle w:val="Compact"/>
              <w:jc w:val="left"/>
              <w:spacing w:before="20" w:after="20" w:line="220" w:lineRule="auto"/>
            </w:pPr>
            <w:r>
              <w:rPr>
                <w:sz w:val="13"/>
                <w:szCs w:val="13"/>
              </w:rPr>
              <w:t xml:space="preserve">EM</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partly captive</w:t>
            </w:r>
          </w:p>
        </w:tc>
        <w:tc>
          <w:tcPr>
            <w:tcW w:w="3375" w:type="dxa"/>
          </w:tcPr>
          <w:p>
            <w:pPr>
              <w:pStyle w:val="Compact"/>
              <w:jc w:val="left"/>
              <w:spacing w:before="20" w:after="20" w:line="220" w:lineRule="auto"/>
            </w:pPr>
            <w:r>
              <w:rPr>
                <w:sz w:val="13"/>
                <w:szCs w:val="13"/>
              </w:rPr>
              <w:t xml:space="preserve">MFRS 17 proxy</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95.9%</w:t>
            </w:r>
          </w:p>
        </w:tc>
        <w:tc>
          <w:tcPr>
            <w:tcW w:w="990" w:type="dxa"/>
          </w:tcPr>
          <w:p>
            <w:pPr>
              <w:pStyle w:val="Compact"/>
              <w:jc w:val="left"/>
              <w:spacing w:before="20" w:after="20" w:line="220" w:lineRule="auto"/>
            </w:pPr>
            <w:r>
              <w:rPr>
                <w:sz w:val="13"/>
                <w:szCs w:val="13"/>
              </w:rPr>
              <w:t xml:space="preserve">95.9%</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Etiqa General Takaful (1 minus service result / revenue)</w:t>
            </w:r>
          </w:p>
        </w:tc>
        <w:tc>
          <w:tcPr>
            <w:tcW w:w="774" w:type="dxa"/>
          </w:tcPr>
          <w:p>
            <w:pPr>
              <w:pStyle w:val="Compact"/>
              <w:jc w:val="left"/>
              <w:spacing w:before="20" w:after="20" w:line="220" w:lineRule="auto"/>
            </w:pPr>
            <w:r>
              <w:rPr>
                <w:sz w:val="13"/>
                <w:szCs w:val="13"/>
              </w:rPr>
              <w:t xml:space="preserve">EM</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partly captive</w:t>
            </w:r>
          </w:p>
        </w:tc>
        <w:tc>
          <w:tcPr>
            <w:tcW w:w="3375" w:type="dxa"/>
          </w:tcPr>
          <w:p>
            <w:pPr>
              <w:pStyle w:val="Compact"/>
              <w:jc w:val="left"/>
              <w:spacing w:before="20" w:after="20" w:line="220" w:lineRule="auto"/>
            </w:pPr>
            <w:r>
              <w:rPr>
                <w:sz w:val="13"/>
                <w:szCs w:val="13"/>
              </w:rPr>
              <w:t xml:space="preserve">MFRS 17 proxy</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90.5%</w:t>
            </w:r>
          </w:p>
        </w:tc>
        <w:tc>
          <w:tcPr>
            <w:tcW w:w="990" w:type="dxa"/>
          </w:tcPr>
          <w:p>
            <w:pPr>
              <w:pStyle w:val="Compact"/>
              <w:jc w:val="left"/>
              <w:spacing w:before="20" w:after="20" w:line="220" w:lineRule="auto"/>
            </w:pPr>
            <w:r>
              <w:rPr>
                <w:sz w:val="13"/>
                <w:szCs w:val="13"/>
              </w:rPr>
              <w:t xml:space="preserve">90.5%</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Intesa Sanpaolo Assicurazioni (non-life)</w:t>
            </w:r>
          </w:p>
        </w:tc>
        <w:tc>
          <w:tcPr>
            <w:tcW w:w="774" w:type="dxa"/>
          </w:tcPr>
          <w:p>
            <w:pPr>
              <w:pStyle w:val="Compact"/>
              <w:jc w:val="left"/>
              <w:spacing w:before="20" w:after="20" w:line="220" w:lineRule="auto"/>
            </w:pPr>
            <w:r>
              <w:rPr>
                <w:sz w:val="13"/>
                <w:szCs w:val="13"/>
              </w:rPr>
              <w:t xml:space="preserve">EU</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bank captive</w:t>
            </w:r>
          </w:p>
        </w:tc>
        <w:tc>
          <w:tcPr>
            <w:tcW w:w="3375" w:type="dxa"/>
          </w:tcPr>
          <w:p>
            <w:pPr>
              <w:pStyle w:val="Compact"/>
              <w:jc w:val="left"/>
              <w:spacing w:before="20" w:after="20" w:line="220" w:lineRule="auto"/>
            </w:pPr>
            <w:r>
              <w:rPr>
                <w:sz w:val="13"/>
                <w:szCs w:val="13"/>
              </w:rPr>
              <w:t xml:space="preserve">Management definition</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75.9%</w:t>
            </w:r>
          </w:p>
        </w:tc>
        <w:tc>
          <w:tcPr>
            <w:tcW w:w="990" w:type="dxa"/>
          </w:tcPr>
          <w:p>
            <w:pPr>
              <w:pStyle w:val="Compact"/>
              <w:jc w:val="left"/>
              <w:spacing w:before="20" w:after="20" w:line="220" w:lineRule="auto"/>
            </w:pPr>
            <w:r>
              <w:rPr>
                <w:sz w:val="13"/>
                <w:szCs w:val="13"/>
              </w:rPr>
              <w:t xml:space="preserve">75.9%</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KBC Insurance (non-life)</w:t>
            </w:r>
          </w:p>
        </w:tc>
        <w:tc>
          <w:tcPr>
            <w:tcW w:w="774" w:type="dxa"/>
          </w:tcPr>
          <w:p>
            <w:pPr>
              <w:pStyle w:val="Compact"/>
              <w:jc w:val="left"/>
              <w:spacing w:before="20" w:after="20" w:line="220" w:lineRule="auto"/>
            </w:pPr>
            <w:r>
              <w:rPr>
                <w:sz w:val="13"/>
                <w:szCs w:val="13"/>
              </w:rPr>
              <w:t xml:space="preserve">EU</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bank branches and tied agents</w:t>
            </w:r>
          </w:p>
        </w:tc>
        <w:tc>
          <w:tcPr>
            <w:tcW w:w="3375" w:type="dxa"/>
          </w:tcPr>
          <w:p>
            <w:pPr>
              <w:pStyle w:val="Compact"/>
              <w:jc w:val="left"/>
              <w:spacing w:before="20" w:after="20" w:line="220" w:lineRule="auto"/>
            </w:pPr>
            <w:r>
              <w:rPr>
                <w:sz w:val="13"/>
                <w:szCs w:val="13"/>
              </w:rPr>
              <w:t xml:space="preserve">KBC definition</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87.0%</w:t>
            </w:r>
          </w:p>
        </w:tc>
        <w:tc>
          <w:tcPr>
            <w:tcW w:w="990" w:type="dxa"/>
          </w:tcPr>
          <w:p>
            <w:pPr>
              <w:pStyle w:val="Compact"/>
              <w:jc w:val="left"/>
              <w:spacing w:before="20" w:after="20" w:line="220" w:lineRule="auto"/>
            </w:pPr>
            <w:r>
              <w:rPr>
                <w:sz w:val="13"/>
                <w:szCs w:val="13"/>
              </w:rPr>
              <w:t xml:space="preserve">87.0%</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Lloyds general insurance</w:t>
            </w:r>
          </w:p>
        </w:tc>
        <w:tc>
          <w:tcPr>
            <w:tcW w:w="774" w:type="dxa"/>
          </w:tcPr>
          <w:p>
            <w:pPr>
              <w:pStyle w:val="Compact"/>
              <w:jc w:val="left"/>
              <w:spacing w:before="20" w:after="20" w:line="220" w:lineRule="auto"/>
            </w:pPr>
            <w:r>
              <w:rPr>
                <w:sz w:val="13"/>
                <w:szCs w:val="13"/>
              </w:rPr>
              <w:t xml:space="preserve">EU</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bank captive</w:t>
            </w:r>
          </w:p>
        </w:tc>
        <w:tc>
          <w:tcPr>
            <w:tcW w:w="3375" w:type="dxa"/>
          </w:tcPr>
          <w:p>
            <w:pPr>
              <w:pStyle w:val="Compact"/>
              <w:jc w:val="left"/>
              <w:spacing w:before="20" w:after="20" w:line="220" w:lineRule="auto"/>
            </w:pPr>
            <w:r>
              <w:rPr>
                <w:sz w:val="13"/>
                <w:szCs w:val="13"/>
              </w:rPr>
              <w:t xml:space="preserve">Lloyds definition</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89.0%</w:t>
            </w:r>
          </w:p>
        </w:tc>
        <w:tc>
          <w:tcPr>
            <w:tcW w:w="990" w:type="dxa"/>
          </w:tcPr>
          <w:p>
            <w:pPr>
              <w:pStyle w:val="Compact"/>
              <w:jc w:val="left"/>
              <w:spacing w:before="20" w:after="20" w:line="220" w:lineRule="auto"/>
            </w:pPr>
            <w:r>
              <w:rPr>
                <w:sz w:val="13"/>
                <w:szCs w:val="13"/>
              </w:rPr>
              <w:t xml:space="preserve">89.0%</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Momentum Insure</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open</w:t>
            </w:r>
          </w:p>
        </w:tc>
        <w:tc>
          <w:tcPr>
            <w:tcW w:w="3375" w:type="dxa"/>
          </w:tcPr>
          <w:p>
            <w:pPr>
              <w:pStyle w:val="Compact"/>
              <w:jc w:val="left"/>
              <w:spacing w:before="20" w:after="20" w:line="220" w:lineRule="auto"/>
            </w:pPr>
            <w:r>
              <w:rPr>
                <w:sz w:val="13"/>
                <w:szCs w:val="13"/>
              </w:rPr>
              <w:t xml:space="preserve">Management basis</w:t>
            </w:r>
          </w:p>
        </w:tc>
        <w:tc>
          <w:tcPr>
            <w:tcW w:w="1030"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87.5%</w:t>
            </w:r>
          </w:p>
        </w:tc>
        <w:tc>
          <w:tcPr>
            <w:tcW w:w="990" w:type="dxa"/>
          </w:tcPr>
          <w:p>
            <w:pPr>
              <w:pStyle w:val="Compact"/>
              <w:jc w:val="left"/>
              <w:spacing w:before="20" w:after="20" w:line="220" w:lineRule="auto"/>
            </w:pPr>
            <w:r>
              <w:rPr>
                <w:sz w:val="13"/>
                <w:szCs w:val="13"/>
              </w:rPr>
              <w:t xml:space="preserve">87.5%</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OUTsurance SA</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direct</w:t>
            </w:r>
          </w:p>
        </w:tc>
        <w:tc>
          <w:tcPr>
            <w:tcW w:w="3375" w:type="dxa"/>
          </w:tcPr>
          <w:p>
            <w:pPr>
              <w:pStyle w:val="Compact"/>
              <w:jc w:val="left"/>
              <w:spacing w:before="20" w:after="20" w:line="220" w:lineRule="auto"/>
            </w:pPr>
            <w:r>
              <w:rPr>
                <w:sz w:val="13"/>
                <w:szCs w:val="13"/>
              </w:rPr>
              <w:t xml:space="preserve">Management basis</w:t>
            </w:r>
          </w:p>
        </w:tc>
        <w:tc>
          <w:tcPr>
            <w:tcW w:w="1030" w:type="dxa"/>
          </w:tcPr>
          <w:p>
            <w:pPr>
              <w:pStyle w:val="Compact"/>
              <w:jc w:val="left"/>
              <w:spacing w:before="20" w:after="20" w:line="220" w:lineRule="auto"/>
            </w:pPr>
            <w:r>
              <w:rPr>
                <w:sz w:val="13"/>
                <w:szCs w:val="13"/>
              </w:rPr>
              <w:t xml:space="preserve">FY2026 (Jun)</w:t>
            </w:r>
          </w:p>
        </w:tc>
        <w:tc>
          <w:tcPr>
            <w:tcW w:w="630" w:type="dxa"/>
          </w:tcPr>
          <w:p>
            <w:pPr>
              <w:pStyle w:val="Compact"/>
              <w:jc w:val="left"/>
              <w:spacing w:before="20" w:after="20" w:line="220" w:lineRule="auto"/>
            </w:pPr>
            <w:r>
              <w:rPr>
                <w:sz w:val="13"/>
                <w:szCs w:val="13"/>
              </w:rPr>
              <w:t xml:space="preserve">65.2%</w:t>
            </w:r>
          </w:p>
        </w:tc>
        <w:tc>
          <w:tcPr>
            <w:tcW w:w="990" w:type="dxa"/>
          </w:tcPr>
          <w:p>
            <w:pPr>
              <w:pStyle w:val="Compact"/>
              <w:jc w:val="left"/>
              <w:spacing w:before="20" w:after="20" w:line="220" w:lineRule="auto"/>
            </w:pPr>
            <w:r>
              <w:rPr>
                <w:sz w:val="13"/>
                <w:szCs w:val="13"/>
              </w:rPr>
              <w:t xml:space="preserve">65.2%</w:t>
            </w:r>
          </w:p>
        </w:tc>
        <w:tc>
          <w:tcPr>
            <w:tcW w:w="938" w:type="dxa"/>
          </w:tcPr>
          <w:p>
            <w:pPr>
              <w:pStyle w:val="Compact"/>
              <w:jc w:val="left"/>
              <w:spacing w:before="20" w:after="20" w:line="220" w:lineRule="auto"/>
            </w:pPr>
            <w:r>
              <w:rPr>
                <w:sz w:val="13"/>
                <w:szCs w:val="13"/>
              </w:rPr>
              <w:t xml:space="preserve">yes</w:t>
            </w:r>
          </w:p>
        </w:tc>
      </w:tr>
      <w:tr>
        <w:tc>
          <w:tcPr>
            <w:tcW w:w="3994" w:type="dxa"/>
          </w:tcPr>
          <w:p>
            <w:pPr>
              <w:pStyle w:val="Compact"/>
              <w:jc w:val="left"/>
              <w:spacing w:before="20" w:after="20" w:line="220" w:lineRule="auto"/>
            </w:pPr>
            <w:r>
              <w:rPr>
                <w:sz w:val="13"/>
                <w:szCs w:val="13"/>
              </w:rPr>
              <w:t xml:space="preserve">Santam conventional (1 minus underwriting margin)</w:t>
            </w:r>
          </w:p>
        </w:tc>
        <w:tc>
          <w:tcPr>
            <w:tcW w:w="774" w:type="dxa"/>
          </w:tcPr>
          <w:p>
            <w:pPr>
              <w:pStyle w:val="Compact"/>
              <w:jc w:val="left"/>
              <w:spacing w:before="20" w:after="20" w:line="220" w:lineRule="auto"/>
            </w:pPr>
            <w:r>
              <w:rPr>
                <w:sz w:val="13"/>
                <w:szCs w:val="13"/>
              </w:rPr>
              <w:t xml:space="preserve">LN</w:t>
            </w:r>
          </w:p>
        </w:tc>
        <w:tc>
          <w:tcPr>
            <w:tcW w:w="774" w:type="dxa"/>
          </w:tcPr>
          <w:p>
            <w:pPr>
              <w:pStyle w:val="Compact"/>
              <w:jc w:val="left"/>
              <w:spacing w:before="20" w:after="20" w:line="220" w:lineRule="auto"/>
            </w:pPr>
            <w:r>
              <w:rPr>
                <w:sz w:val="13"/>
                <w:szCs w:val="13"/>
              </w:rPr>
              <w:t xml:space="preserve">nonlife</w:t>
            </w:r>
          </w:p>
        </w:tc>
        <w:tc>
          <w:tcPr>
            <w:tcW w:w="2063" w:type="dxa"/>
          </w:tcPr>
          <w:p>
            <w:pPr>
              <w:pStyle w:val="Compact"/>
              <w:jc w:val="left"/>
              <w:spacing w:before="20" w:after="20" w:line="220" w:lineRule="auto"/>
            </w:pPr>
            <w:r>
              <w:rPr>
                <w:sz w:val="13"/>
                <w:szCs w:val="13"/>
              </w:rPr>
              <w:t xml:space="preserve">open</w:t>
            </w:r>
          </w:p>
        </w:tc>
        <w:tc>
          <w:tcPr>
            <w:tcW w:w="3375" w:type="dxa"/>
          </w:tcPr>
          <w:p>
            <w:pPr>
              <w:pStyle w:val="Compact"/>
              <w:jc w:val="left"/>
              <w:spacing w:before="20" w:after="20" w:line="220" w:lineRule="auto"/>
            </w:pPr>
            <w:r>
              <w:rPr>
                <w:sz w:val="13"/>
                <w:szCs w:val="13"/>
              </w:rPr>
              <w:t xml:space="preserve">Management basis</w:t>
            </w:r>
          </w:p>
        </w:tc>
        <w:tc>
          <w:tcPr>
            <w:tcW w:w="1030"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88.7%</w:t>
            </w:r>
          </w:p>
        </w:tc>
        <w:tc>
          <w:tcPr>
            <w:tcW w:w="990" w:type="dxa"/>
          </w:tcPr>
          <w:p>
            <w:pPr>
              <w:pStyle w:val="Compact"/>
              <w:jc w:val="left"/>
              <w:spacing w:before="20" w:after="20" w:line="220" w:lineRule="auto"/>
            </w:pPr>
            <w:r>
              <w:rPr>
                <w:sz w:val="13"/>
                <w:szCs w:val="13"/>
              </w:rPr>
              <w:t xml:space="preserve">88.7%</w:t>
            </w:r>
          </w:p>
        </w:tc>
        <w:tc>
          <w:tcPr>
            <w:tcW w:w="938"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M5r; raw values link to data_ids in the Raw data tab.</w:t>
      </w:r>
    </w:p>
    <w:bookmarkEnd w:id="69"/>
    <w:bookmarkStart w:id="70" w:name="Xa223d833b01cef46d402eaaa3ab4d4a0aa637ba"/>
    <w:p>
      <w:pPr>
        <w:pStyle w:val="Heading4"/>
      </w:pPr>
      <w:r>
        <w:t xml:space="preserve">M6: Operating cost per in-force policy or contract (ZAR)</w:t>
      </w:r>
    </w:p>
    <w:tbl>
      <w:tblPr>
        <w:tblStyle w:val="Table"/>
        <w:tblLook w:firstRow="1" w:lastRow="0" w:firstColumn="0" w:lastColumn="0" w:noHBand="0" w:noVBand="0" w:val="0020"/>
        <w:jc w:val="start"/>
        <w:tblW w:w="14566" w:type="dxa"/>
        <w:tblLayout w:type="fixed"/>
      </w:tblPr>
      <w:tblGrid>
        <w:gridCol w:w="5463"/>
        <w:gridCol w:w="774"/>
        <w:gridCol w:w="918"/>
        <w:gridCol w:w="1134"/>
        <w:gridCol w:w="2596"/>
        <w:gridCol w:w="1061"/>
        <w:gridCol w:w="677"/>
        <w:gridCol w:w="990"/>
        <w:gridCol w:w="953"/>
      </w:tblGrid>
      <w:tr>
        <w:trPr>
          <w:tblHeader w:val="true"/>
        </w:trPr>
        <w:tc>
          <w:tcPr>
            <w:tcW w:w="5463"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1134" w:type="dxa"/>
          </w:tcPr>
          <w:p>
            <w:pPr>
              <w:pStyle w:val="Compact"/>
              <w:jc w:val="left"/>
              <w:spacing w:before="20" w:after="20" w:line="220" w:lineRule="auto"/>
            </w:pPr>
            <w:r>
              <w:rPr>
                <w:sz w:val="13"/>
                <w:szCs w:val="13"/>
              </w:rPr>
              <w:t xml:space="preserve">Distribution</w:t>
            </w:r>
          </w:p>
        </w:tc>
        <w:tc>
          <w:tcPr>
            <w:tcW w:w="2596" w:type="dxa"/>
          </w:tcPr>
          <w:p>
            <w:pPr>
              <w:pStyle w:val="Compact"/>
              <w:jc w:val="left"/>
              <w:spacing w:before="20" w:after="20" w:line="220" w:lineRule="auto"/>
            </w:pPr>
            <w:r>
              <w:rPr>
                <w:sz w:val="13"/>
                <w:szCs w:val="13"/>
              </w:rPr>
              <w:t xml:space="preserve">Basis</w:t>
            </w:r>
          </w:p>
        </w:tc>
        <w:tc>
          <w:tcPr>
            <w:tcW w:w="1061" w:type="dxa"/>
          </w:tcPr>
          <w:p>
            <w:pPr>
              <w:pStyle w:val="Compact"/>
              <w:jc w:val="left"/>
              <w:spacing w:before="20" w:after="20" w:line="220" w:lineRule="auto"/>
            </w:pPr>
            <w:r>
              <w:rPr>
                <w:sz w:val="13"/>
                <w:szCs w:val="13"/>
              </w:rPr>
              <w:t xml:space="preserve">Period</w:t>
            </w:r>
          </w:p>
        </w:tc>
        <w:tc>
          <w:tcPr>
            <w:tcW w:w="677"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53" w:type="dxa"/>
          </w:tcPr>
          <w:p>
            <w:pPr>
              <w:pStyle w:val="Compact"/>
              <w:jc w:val="left"/>
              <w:spacing w:before="20" w:after="20" w:line="220" w:lineRule="auto"/>
            </w:pPr>
            <w:r>
              <w:rPr>
                <w:sz w:val="13"/>
                <w:szCs w:val="13"/>
              </w:rPr>
              <w:t xml:space="preserve">In medians</w:t>
            </w:r>
          </w:p>
        </w:tc>
      </w:tr>
      <w:tr>
        <w:tc>
          <w:tcPr>
            <w:tcW w:w="5463" w:type="dxa"/>
          </w:tcPr>
          <w:p>
            <w:pPr>
              <w:pStyle w:val="Compact"/>
              <w:jc w:val="left"/>
              <w:spacing w:before="20" w:after="20" w:line="220" w:lineRule="auto"/>
            </w:pPr>
            <w:r>
              <w:rPr>
                <w:sz w:val="13"/>
                <w:szCs w:val="13"/>
              </w:rPr>
              <w:t xml:space="preserve">Capitec Life (Capitec)</w:t>
            </w:r>
          </w:p>
        </w:tc>
        <w:tc>
          <w:tcPr>
            <w:tcW w:w="774" w:type="dxa"/>
          </w:tcPr>
          <w:p>
            <w:pPr>
              <w:pStyle w:val="Compact"/>
              <w:jc w:val="left"/>
              <w:spacing w:before="20" w:after="20" w:line="220" w:lineRule="auto"/>
            </w:pPr>
            <w:r>
              <w:rPr>
                <w:sz w:val="13"/>
                <w:szCs w:val="13"/>
              </w:rPr>
              <w:t xml:space="preserve">LB</w:t>
            </w:r>
          </w:p>
        </w:tc>
        <w:tc>
          <w:tcPr>
            <w:tcW w:w="918" w:type="dxa"/>
          </w:tcPr>
          <w:p>
            <w:pPr>
              <w:pStyle w:val="Compact"/>
              <w:jc w:val="left"/>
              <w:spacing w:before="20" w:after="20" w:line="220" w:lineRule="auto"/>
            </w:pPr>
            <w:r>
              <w:rPr>
                <w:sz w:val="13"/>
                <w:szCs w:val="13"/>
              </w:rPr>
              <w:t xml:space="preserve">life</w:t>
            </w:r>
          </w:p>
        </w:tc>
        <w:tc>
          <w:tcPr>
            <w:tcW w:w="1134" w:type="dxa"/>
          </w:tcPr>
          <w:p>
            <w:pPr>
              <w:pStyle w:val="Compact"/>
              <w:jc w:val="left"/>
              <w:spacing w:before="20" w:after="20" w:line="220" w:lineRule="auto"/>
            </w:pPr>
            <w:r>
              <w:rPr>
                <w:sz w:val="13"/>
                <w:szCs w:val="13"/>
              </w:rPr>
              <w:t xml:space="preserve">bank captive</w:t>
            </w:r>
          </w:p>
        </w:tc>
        <w:tc>
          <w:tcPr>
            <w:tcW w:w="2596" w:type="dxa"/>
          </w:tcPr>
          <w:p>
            <w:pPr>
              <w:pStyle w:val="Compact"/>
              <w:jc w:val="left"/>
              <w:spacing w:before="20" w:after="20" w:line="220" w:lineRule="auto"/>
            </w:pPr>
            <w:r>
              <w:rPr>
                <w:sz w:val="13"/>
                <w:szCs w:val="13"/>
              </w:rPr>
              <w:t xml:space="preserve">IFRS 17 / policy counts</w:t>
            </w:r>
          </w:p>
        </w:tc>
        <w:tc>
          <w:tcPr>
            <w:tcW w:w="1061" w:type="dxa"/>
          </w:tcPr>
          <w:p>
            <w:pPr>
              <w:pStyle w:val="Compact"/>
              <w:jc w:val="left"/>
              <w:spacing w:before="20" w:after="20" w:line="220" w:lineRule="auto"/>
            </w:pPr>
            <w:r>
              <w:rPr>
                <w:sz w:val="13"/>
                <w:szCs w:val="13"/>
              </w:rPr>
              <w:t xml:space="preserve">FY2026 (Feb)</w:t>
            </w:r>
          </w:p>
        </w:tc>
        <w:tc>
          <w:tcPr>
            <w:tcW w:w="677" w:type="dxa"/>
          </w:tcPr>
          <w:p>
            <w:pPr>
              <w:pStyle w:val="Compact"/>
              <w:jc w:val="left"/>
              <w:spacing w:before="20" w:after="20" w:line="220" w:lineRule="auto"/>
            </w:pPr>
            <w:r>
              <w:rPr>
                <w:sz w:val="13"/>
                <w:szCs w:val="13"/>
              </w:rPr>
              <w:t xml:space="preserve">R93</w:t>
            </w:r>
          </w:p>
        </w:tc>
        <w:tc>
          <w:tcPr>
            <w:tcW w:w="990" w:type="dxa"/>
          </w:tcPr>
          <w:p>
            <w:pPr>
              <w:pStyle w:val="Compact"/>
              <w:jc w:val="left"/>
              <w:spacing w:before="20" w:after="20" w:line="220" w:lineRule="auto"/>
            </w:pPr>
            <w:r>
              <w:rPr>
                <w:sz w:val="13"/>
                <w:szCs w:val="13"/>
              </w:rPr>
              <w:t xml:space="preserve">R93</w:t>
            </w:r>
          </w:p>
        </w:tc>
        <w:tc>
          <w:tcPr>
            <w:tcW w:w="953" w:type="dxa"/>
          </w:tcPr>
          <w:p>
            <w:pPr>
              <w:pStyle w:val="Compact"/>
              <w:jc w:val="left"/>
              <w:spacing w:before="20" w:after="20" w:line="220" w:lineRule="auto"/>
            </w:pPr>
            <w:r>
              <w:rPr>
                <w:sz w:val="13"/>
                <w:szCs w:val="13"/>
              </w:rPr>
              <w:t xml:space="preserve">yes</w:t>
            </w:r>
          </w:p>
        </w:tc>
      </w:tr>
      <w:tr>
        <w:tc>
          <w:tcPr>
            <w:tcW w:w="5463" w:type="dxa"/>
          </w:tcPr>
          <w:p>
            <w:pPr>
              <w:pStyle w:val="Compact"/>
              <w:jc w:val="left"/>
              <w:spacing w:before="20" w:after="20" w:line="220" w:lineRule="auto"/>
            </w:pPr>
            <w:r>
              <w:rPr>
                <w:sz w:val="13"/>
                <w:szCs w:val="13"/>
              </w:rPr>
              <w:t xml:space="preserve">SBI Life (opex per in-force life)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life</w:t>
            </w:r>
          </w:p>
        </w:tc>
        <w:tc>
          <w:tcPr>
            <w:tcW w:w="1134" w:type="dxa"/>
          </w:tcPr>
          <w:p>
            <w:pPr>
              <w:pStyle w:val="Compact"/>
              <w:jc w:val="left"/>
              <w:spacing w:before="20" w:after="20" w:line="220" w:lineRule="auto"/>
            </w:pPr>
            <w:r>
              <w:rPr>
                <w:sz w:val="13"/>
                <w:szCs w:val="13"/>
              </w:rPr>
              <w:t xml:space="preserve">bank-led</w:t>
            </w:r>
          </w:p>
        </w:tc>
        <w:tc>
          <w:tcPr>
            <w:tcW w:w="2596" w:type="dxa"/>
          </w:tcPr>
          <w:p>
            <w:pPr>
              <w:pStyle w:val="Compact"/>
              <w:jc w:val="left"/>
              <w:spacing w:before="20" w:after="20" w:line="220" w:lineRule="auto"/>
            </w:pPr>
            <w:r>
              <w:rPr>
                <w:sz w:val="13"/>
                <w:szCs w:val="13"/>
              </w:rPr>
              <w:t xml:space="preserve">IRDAI GAAP / lives</w:t>
            </w:r>
          </w:p>
        </w:tc>
        <w:tc>
          <w:tcPr>
            <w:tcW w:w="1061" w:type="dxa"/>
          </w:tcPr>
          <w:p>
            <w:pPr>
              <w:pStyle w:val="Compact"/>
              <w:jc w:val="left"/>
              <w:spacing w:before="20" w:after="20" w:line="220" w:lineRule="auto"/>
            </w:pPr>
            <w:r>
              <w:rPr>
                <w:sz w:val="13"/>
                <w:szCs w:val="13"/>
              </w:rPr>
              <w:t xml:space="preserve">FY2026 (Mar)</w:t>
            </w:r>
          </w:p>
        </w:tc>
        <w:tc>
          <w:tcPr>
            <w:tcW w:w="677" w:type="dxa"/>
          </w:tcPr>
          <w:p>
            <w:pPr>
              <w:pStyle w:val="Compact"/>
              <w:jc w:val="left"/>
              <w:spacing w:before="20" w:after="20" w:line="220" w:lineRule="auto"/>
            </w:pPr>
            <w:r>
              <w:rPr>
                <w:sz w:val="13"/>
                <w:szCs w:val="13"/>
              </w:rPr>
              <w:t xml:space="preserve">R150</w:t>
            </w:r>
          </w:p>
        </w:tc>
        <w:tc>
          <w:tcPr>
            <w:tcW w:w="990" w:type="dxa"/>
          </w:tcPr>
          <w:p>
            <w:pPr>
              <w:pStyle w:val="Compact"/>
              <w:jc w:val="left"/>
              <w:spacing w:before="20" w:after="20" w:line="220" w:lineRule="auto"/>
            </w:pPr>
            <w:r>
              <w:rPr>
                <w:sz w:val="13"/>
                <w:szCs w:val="13"/>
              </w:rPr>
              <w:t xml:space="preserve">R150</w:t>
            </w:r>
          </w:p>
        </w:tc>
        <w:tc>
          <w:tcPr>
            <w:tcW w:w="953" w:type="dxa"/>
          </w:tcPr>
          <w:p>
            <w:pPr>
              <w:pStyle w:val="Compact"/>
              <w:jc w:val="left"/>
              <w:spacing w:before="20" w:after="20" w:line="220" w:lineRule="auto"/>
            </w:pPr>
            <w:r>
              <w:rPr>
                <w:sz w:val="13"/>
                <w:szCs w:val="13"/>
              </w:rPr>
              <w:t xml:space="preserve">yes</w:t>
            </w:r>
          </w:p>
        </w:tc>
      </w:tr>
      <w:tr>
        <w:tc>
          <w:tcPr>
            <w:tcW w:w="5463" w:type="dxa"/>
          </w:tcPr>
          <w:p>
            <w:pPr>
              <w:pStyle w:val="Compact"/>
              <w:jc w:val="left"/>
              <w:spacing w:before="20" w:after="20" w:line="220" w:lineRule="auto"/>
            </w:pPr>
            <w:r>
              <w:rPr>
                <w:sz w:val="13"/>
                <w:szCs w:val="13"/>
              </w:rPr>
              <w:t xml:space="preserve">Credit Agricole Assurances (P&amp;C, Solvency II expenses incl. commission)</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nonlife</w:t>
            </w:r>
          </w:p>
        </w:tc>
        <w:tc>
          <w:tcPr>
            <w:tcW w:w="1134" w:type="dxa"/>
          </w:tcPr>
          <w:p>
            <w:pPr>
              <w:pStyle w:val="Compact"/>
              <w:jc w:val="left"/>
              <w:spacing w:before="20" w:after="20" w:line="220" w:lineRule="auto"/>
            </w:pPr>
            <w:r>
              <w:rPr>
                <w:sz w:val="13"/>
                <w:szCs w:val="13"/>
              </w:rPr>
              <w:t xml:space="preserve">bank captive</w:t>
            </w:r>
          </w:p>
        </w:tc>
        <w:tc>
          <w:tcPr>
            <w:tcW w:w="2596" w:type="dxa"/>
          </w:tcPr>
          <w:p>
            <w:pPr>
              <w:pStyle w:val="Compact"/>
              <w:jc w:val="left"/>
              <w:spacing w:before="20" w:after="20" w:line="220" w:lineRule="auto"/>
            </w:pPr>
            <w:r>
              <w:rPr>
                <w:sz w:val="13"/>
                <w:szCs w:val="13"/>
              </w:rPr>
              <w:t xml:space="preserve">Solvency II expenses / contract count</w:t>
            </w:r>
          </w:p>
        </w:tc>
        <w:tc>
          <w:tcPr>
            <w:tcW w:w="1061" w:type="dxa"/>
          </w:tcPr>
          <w:p>
            <w:pPr>
              <w:pStyle w:val="Compact"/>
              <w:jc w:val="left"/>
              <w:spacing w:before="20" w:after="20" w:line="220" w:lineRule="auto"/>
            </w:pPr>
            <w:r>
              <w:rPr>
                <w:sz w:val="13"/>
                <w:szCs w:val="13"/>
              </w:rPr>
              <w:t xml:space="preserve">FY2025 (Dec)</w:t>
            </w:r>
          </w:p>
        </w:tc>
        <w:tc>
          <w:tcPr>
            <w:tcW w:w="677" w:type="dxa"/>
          </w:tcPr>
          <w:p>
            <w:pPr>
              <w:pStyle w:val="Compact"/>
              <w:jc w:val="left"/>
              <w:spacing w:before="20" w:after="20" w:line="220" w:lineRule="auto"/>
            </w:pPr>
            <w:r>
              <w:rPr>
                <w:sz w:val="13"/>
                <w:szCs w:val="13"/>
              </w:rPr>
              <w:t xml:space="preserve">R2 613</w:t>
            </w:r>
          </w:p>
        </w:tc>
        <w:tc>
          <w:tcPr>
            <w:tcW w:w="990" w:type="dxa"/>
          </w:tcPr>
          <w:p>
            <w:pPr>
              <w:pStyle w:val="Compact"/>
              <w:jc w:val="left"/>
              <w:spacing w:before="20" w:after="20" w:line="220" w:lineRule="auto"/>
            </w:pPr>
            <w:r>
              <w:rPr>
                <w:sz w:val="13"/>
                <w:szCs w:val="13"/>
              </w:rPr>
              <w:t xml:space="preserve">R2 613</w:t>
            </w:r>
          </w:p>
        </w:tc>
        <w:tc>
          <w:tcPr>
            <w:tcW w:w="953" w:type="dxa"/>
          </w:tcPr>
          <w:p>
            <w:pPr>
              <w:pStyle w:val="Compact"/>
              <w:jc w:val="left"/>
              <w:spacing w:before="20" w:after="20" w:line="220" w:lineRule="auto"/>
            </w:pPr>
            <w:r>
              <w:rPr>
                <w:sz w:val="13"/>
                <w:szCs w:val="13"/>
              </w:rPr>
              <w:t xml:space="preserve">yes</w:t>
            </w:r>
          </w:p>
        </w:tc>
      </w:tr>
      <w:tr>
        <w:tc>
          <w:tcPr>
            <w:tcW w:w="5463" w:type="dxa"/>
          </w:tcPr>
          <w:p>
            <w:pPr>
              <w:pStyle w:val="Compact"/>
              <w:jc w:val="left"/>
              <w:spacing w:before="20" w:after="20" w:line="220" w:lineRule="auto"/>
            </w:pPr>
            <w:r>
              <w:rPr>
                <w:sz w:val="13"/>
                <w:szCs w:val="13"/>
              </w:rPr>
              <w:t xml:space="preserve">OUTsurance Group (SA, Australia, Ireland)</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1134" w:type="dxa"/>
          </w:tcPr>
          <w:p>
            <w:pPr>
              <w:pStyle w:val="Compact"/>
              <w:jc w:val="left"/>
              <w:spacing w:before="20" w:after="20" w:line="220" w:lineRule="auto"/>
            </w:pPr>
            <w:r>
              <w:rPr>
                <w:sz w:val="13"/>
                <w:szCs w:val="13"/>
              </w:rPr>
              <w:t xml:space="preserve">direct</w:t>
            </w:r>
          </w:p>
        </w:tc>
        <w:tc>
          <w:tcPr>
            <w:tcW w:w="2596" w:type="dxa"/>
          </w:tcPr>
          <w:p>
            <w:pPr>
              <w:pStyle w:val="Compact"/>
              <w:jc w:val="left"/>
              <w:spacing w:before="20" w:after="20" w:line="220" w:lineRule="auto"/>
            </w:pPr>
            <w:r>
              <w:rPr>
                <w:sz w:val="13"/>
                <w:szCs w:val="13"/>
              </w:rPr>
              <w:t xml:space="preserve">IFRS 17 / policy counts</w:t>
            </w:r>
          </w:p>
        </w:tc>
        <w:tc>
          <w:tcPr>
            <w:tcW w:w="1061" w:type="dxa"/>
          </w:tcPr>
          <w:p>
            <w:pPr>
              <w:pStyle w:val="Compact"/>
              <w:jc w:val="left"/>
              <w:spacing w:before="20" w:after="20" w:line="220" w:lineRule="auto"/>
            </w:pPr>
            <w:r>
              <w:rPr>
                <w:sz w:val="13"/>
                <w:szCs w:val="13"/>
              </w:rPr>
              <w:t xml:space="preserve">FY2026 (Jun)</w:t>
            </w:r>
          </w:p>
        </w:tc>
        <w:tc>
          <w:tcPr>
            <w:tcW w:w="677" w:type="dxa"/>
          </w:tcPr>
          <w:p>
            <w:pPr>
              <w:pStyle w:val="Compact"/>
              <w:jc w:val="left"/>
              <w:spacing w:before="20" w:after="20" w:line="220" w:lineRule="auto"/>
            </w:pPr>
            <w:r>
              <w:rPr>
                <w:sz w:val="13"/>
                <w:szCs w:val="13"/>
              </w:rPr>
              <w:t xml:space="preserve">R2 634</w:t>
            </w:r>
          </w:p>
        </w:tc>
        <w:tc>
          <w:tcPr>
            <w:tcW w:w="990" w:type="dxa"/>
          </w:tcPr>
          <w:p>
            <w:pPr>
              <w:pStyle w:val="Compact"/>
              <w:jc w:val="left"/>
              <w:spacing w:before="20" w:after="20" w:line="220" w:lineRule="auto"/>
            </w:pPr>
            <w:r>
              <w:rPr>
                <w:sz w:val="13"/>
                <w:szCs w:val="13"/>
              </w:rPr>
              <w:t xml:space="preserve">R2 634</w:t>
            </w:r>
          </w:p>
        </w:tc>
        <w:tc>
          <w:tcPr>
            <w:tcW w:w="953" w:type="dxa"/>
          </w:tcPr>
          <w:p>
            <w:pPr>
              <w:pStyle w:val="Compact"/>
              <w:jc w:val="left"/>
              <w:spacing w:before="20" w:after="20" w:line="220" w:lineRule="auto"/>
            </w:pPr>
            <w:r>
              <w:rPr>
                <w:sz w:val="13"/>
                <w:szCs w:val="13"/>
              </w:rPr>
              <w:t xml:space="preserve">yes</w:t>
            </w:r>
          </w:p>
        </w:tc>
      </w:tr>
      <w:tr>
        <w:tc>
          <w:tcPr>
            <w:tcW w:w="5463" w:type="dxa"/>
          </w:tcPr>
          <w:p>
            <w:pPr>
              <w:pStyle w:val="Compact"/>
              <w:jc w:val="left"/>
              <w:spacing w:before="20" w:after="20" w:line="220" w:lineRule="auto"/>
            </w:pPr>
            <w:r>
              <w:rPr>
                <w:sz w:val="13"/>
                <w:szCs w:val="13"/>
              </w:rPr>
              <w:t xml:space="preserve">Bradesco Seguros</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1134" w:type="dxa"/>
          </w:tcPr>
          <w:p>
            <w:pPr>
              <w:pStyle w:val="Compact"/>
              <w:jc w:val="left"/>
              <w:spacing w:before="20" w:after="20" w:line="220" w:lineRule="auto"/>
            </w:pPr>
            <w:r>
              <w:rPr>
                <w:sz w:val="13"/>
                <w:szCs w:val="13"/>
              </w:rPr>
              <w:t xml:space="preserve">bank captive</w:t>
            </w:r>
          </w:p>
        </w:tc>
        <w:tc>
          <w:tcPr>
            <w:tcW w:w="2596" w:type="dxa"/>
          </w:tcPr>
          <w:p>
            <w:pPr>
              <w:pStyle w:val="Compact"/>
              <w:jc w:val="left"/>
              <w:spacing w:before="20" w:after="20" w:line="220" w:lineRule="auto"/>
            </w:pPr>
            <w:r>
              <w:rPr>
                <w:sz w:val="13"/>
                <w:szCs w:val="13"/>
              </w:rPr>
              <w:t xml:space="preserve">Brazilian GAAP / contract counts</w:t>
            </w:r>
          </w:p>
        </w:tc>
        <w:tc>
          <w:tcPr>
            <w:tcW w:w="1061" w:type="dxa"/>
          </w:tcPr>
          <w:p>
            <w:pPr>
              <w:pStyle w:val="Compact"/>
              <w:jc w:val="left"/>
              <w:spacing w:before="20" w:after="20" w:line="220" w:lineRule="auto"/>
            </w:pPr>
            <w:r>
              <w:rPr>
                <w:sz w:val="13"/>
                <w:szCs w:val="13"/>
              </w:rPr>
              <w:t xml:space="preserve">FY2025 (Dec)</w:t>
            </w:r>
          </w:p>
        </w:tc>
        <w:tc>
          <w:tcPr>
            <w:tcW w:w="677" w:type="dxa"/>
          </w:tcPr>
          <w:p>
            <w:pPr>
              <w:pStyle w:val="Compact"/>
              <w:jc w:val="left"/>
              <w:spacing w:before="20" w:after="20" w:line="220" w:lineRule="auto"/>
            </w:pPr>
            <w:r>
              <w:rPr>
                <w:sz w:val="13"/>
                <w:szCs w:val="13"/>
              </w:rPr>
              <w:t xml:space="preserve">R495</w:t>
            </w:r>
          </w:p>
        </w:tc>
        <w:tc>
          <w:tcPr>
            <w:tcW w:w="990" w:type="dxa"/>
          </w:tcPr>
          <w:p>
            <w:pPr>
              <w:pStyle w:val="Compact"/>
              <w:jc w:val="left"/>
              <w:spacing w:before="20" w:after="20" w:line="220" w:lineRule="auto"/>
            </w:pPr>
            <w:r>
              <w:rPr>
                <w:sz w:val="13"/>
                <w:szCs w:val="13"/>
              </w:rPr>
              <w:t xml:space="preserve">R495</w:t>
            </w:r>
          </w:p>
        </w:tc>
        <w:tc>
          <w:tcPr>
            <w:tcW w:w="953" w:type="dxa"/>
          </w:tcPr>
          <w:p>
            <w:pPr>
              <w:pStyle w:val="Compact"/>
              <w:jc w:val="left"/>
              <w:spacing w:before="20" w:after="20" w:line="220" w:lineRule="auto"/>
            </w:pPr>
            <w:r>
              <w:rPr>
                <w:sz w:val="13"/>
                <w:szCs w:val="13"/>
              </w:rPr>
              <w:t xml:space="preserve">yes</w:t>
            </w:r>
          </w:p>
        </w:tc>
      </w:tr>
      <w:tr>
        <w:tc>
          <w:tcPr>
            <w:tcW w:w="5463" w:type="dxa"/>
          </w:tcPr>
          <w:p>
            <w:pPr>
              <w:pStyle w:val="Compact"/>
              <w:jc w:val="left"/>
              <w:spacing w:before="20" w:after="20" w:line="220" w:lineRule="auto"/>
            </w:pPr>
            <w:r>
              <w:rPr>
                <w:sz w:val="13"/>
                <w:szCs w:val="13"/>
              </w:rPr>
              <w:t xml:space="preserve">Intesa Sanpaolo Assicurazioni (Solvency II expenses incl. commission, all contracts)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1134" w:type="dxa"/>
          </w:tcPr>
          <w:p>
            <w:pPr>
              <w:pStyle w:val="Compact"/>
              <w:jc w:val="left"/>
              <w:spacing w:before="20" w:after="20" w:line="220" w:lineRule="auto"/>
            </w:pPr>
            <w:r>
              <w:rPr>
                <w:sz w:val="13"/>
                <w:szCs w:val="13"/>
              </w:rPr>
              <w:t xml:space="preserve">bank captive</w:t>
            </w:r>
          </w:p>
        </w:tc>
        <w:tc>
          <w:tcPr>
            <w:tcW w:w="2596" w:type="dxa"/>
          </w:tcPr>
          <w:p>
            <w:pPr>
              <w:pStyle w:val="Compact"/>
              <w:jc w:val="left"/>
              <w:spacing w:before="20" w:after="20" w:line="220" w:lineRule="auto"/>
            </w:pPr>
            <w:r>
              <w:rPr>
                <w:sz w:val="13"/>
                <w:szCs w:val="13"/>
              </w:rPr>
              <w:t xml:space="preserve">Solvency II expenses / contracts</w:t>
            </w:r>
          </w:p>
        </w:tc>
        <w:tc>
          <w:tcPr>
            <w:tcW w:w="1061" w:type="dxa"/>
          </w:tcPr>
          <w:p>
            <w:pPr>
              <w:pStyle w:val="Compact"/>
              <w:jc w:val="left"/>
              <w:spacing w:before="20" w:after="20" w:line="220" w:lineRule="auto"/>
            </w:pPr>
            <w:r>
              <w:rPr>
                <w:sz w:val="13"/>
                <w:szCs w:val="13"/>
              </w:rPr>
              <w:t xml:space="preserve">FY2025 (Dec)</w:t>
            </w:r>
          </w:p>
        </w:tc>
        <w:tc>
          <w:tcPr>
            <w:tcW w:w="677" w:type="dxa"/>
          </w:tcPr>
          <w:p>
            <w:pPr>
              <w:pStyle w:val="Compact"/>
              <w:jc w:val="left"/>
              <w:spacing w:before="20" w:after="20" w:line="220" w:lineRule="auto"/>
            </w:pPr>
            <w:r>
              <w:rPr>
                <w:sz w:val="13"/>
                <w:szCs w:val="13"/>
              </w:rPr>
              <w:t xml:space="preserve">R2 349</w:t>
            </w:r>
          </w:p>
        </w:tc>
        <w:tc>
          <w:tcPr>
            <w:tcW w:w="990" w:type="dxa"/>
          </w:tcPr>
          <w:p>
            <w:pPr>
              <w:pStyle w:val="Compact"/>
              <w:jc w:val="left"/>
              <w:spacing w:before="20" w:after="20" w:line="220" w:lineRule="auto"/>
            </w:pPr>
            <w:r>
              <w:rPr>
                <w:sz w:val="13"/>
                <w:szCs w:val="13"/>
              </w:rPr>
              <w:t xml:space="preserve">R2 349</w:t>
            </w:r>
          </w:p>
        </w:tc>
        <w:tc>
          <w:tcPr>
            <w:tcW w:w="953"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M6; raw values link to data_ids in the Raw data tab.</w:t>
      </w:r>
    </w:p>
    <w:bookmarkEnd w:id="70"/>
    <w:bookmarkStart w:id="71" w:name="m7-operating-cost-per-employee-zar-m"/>
    <w:p>
      <w:pPr>
        <w:pStyle w:val="Heading4"/>
      </w:pPr>
      <w:r>
        <w:t xml:space="preserve">M7: Operating cost per employee (ZAR m)</w:t>
      </w:r>
    </w:p>
    <w:tbl>
      <w:tblPr>
        <w:tblStyle w:val="Table"/>
        <w:tblLook w:firstRow="1" w:lastRow="0" w:firstColumn="0" w:lastColumn="0" w:noHBand="0" w:noVBand="0" w:val="0020"/>
        <w:jc w:val="start"/>
        <w:tblW w:w="11286" w:type="dxa"/>
        <w:tblLayout w:type="fixed"/>
      </w:tblPr>
      <w:tblGrid>
        <w:gridCol w:w="2142"/>
        <w:gridCol w:w="774"/>
        <w:gridCol w:w="918"/>
        <w:gridCol w:w="2358"/>
        <w:gridCol w:w="1278"/>
        <w:gridCol w:w="1134"/>
        <w:gridCol w:w="702"/>
        <w:gridCol w:w="990"/>
        <w:gridCol w:w="990"/>
      </w:tblGrid>
      <w:tr>
        <w:trPr>
          <w:tblHeader w:val="true"/>
        </w:trPr>
        <w:tc>
          <w:tcPr>
            <w:tcW w:w="2142"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2358" w:type="dxa"/>
          </w:tcPr>
          <w:p>
            <w:pPr>
              <w:pStyle w:val="Compact"/>
              <w:jc w:val="left"/>
              <w:spacing w:before="20" w:after="20" w:line="220" w:lineRule="auto"/>
            </w:pPr>
            <w:r>
              <w:rPr>
                <w:sz w:val="13"/>
                <w:szCs w:val="13"/>
              </w:rPr>
              <w:t xml:space="preserve">Distribution</w:t>
            </w:r>
          </w:p>
        </w:tc>
        <w:tc>
          <w:tcPr>
            <w:tcW w:w="1278" w:type="dxa"/>
          </w:tcPr>
          <w:p>
            <w:pPr>
              <w:pStyle w:val="Compact"/>
              <w:jc w:val="left"/>
              <w:spacing w:before="20" w:after="20" w:line="220" w:lineRule="auto"/>
            </w:pPr>
            <w:r>
              <w:rPr>
                <w:sz w:val="13"/>
                <w:szCs w:val="13"/>
              </w:rPr>
              <w:t xml:space="preserve">Basis</w:t>
            </w:r>
          </w:p>
        </w:tc>
        <w:tc>
          <w:tcPr>
            <w:tcW w:w="1134" w:type="dxa"/>
          </w:tcPr>
          <w:p>
            <w:pPr>
              <w:pStyle w:val="Compact"/>
              <w:jc w:val="left"/>
              <w:spacing w:before="20" w:after="20" w:line="220" w:lineRule="auto"/>
            </w:pPr>
            <w:r>
              <w:rPr>
                <w:sz w:val="13"/>
                <w:szCs w:val="13"/>
              </w:rPr>
              <w:t xml:space="preserve">Period</w:t>
            </w:r>
          </w:p>
        </w:tc>
        <w:tc>
          <w:tcPr>
            <w:tcW w:w="702"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90" w:type="dxa"/>
          </w:tcPr>
          <w:p>
            <w:pPr>
              <w:pStyle w:val="Compact"/>
              <w:jc w:val="left"/>
              <w:spacing w:before="20" w:after="20" w:line="220" w:lineRule="auto"/>
            </w:pPr>
            <w:r>
              <w:rPr>
                <w:sz w:val="13"/>
                <w:szCs w:val="13"/>
              </w:rPr>
              <w:t xml:space="preserve">In medians</w:t>
            </w:r>
          </w:p>
        </w:tc>
      </w:tr>
      <w:tr>
        <w:tc>
          <w:tcPr>
            <w:tcW w:w="2142" w:type="dxa"/>
          </w:tcPr>
          <w:p>
            <w:pPr>
              <w:pStyle w:val="Compact"/>
              <w:jc w:val="left"/>
              <w:spacing w:before="20" w:after="20" w:line="220" w:lineRule="auto"/>
            </w:pPr>
            <w:r>
              <w:rPr>
                <w:sz w:val="13"/>
                <w:szCs w:val="13"/>
              </w:rPr>
              <w:t xml:space="preserve">SBI Life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life</w:t>
            </w:r>
          </w:p>
        </w:tc>
        <w:tc>
          <w:tcPr>
            <w:tcW w:w="2358" w:type="dxa"/>
          </w:tcPr>
          <w:p>
            <w:pPr>
              <w:pStyle w:val="Compact"/>
              <w:jc w:val="left"/>
              <w:spacing w:before="20" w:after="20" w:line="220" w:lineRule="auto"/>
            </w:pPr>
            <w:r>
              <w:rPr>
                <w:sz w:val="13"/>
                <w:szCs w:val="13"/>
              </w:rPr>
              <w:t xml:space="preserve">bank-led</w:t>
            </w:r>
          </w:p>
        </w:tc>
        <w:tc>
          <w:tcPr>
            <w:tcW w:w="1278" w:type="dxa"/>
          </w:tcPr>
          <w:p>
            <w:pPr>
              <w:pStyle w:val="Compact"/>
              <w:jc w:val="left"/>
              <w:spacing w:before="20" w:after="20" w:line="220" w:lineRule="auto"/>
            </w:pPr>
            <w:r>
              <w:rPr>
                <w:sz w:val="13"/>
                <w:szCs w:val="13"/>
              </w:rPr>
              <w:t xml:space="preserve">IRDAI GAAP</w:t>
            </w:r>
          </w:p>
        </w:tc>
        <w:tc>
          <w:tcPr>
            <w:tcW w:w="1134" w:type="dxa"/>
          </w:tcPr>
          <w:p>
            <w:pPr>
              <w:pStyle w:val="Compact"/>
              <w:jc w:val="left"/>
              <w:spacing w:before="20" w:after="20" w:line="220" w:lineRule="auto"/>
            </w:pPr>
            <w:r>
              <w:rPr>
                <w:sz w:val="13"/>
                <w:szCs w:val="13"/>
              </w:rPr>
              <w:t xml:space="preserve">FY2026 (Mar)</w:t>
            </w:r>
          </w:p>
        </w:tc>
        <w:tc>
          <w:tcPr>
            <w:tcW w:w="702" w:type="dxa"/>
          </w:tcPr>
          <w:p>
            <w:pPr>
              <w:pStyle w:val="Compact"/>
              <w:jc w:val="left"/>
              <w:spacing w:before="20" w:after="20" w:line="220" w:lineRule="auto"/>
            </w:pPr>
            <w:r>
              <w:rPr>
                <w:sz w:val="13"/>
                <w:szCs w:val="13"/>
              </w:rPr>
              <w:t xml:space="preserve">R0.43m</w:t>
            </w:r>
          </w:p>
        </w:tc>
        <w:tc>
          <w:tcPr>
            <w:tcW w:w="990" w:type="dxa"/>
          </w:tcPr>
          <w:p>
            <w:pPr>
              <w:pStyle w:val="Compact"/>
              <w:jc w:val="left"/>
              <w:spacing w:before="20" w:after="20" w:line="220" w:lineRule="auto"/>
            </w:pPr>
            <w:r>
              <w:rPr>
                <w:sz w:val="13"/>
                <w:szCs w:val="13"/>
              </w:rPr>
              <w:t xml:space="preserve">R0.43m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OUTsurance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2358" w:type="dxa"/>
          </w:tcPr>
          <w:p>
            <w:pPr>
              <w:pStyle w:val="Compact"/>
              <w:jc w:val="left"/>
              <w:spacing w:before="20" w:after="20" w:line="220" w:lineRule="auto"/>
            </w:pPr>
            <w:r>
              <w:rPr>
                <w:sz w:val="13"/>
                <w:szCs w:val="13"/>
              </w:rPr>
              <w:t xml:space="preserve">direct</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FY2026 (Jun)</w:t>
            </w:r>
          </w:p>
        </w:tc>
        <w:tc>
          <w:tcPr>
            <w:tcW w:w="702" w:type="dxa"/>
          </w:tcPr>
          <w:p>
            <w:pPr>
              <w:pStyle w:val="Compact"/>
              <w:jc w:val="left"/>
              <w:spacing w:before="20" w:after="20" w:line="220" w:lineRule="auto"/>
            </w:pPr>
            <w:r>
              <w:rPr>
                <w:sz w:val="13"/>
                <w:szCs w:val="13"/>
              </w:rPr>
              <w:t xml:space="preserve">R1.41m</w:t>
            </w:r>
          </w:p>
        </w:tc>
        <w:tc>
          <w:tcPr>
            <w:tcW w:w="990" w:type="dxa"/>
          </w:tcPr>
          <w:p>
            <w:pPr>
              <w:pStyle w:val="Compact"/>
              <w:jc w:val="left"/>
              <w:spacing w:before="20" w:after="20" w:line="220" w:lineRule="auto"/>
            </w:pPr>
            <w:r>
              <w:rPr>
                <w:sz w:val="13"/>
                <w:szCs w:val="13"/>
              </w:rPr>
              <w:t xml:space="preserve">R1.41m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Santam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2358" w:type="dxa"/>
          </w:tcPr>
          <w:p>
            <w:pPr>
              <w:pStyle w:val="Compact"/>
              <w:jc w:val="left"/>
              <w:spacing w:before="20" w:after="20" w:line="220" w:lineRule="auto"/>
            </w:pPr>
            <w:r>
              <w:rPr>
                <w:sz w:val="13"/>
                <w:szCs w:val="13"/>
              </w:rPr>
              <w:t xml:space="preserve">open</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R1.20m</w:t>
            </w:r>
          </w:p>
        </w:tc>
        <w:tc>
          <w:tcPr>
            <w:tcW w:w="990" w:type="dxa"/>
          </w:tcPr>
          <w:p>
            <w:pPr>
              <w:pStyle w:val="Compact"/>
              <w:jc w:val="left"/>
              <w:spacing w:before="20" w:after="20" w:line="220" w:lineRule="auto"/>
            </w:pPr>
            <w:r>
              <w:rPr>
                <w:sz w:val="13"/>
                <w:szCs w:val="13"/>
              </w:rPr>
              <w:t xml:space="preserve">R1.20m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BNP Paribas Cardif</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partly captive</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R2.56m</w:t>
            </w:r>
          </w:p>
        </w:tc>
        <w:tc>
          <w:tcPr>
            <w:tcW w:w="990" w:type="dxa"/>
          </w:tcPr>
          <w:p>
            <w:pPr>
              <w:pStyle w:val="Compact"/>
              <w:jc w:val="left"/>
              <w:spacing w:before="20" w:after="20" w:line="220" w:lineRule="auto"/>
            </w:pPr>
            <w:r>
              <w:rPr>
                <w:sz w:val="13"/>
                <w:szCs w:val="13"/>
              </w:rPr>
              <w:t xml:space="preserve">R2.56m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Bradesco Seguros</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captive</w:t>
            </w:r>
          </w:p>
        </w:tc>
        <w:tc>
          <w:tcPr>
            <w:tcW w:w="1278" w:type="dxa"/>
          </w:tcPr>
          <w:p>
            <w:pPr>
              <w:pStyle w:val="Compact"/>
              <w:jc w:val="left"/>
              <w:spacing w:before="20" w:after="20" w:line="220" w:lineRule="auto"/>
            </w:pPr>
            <w:r>
              <w:rPr>
                <w:sz w:val="13"/>
                <w:szCs w:val="13"/>
              </w:rPr>
              <w:t xml:space="preserve">Brazilian GAAP</w:t>
            </w:r>
          </w:p>
        </w:tc>
        <w:tc>
          <w:tcPr>
            <w:tcW w:w="113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R1.92m</w:t>
            </w:r>
          </w:p>
        </w:tc>
        <w:tc>
          <w:tcPr>
            <w:tcW w:w="990" w:type="dxa"/>
          </w:tcPr>
          <w:p>
            <w:pPr>
              <w:pStyle w:val="Compact"/>
              <w:jc w:val="left"/>
              <w:spacing w:before="20" w:after="20" w:line="220" w:lineRule="auto"/>
            </w:pPr>
            <w:r>
              <w:rPr>
                <w:sz w:val="13"/>
                <w:szCs w:val="13"/>
              </w:rPr>
              <w:t xml:space="preserve">R1.92m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Credit Agricole Assurances</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captive</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R6.65m</w:t>
            </w:r>
          </w:p>
        </w:tc>
        <w:tc>
          <w:tcPr>
            <w:tcW w:w="990" w:type="dxa"/>
          </w:tcPr>
          <w:p>
            <w:pPr>
              <w:pStyle w:val="Compact"/>
              <w:jc w:val="left"/>
              <w:spacing w:before="20" w:after="20" w:line="220" w:lineRule="auto"/>
            </w:pPr>
            <w:r>
              <w:rPr>
                <w:sz w:val="13"/>
                <w:szCs w:val="13"/>
              </w:rPr>
              <w:t xml:space="preserve">R6.65m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KBC Insurance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branches and tied agents</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R3.80m</w:t>
            </w:r>
          </w:p>
        </w:tc>
        <w:tc>
          <w:tcPr>
            <w:tcW w:w="990" w:type="dxa"/>
          </w:tcPr>
          <w:p>
            <w:pPr>
              <w:pStyle w:val="Compact"/>
              <w:jc w:val="left"/>
              <w:spacing w:before="20" w:after="20" w:line="220" w:lineRule="auto"/>
            </w:pPr>
            <w:r>
              <w:rPr>
                <w:sz w:val="13"/>
                <w:szCs w:val="13"/>
              </w:rPr>
              <w:t xml:space="preserve">R3.80m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Momentum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open</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FY2026 (Jun)</w:t>
            </w:r>
          </w:p>
        </w:tc>
        <w:tc>
          <w:tcPr>
            <w:tcW w:w="702" w:type="dxa"/>
          </w:tcPr>
          <w:p>
            <w:pPr>
              <w:pStyle w:val="Compact"/>
              <w:jc w:val="left"/>
              <w:spacing w:before="20" w:after="20" w:line="220" w:lineRule="auto"/>
            </w:pPr>
            <w:r>
              <w:rPr>
                <w:sz w:val="13"/>
                <w:szCs w:val="13"/>
              </w:rPr>
              <w:t xml:space="preserve">R0.99m</w:t>
            </w:r>
          </w:p>
        </w:tc>
        <w:tc>
          <w:tcPr>
            <w:tcW w:w="990" w:type="dxa"/>
          </w:tcPr>
          <w:p>
            <w:pPr>
              <w:pStyle w:val="Compact"/>
              <w:jc w:val="left"/>
              <w:spacing w:before="20" w:after="20" w:line="220" w:lineRule="auto"/>
            </w:pPr>
            <w:r>
              <w:rPr>
                <w:sz w:val="13"/>
                <w:szCs w:val="13"/>
              </w:rPr>
              <w:t xml:space="preserve">R0.99m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Old Mutual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open</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R0.89m</w:t>
            </w:r>
          </w:p>
        </w:tc>
        <w:tc>
          <w:tcPr>
            <w:tcW w:w="990" w:type="dxa"/>
          </w:tcPr>
          <w:p>
            <w:pPr>
              <w:pStyle w:val="Compact"/>
              <w:jc w:val="left"/>
              <w:spacing w:before="20" w:after="20" w:line="220" w:lineRule="auto"/>
            </w:pPr>
            <w:r>
              <w:rPr>
                <w:sz w:val="13"/>
                <w:szCs w:val="13"/>
              </w:rPr>
              <w:t xml:space="preserve">R0.89m</w:t>
            </w:r>
          </w:p>
        </w:tc>
        <w:tc>
          <w:tcPr>
            <w:tcW w:w="990" w:type="dxa"/>
          </w:tcPr>
          <w:p>
            <w:pPr>
              <w:pStyle w:val="Compact"/>
              <w:jc w:val="left"/>
              <w:spacing w:before="20" w:after="20" w:line="220" w:lineRule="auto"/>
            </w:pPr>
            <w:r>
              <w:rPr>
                <w:sz w:val="13"/>
                <w:szCs w:val="13"/>
              </w:rPr>
              <w:t xml:space="preserve">yes</w:t>
            </w:r>
          </w:p>
        </w:tc>
      </w:tr>
      <w:tr>
        <w:tc>
          <w:tcPr>
            <w:tcW w:w="2142" w:type="dxa"/>
          </w:tcPr>
          <w:p>
            <w:pPr>
              <w:pStyle w:val="Compact"/>
              <w:jc w:val="left"/>
              <w:spacing w:before="20" w:after="20" w:line="220" w:lineRule="auto"/>
            </w:pPr>
            <w:r>
              <w:rPr>
                <w:sz w:val="13"/>
                <w:szCs w:val="13"/>
              </w:rPr>
              <w:t xml:space="preserve">Sanlam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open</w:t>
            </w:r>
          </w:p>
        </w:tc>
        <w:tc>
          <w:tcPr>
            <w:tcW w:w="1278"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R1.68m</w:t>
            </w:r>
          </w:p>
        </w:tc>
        <w:tc>
          <w:tcPr>
            <w:tcW w:w="990" w:type="dxa"/>
          </w:tcPr>
          <w:p>
            <w:pPr>
              <w:pStyle w:val="Compact"/>
              <w:jc w:val="left"/>
              <w:spacing w:before="20" w:after="20" w:line="220" w:lineRule="auto"/>
            </w:pPr>
            <w:r>
              <w:rPr>
                <w:sz w:val="13"/>
                <w:szCs w:val="13"/>
              </w:rPr>
              <w:t xml:space="preserve">R1.68m</w:t>
            </w:r>
          </w:p>
        </w:tc>
        <w:tc>
          <w:tcPr>
            <w:tcW w:w="990"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M7; raw values link to data_ids in the Raw data tab.</w:t>
      </w:r>
    </w:p>
    <w:bookmarkEnd w:id="71"/>
    <w:bookmarkStart w:id="72" w:name="X1e9356108ff32700ca9d1b3c3f3882a1c843670"/>
    <w:p>
      <w:pPr>
        <w:pStyle w:val="Heading4"/>
      </w:pPr>
      <w:r>
        <w:t xml:space="preserve">M8: Insurance revenue or gross premium per employee (ZAR m)</w:t>
      </w:r>
    </w:p>
    <w:tbl>
      <w:tblPr>
        <w:tblStyle w:val="Table"/>
        <w:tblLook w:firstRow="1" w:lastRow="0" w:firstColumn="0" w:lastColumn="0" w:noHBand="0" w:noVBand="0" w:val="0020"/>
        <w:jc w:val="start"/>
        <w:tblW w:w="13950" w:type="dxa"/>
        <w:tblLayout w:type="fixed"/>
      </w:tblPr>
      <w:tblGrid>
        <w:gridCol w:w="4374"/>
        <w:gridCol w:w="774"/>
        <w:gridCol w:w="918"/>
        <w:gridCol w:w="2358"/>
        <w:gridCol w:w="1566"/>
        <w:gridCol w:w="1134"/>
        <w:gridCol w:w="846"/>
        <w:gridCol w:w="990"/>
        <w:gridCol w:w="990"/>
      </w:tblGrid>
      <w:tr>
        <w:trPr>
          <w:tblHeader w:val="true"/>
        </w:trPr>
        <w:tc>
          <w:tcPr>
            <w:tcW w:w="4374"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2358" w:type="dxa"/>
          </w:tcPr>
          <w:p>
            <w:pPr>
              <w:pStyle w:val="Compact"/>
              <w:jc w:val="left"/>
              <w:spacing w:before="20" w:after="20" w:line="220" w:lineRule="auto"/>
            </w:pPr>
            <w:r>
              <w:rPr>
                <w:sz w:val="13"/>
                <w:szCs w:val="13"/>
              </w:rPr>
              <w:t xml:space="preserve">Distribution</w:t>
            </w:r>
          </w:p>
        </w:tc>
        <w:tc>
          <w:tcPr>
            <w:tcW w:w="1566" w:type="dxa"/>
          </w:tcPr>
          <w:p>
            <w:pPr>
              <w:pStyle w:val="Compact"/>
              <w:jc w:val="left"/>
              <w:spacing w:before="20" w:after="20" w:line="220" w:lineRule="auto"/>
            </w:pPr>
            <w:r>
              <w:rPr>
                <w:sz w:val="13"/>
                <w:szCs w:val="13"/>
              </w:rPr>
              <w:t xml:space="preserve">Basis</w:t>
            </w:r>
          </w:p>
        </w:tc>
        <w:tc>
          <w:tcPr>
            <w:tcW w:w="1134" w:type="dxa"/>
          </w:tcPr>
          <w:p>
            <w:pPr>
              <w:pStyle w:val="Compact"/>
              <w:jc w:val="left"/>
              <w:spacing w:before="20" w:after="20" w:line="220" w:lineRule="auto"/>
            </w:pPr>
            <w:r>
              <w:rPr>
                <w:sz w:val="13"/>
                <w:szCs w:val="13"/>
              </w:rPr>
              <w:t xml:space="preserve">Period</w:t>
            </w:r>
          </w:p>
        </w:tc>
        <w:tc>
          <w:tcPr>
            <w:tcW w:w="846"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90" w:type="dxa"/>
          </w:tcPr>
          <w:p>
            <w:pPr>
              <w:pStyle w:val="Compact"/>
              <w:jc w:val="left"/>
              <w:spacing w:before="20" w:after="20" w:line="220" w:lineRule="auto"/>
            </w:pPr>
            <w:r>
              <w:rPr>
                <w:sz w:val="13"/>
                <w:szCs w:val="13"/>
              </w:rPr>
              <w:t xml:space="preserve">In medians</w:t>
            </w:r>
          </w:p>
        </w:tc>
      </w:tr>
      <w:tr>
        <w:tc>
          <w:tcPr>
            <w:tcW w:w="4374" w:type="dxa"/>
          </w:tcPr>
          <w:p>
            <w:pPr>
              <w:pStyle w:val="Compact"/>
              <w:jc w:val="left"/>
              <w:spacing w:before="20" w:after="20" w:line="220" w:lineRule="auto"/>
            </w:pPr>
            <w:r>
              <w:rPr>
                <w:sz w:val="13"/>
                <w:szCs w:val="13"/>
              </w:rPr>
              <w:t xml:space="preserve">SBI Life (GWP per employee)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life</w:t>
            </w:r>
          </w:p>
        </w:tc>
        <w:tc>
          <w:tcPr>
            <w:tcW w:w="2358" w:type="dxa"/>
          </w:tcPr>
          <w:p>
            <w:pPr>
              <w:pStyle w:val="Compact"/>
              <w:jc w:val="left"/>
              <w:spacing w:before="20" w:after="20" w:line="220" w:lineRule="auto"/>
            </w:pPr>
            <w:r>
              <w:rPr>
                <w:sz w:val="13"/>
                <w:szCs w:val="13"/>
              </w:rPr>
              <w:t xml:space="preserve">bank-led</w:t>
            </w:r>
          </w:p>
        </w:tc>
        <w:tc>
          <w:tcPr>
            <w:tcW w:w="1566" w:type="dxa"/>
          </w:tcPr>
          <w:p>
            <w:pPr>
              <w:pStyle w:val="Compact"/>
              <w:jc w:val="left"/>
              <w:spacing w:before="20" w:after="20" w:line="220" w:lineRule="auto"/>
            </w:pPr>
            <w:r>
              <w:rPr>
                <w:sz w:val="13"/>
                <w:szCs w:val="13"/>
              </w:rPr>
              <w:t xml:space="preserve">IRDAI GAAP</w:t>
            </w:r>
          </w:p>
        </w:tc>
        <w:tc>
          <w:tcPr>
            <w:tcW w:w="1134" w:type="dxa"/>
          </w:tcPr>
          <w:p>
            <w:pPr>
              <w:pStyle w:val="Compact"/>
              <w:jc w:val="left"/>
              <w:spacing w:before="20" w:after="20" w:line="220" w:lineRule="auto"/>
            </w:pPr>
            <w:r>
              <w:rPr>
                <w:sz w:val="13"/>
                <w:szCs w:val="13"/>
              </w:rPr>
              <w:t xml:space="preserve">FY2026 (Mar)</w:t>
            </w:r>
          </w:p>
        </w:tc>
        <w:tc>
          <w:tcPr>
            <w:tcW w:w="846" w:type="dxa"/>
          </w:tcPr>
          <w:p>
            <w:pPr>
              <w:pStyle w:val="Compact"/>
              <w:jc w:val="left"/>
              <w:spacing w:before="20" w:after="20" w:line="220" w:lineRule="auto"/>
            </w:pPr>
            <w:r>
              <w:rPr>
                <w:sz w:val="13"/>
                <w:szCs w:val="13"/>
              </w:rPr>
              <w:t xml:space="preserve">R7.07m</w:t>
            </w:r>
          </w:p>
        </w:tc>
        <w:tc>
          <w:tcPr>
            <w:tcW w:w="990" w:type="dxa"/>
          </w:tcPr>
          <w:p>
            <w:pPr>
              <w:pStyle w:val="Compact"/>
              <w:jc w:val="left"/>
              <w:spacing w:before="20" w:after="20" w:line="220" w:lineRule="auto"/>
            </w:pPr>
            <w:r>
              <w:rPr>
                <w:sz w:val="13"/>
                <w:szCs w:val="13"/>
              </w:rPr>
              <w:t xml:space="preserve">R7.07m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VidaCaixa (GWP per employee)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life</w:t>
            </w:r>
          </w:p>
        </w:tc>
        <w:tc>
          <w:tcPr>
            <w:tcW w:w="2358" w:type="dxa"/>
          </w:tcPr>
          <w:p>
            <w:pPr>
              <w:pStyle w:val="Compact"/>
              <w:jc w:val="left"/>
              <w:spacing w:before="20" w:after="20" w:line="220" w:lineRule="auto"/>
            </w:pPr>
            <w:r>
              <w:rPr>
                <w:sz w:val="13"/>
                <w:szCs w:val="13"/>
              </w:rPr>
              <w:t xml:space="preserve">bank captive</w:t>
            </w:r>
          </w:p>
        </w:tc>
        <w:tc>
          <w:tcPr>
            <w:tcW w:w="1566" w:type="dxa"/>
          </w:tcPr>
          <w:p>
            <w:pPr>
              <w:pStyle w:val="Compact"/>
              <w:jc w:val="left"/>
              <w:spacing w:before="20" w:after="20" w:line="220" w:lineRule="auto"/>
            </w:pPr>
            <w:r>
              <w:rPr>
                <w:sz w:val="13"/>
                <w:szCs w:val="13"/>
              </w:rPr>
              <w:t xml:space="preserve">Solvency II GWP</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R235.83m</w:t>
            </w:r>
          </w:p>
        </w:tc>
        <w:tc>
          <w:tcPr>
            <w:tcW w:w="990" w:type="dxa"/>
          </w:tcPr>
          <w:p>
            <w:pPr>
              <w:pStyle w:val="Compact"/>
              <w:jc w:val="left"/>
              <w:spacing w:before="20" w:after="20" w:line="220" w:lineRule="auto"/>
            </w:pPr>
            <w:r>
              <w:rPr>
                <w:sz w:val="13"/>
                <w:szCs w:val="13"/>
              </w:rPr>
              <w:t xml:space="preserve">R235.83m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OUTsurance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2358" w:type="dxa"/>
          </w:tcPr>
          <w:p>
            <w:pPr>
              <w:pStyle w:val="Compact"/>
              <w:jc w:val="left"/>
              <w:spacing w:before="20" w:after="20" w:line="220" w:lineRule="auto"/>
            </w:pPr>
            <w:r>
              <w:rPr>
                <w:sz w:val="13"/>
                <w:szCs w:val="13"/>
              </w:rPr>
              <w:t xml:space="preserve">direct</w:t>
            </w:r>
          </w:p>
        </w:tc>
        <w:tc>
          <w:tcPr>
            <w:tcW w:w="1566"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FY2026 (Jun)</w:t>
            </w:r>
          </w:p>
        </w:tc>
        <w:tc>
          <w:tcPr>
            <w:tcW w:w="846" w:type="dxa"/>
          </w:tcPr>
          <w:p>
            <w:pPr>
              <w:pStyle w:val="Compact"/>
              <w:jc w:val="left"/>
              <w:spacing w:before="20" w:after="20" w:line="220" w:lineRule="auto"/>
            </w:pPr>
            <w:r>
              <w:rPr>
                <w:sz w:val="13"/>
                <w:szCs w:val="13"/>
              </w:rPr>
              <w:t xml:space="preserve">R5.15m</w:t>
            </w:r>
          </w:p>
        </w:tc>
        <w:tc>
          <w:tcPr>
            <w:tcW w:w="990" w:type="dxa"/>
          </w:tcPr>
          <w:p>
            <w:pPr>
              <w:pStyle w:val="Compact"/>
              <w:jc w:val="left"/>
              <w:spacing w:before="20" w:after="20" w:line="220" w:lineRule="auto"/>
            </w:pPr>
            <w:r>
              <w:rPr>
                <w:sz w:val="13"/>
                <w:szCs w:val="13"/>
              </w:rPr>
              <w:t xml:space="preserve">R5.15m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Santam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nonlife</w:t>
            </w:r>
          </w:p>
        </w:tc>
        <w:tc>
          <w:tcPr>
            <w:tcW w:w="2358" w:type="dxa"/>
          </w:tcPr>
          <w:p>
            <w:pPr>
              <w:pStyle w:val="Compact"/>
              <w:jc w:val="left"/>
              <w:spacing w:before="20" w:after="20" w:line="220" w:lineRule="auto"/>
            </w:pPr>
            <w:r>
              <w:rPr>
                <w:sz w:val="13"/>
                <w:szCs w:val="13"/>
              </w:rPr>
              <w:t xml:space="preserve">open</w:t>
            </w:r>
          </w:p>
        </w:tc>
        <w:tc>
          <w:tcPr>
            <w:tcW w:w="1566"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R8.07m</w:t>
            </w:r>
          </w:p>
        </w:tc>
        <w:tc>
          <w:tcPr>
            <w:tcW w:w="990" w:type="dxa"/>
          </w:tcPr>
          <w:p>
            <w:pPr>
              <w:pStyle w:val="Compact"/>
              <w:jc w:val="left"/>
              <w:spacing w:before="20" w:after="20" w:line="220" w:lineRule="auto"/>
            </w:pPr>
            <w:r>
              <w:rPr>
                <w:sz w:val="13"/>
                <w:szCs w:val="13"/>
              </w:rPr>
              <w:t xml:space="preserve">R8.07m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BNP Paribas Cardif (GWP per employee)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partly captive</w:t>
            </w:r>
          </w:p>
        </w:tc>
        <w:tc>
          <w:tcPr>
            <w:tcW w:w="1566" w:type="dxa"/>
          </w:tcPr>
          <w:p>
            <w:pPr>
              <w:pStyle w:val="Compact"/>
              <w:jc w:val="left"/>
              <w:spacing w:before="20" w:after="20" w:line="220" w:lineRule="auto"/>
            </w:pPr>
            <w:r>
              <w:rPr>
                <w:sz w:val="13"/>
                <w:szCs w:val="13"/>
              </w:rPr>
              <w:t xml:space="preserve">GWP KPI</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R86.54m</w:t>
            </w:r>
          </w:p>
        </w:tc>
        <w:tc>
          <w:tcPr>
            <w:tcW w:w="990" w:type="dxa"/>
          </w:tcPr>
          <w:p>
            <w:pPr>
              <w:pStyle w:val="Compact"/>
              <w:jc w:val="left"/>
              <w:spacing w:before="20" w:after="20" w:line="220" w:lineRule="auto"/>
            </w:pPr>
            <w:r>
              <w:rPr>
                <w:sz w:val="13"/>
                <w:szCs w:val="13"/>
              </w:rPr>
              <w:t xml:space="preserve">R86.54m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Bradesco Seguros (premiums earned per employee)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captive</w:t>
            </w:r>
          </w:p>
        </w:tc>
        <w:tc>
          <w:tcPr>
            <w:tcW w:w="1566" w:type="dxa"/>
          </w:tcPr>
          <w:p>
            <w:pPr>
              <w:pStyle w:val="Compact"/>
              <w:jc w:val="left"/>
              <w:spacing w:before="20" w:after="20" w:line="220" w:lineRule="auto"/>
            </w:pPr>
            <w:r>
              <w:rPr>
                <w:sz w:val="13"/>
                <w:szCs w:val="13"/>
              </w:rPr>
              <w:t xml:space="preserve">Brazilian GAAP</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R28.94m</w:t>
            </w:r>
          </w:p>
        </w:tc>
        <w:tc>
          <w:tcPr>
            <w:tcW w:w="990" w:type="dxa"/>
          </w:tcPr>
          <w:p>
            <w:pPr>
              <w:pStyle w:val="Compact"/>
              <w:jc w:val="left"/>
              <w:spacing w:before="20" w:after="20" w:line="220" w:lineRule="auto"/>
            </w:pPr>
            <w:r>
              <w:rPr>
                <w:sz w:val="13"/>
                <w:szCs w:val="13"/>
              </w:rPr>
              <w:t xml:space="preserve">R28.94m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Brasilseg (premiums written per employee, 2024 headcount)</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captive</w:t>
            </w:r>
          </w:p>
        </w:tc>
        <w:tc>
          <w:tcPr>
            <w:tcW w:w="1566" w:type="dxa"/>
          </w:tcPr>
          <w:p>
            <w:pPr>
              <w:pStyle w:val="Compact"/>
              <w:jc w:val="left"/>
              <w:spacing w:before="20" w:after="20" w:line="220" w:lineRule="auto"/>
            </w:pPr>
            <w:r>
              <w:rPr>
                <w:sz w:val="13"/>
                <w:szCs w:val="13"/>
              </w:rPr>
              <w:t xml:space="preserve">SUSEP</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R25.99m</w:t>
            </w:r>
          </w:p>
        </w:tc>
        <w:tc>
          <w:tcPr>
            <w:tcW w:w="990" w:type="dxa"/>
          </w:tcPr>
          <w:p>
            <w:pPr>
              <w:pStyle w:val="Compact"/>
              <w:jc w:val="left"/>
              <w:spacing w:before="20" w:after="20" w:line="220" w:lineRule="auto"/>
            </w:pPr>
            <w:r>
              <w:rPr>
                <w:sz w:val="13"/>
                <w:szCs w:val="13"/>
              </w:rPr>
              <w:t xml:space="preserve">R25.99m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Credit Agricole Assurances (premium income per employee)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captive</w:t>
            </w:r>
          </w:p>
        </w:tc>
        <w:tc>
          <w:tcPr>
            <w:tcW w:w="1566" w:type="dxa"/>
          </w:tcPr>
          <w:p>
            <w:pPr>
              <w:pStyle w:val="Compact"/>
              <w:jc w:val="left"/>
              <w:spacing w:before="20" w:after="20" w:line="220" w:lineRule="auto"/>
            </w:pPr>
            <w:r>
              <w:rPr>
                <w:sz w:val="13"/>
                <w:szCs w:val="13"/>
              </w:rPr>
              <w:t xml:space="preserve">Premium income KPI</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R261.40m</w:t>
            </w:r>
          </w:p>
        </w:tc>
        <w:tc>
          <w:tcPr>
            <w:tcW w:w="990" w:type="dxa"/>
          </w:tcPr>
          <w:p>
            <w:pPr>
              <w:pStyle w:val="Compact"/>
              <w:jc w:val="left"/>
              <w:spacing w:before="20" w:after="20" w:line="220" w:lineRule="auto"/>
            </w:pPr>
            <w:r>
              <w:rPr>
                <w:sz w:val="13"/>
                <w:szCs w:val="13"/>
              </w:rPr>
              <w:t xml:space="preserve">R261.40m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Intesa Sanpaolo Assicurazioni (GWP per employee)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captive</w:t>
            </w:r>
          </w:p>
        </w:tc>
        <w:tc>
          <w:tcPr>
            <w:tcW w:w="1566" w:type="dxa"/>
          </w:tcPr>
          <w:p>
            <w:pPr>
              <w:pStyle w:val="Compact"/>
              <w:jc w:val="left"/>
              <w:spacing w:before="20" w:after="20" w:line="220" w:lineRule="auto"/>
            </w:pPr>
            <w:r>
              <w:rPr>
                <w:sz w:val="13"/>
                <w:szCs w:val="13"/>
              </w:rPr>
              <w:t xml:space="preserve">Premium KPI</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R302.77m</w:t>
            </w:r>
          </w:p>
        </w:tc>
        <w:tc>
          <w:tcPr>
            <w:tcW w:w="990" w:type="dxa"/>
          </w:tcPr>
          <w:p>
            <w:pPr>
              <w:pStyle w:val="Compact"/>
              <w:jc w:val="left"/>
              <w:spacing w:before="20" w:after="20" w:line="220" w:lineRule="auto"/>
            </w:pPr>
            <w:r>
              <w:rPr>
                <w:sz w:val="13"/>
                <w:szCs w:val="13"/>
              </w:rPr>
              <w:t xml:space="preserve">R302.77m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KBC Insurance</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bank branches and tied agents</w:t>
            </w:r>
          </w:p>
        </w:tc>
        <w:tc>
          <w:tcPr>
            <w:tcW w:w="1566"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R16.29m</w:t>
            </w:r>
          </w:p>
        </w:tc>
        <w:tc>
          <w:tcPr>
            <w:tcW w:w="990" w:type="dxa"/>
          </w:tcPr>
          <w:p>
            <w:pPr>
              <w:pStyle w:val="Compact"/>
              <w:jc w:val="left"/>
              <w:spacing w:before="20" w:after="20" w:line="220" w:lineRule="auto"/>
            </w:pPr>
            <w:r>
              <w:rPr>
                <w:sz w:val="13"/>
                <w:szCs w:val="13"/>
              </w:rPr>
              <w:t xml:space="preserve">R16.29m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Momentum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open</w:t>
            </w:r>
          </w:p>
        </w:tc>
        <w:tc>
          <w:tcPr>
            <w:tcW w:w="1566"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FY2026 (Jun)</w:t>
            </w:r>
          </w:p>
        </w:tc>
        <w:tc>
          <w:tcPr>
            <w:tcW w:w="846" w:type="dxa"/>
          </w:tcPr>
          <w:p>
            <w:pPr>
              <w:pStyle w:val="Compact"/>
              <w:jc w:val="left"/>
              <w:spacing w:before="20" w:after="20" w:line="220" w:lineRule="auto"/>
            </w:pPr>
            <w:r>
              <w:rPr>
                <w:sz w:val="13"/>
                <w:szCs w:val="13"/>
              </w:rPr>
              <w:t xml:space="preserve">R4.16m</w:t>
            </w:r>
          </w:p>
        </w:tc>
        <w:tc>
          <w:tcPr>
            <w:tcW w:w="990" w:type="dxa"/>
          </w:tcPr>
          <w:p>
            <w:pPr>
              <w:pStyle w:val="Compact"/>
              <w:jc w:val="left"/>
              <w:spacing w:before="20" w:after="20" w:line="220" w:lineRule="auto"/>
            </w:pPr>
            <w:r>
              <w:rPr>
                <w:sz w:val="13"/>
                <w:szCs w:val="13"/>
              </w:rPr>
              <w:t xml:space="preserve">R4.16m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Old Mutual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open</w:t>
            </w:r>
          </w:p>
        </w:tc>
        <w:tc>
          <w:tcPr>
            <w:tcW w:w="1566"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R2.93m</w:t>
            </w:r>
          </w:p>
        </w:tc>
        <w:tc>
          <w:tcPr>
            <w:tcW w:w="990" w:type="dxa"/>
          </w:tcPr>
          <w:p>
            <w:pPr>
              <w:pStyle w:val="Compact"/>
              <w:jc w:val="left"/>
              <w:spacing w:before="20" w:after="20" w:line="220" w:lineRule="auto"/>
            </w:pPr>
            <w:r>
              <w:rPr>
                <w:sz w:val="13"/>
                <w:szCs w:val="13"/>
              </w:rPr>
              <w:t xml:space="preserve">R2.93m</w:t>
            </w:r>
          </w:p>
        </w:tc>
        <w:tc>
          <w:tcPr>
            <w:tcW w:w="990" w:type="dxa"/>
          </w:tcPr>
          <w:p>
            <w:pPr>
              <w:pStyle w:val="Compact"/>
              <w:jc w:val="left"/>
              <w:spacing w:before="20" w:after="20" w:line="220" w:lineRule="auto"/>
            </w:pPr>
            <w:r>
              <w:rPr>
                <w:sz w:val="13"/>
                <w:szCs w:val="13"/>
              </w:rPr>
              <w:t xml:space="preserve">yes</w:t>
            </w:r>
          </w:p>
        </w:tc>
      </w:tr>
      <w:tr>
        <w:tc>
          <w:tcPr>
            <w:tcW w:w="4374" w:type="dxa"/>
          </w:tcPr>
          <w:p>
            <w:pPr>
              <w:pStyle w:val="Compact"/>
              <w:jc w:val="left"/>
              <w:spacing w:before="20" w:after="20" w:line="220" w:lineRule="auto"/>
            </w:pPr>
            <w:r>
              <w:rPr>
                <w:sz w:val="13"/>
                <w:szCs w:val="13"/>
              </w:rPr>
              <w:t xml:space="preserve">Sanlam Group</w:t>
            </w:r>
          </w:p>
        </w:tc>
        <w:tc>
          <w:tcPr>
            <w:tcW w:w="774" w:type="dxa"/>
          </w:tcPr>
          <w:p>
            <w:pPr>
              <w:pStyle w:val="Compact"/>
              <w:jc w:val="left"/>
              <w:spacing w:before="20" w:after="20" w:line="220" w:lineRule="auto"/>
            </w:pPr>
            <w:r>
              <w:rPr>
                <w:sz w:val="13"/>
                <w:szCs w:val="13"/>
              </w:rPr>
              <w:t xml:space="preserve">LN</w:t>
            </w:r>
          </w:p>
        </w:tc>
        <w:tc>
          <w:tcPr>
            <w:tcW w:w="918" w:type="dxa"/>
          </w:tcPr>
          <w:p>
            <w:pPr>
              <w:pStyle w:val="Compact"/>
              <w:jc w:val="left"/>
              <w:spacing w:before="20" w:after="20" w:line="220" w:lineRule="auto"/>
            </w:pPr>
            <w:r>
              <w:rPr>
                <w:sz w:val="13"/>
                <w:szCs w:val="13"/>
              </w:rPr>
              <w:t xml:space="preserve">composite</w:t>
            </w:r>
          </w:p>
        </w:tc>
        <w:tc>
          <w:tcPr>
            <w:tcW w:w="2358" w:type="dxa"/>
          </w:tcPr>
          <w:p>
            <w:pPr>
              <w:pStyle w:val="Compact"/>
              <w:jc w:val="left"/>
              <w:spacing w:before="20" w:after="20" w:line="220" w:lineRule="auto"/>
            </w:pPr>
            <w:r>
              <w:rPr>
                <w:sz w:val="13"/>
                <w:szCs w:val="13"/>
              </w:rPr>
              <w:t xml:space="preserve">open</w:t>
            </w:r>
          </w:p>
        </w:tc>
        <w:tc>
          <w:tcPr>
            <w:tcW w:w="1566" w:type="dxa"/>
          </w:tcPr>
          <w:p>
            <w:pPr>
              <w:pStyle w:val="Compact"/>
              <w:jc w:val="left"/>
              <w:spacing w:before="20" w:after="20" w:line="220" w:lineRule="auto"/>
            </w:pPr>
            <w:r>
              <w:rPr>
                <w:sz w:val="13"/>
                <w:szCs w:val="13"/>
              </w:rPr>
              <w:t xml:space="preserve">IFRS 17</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R4.40m</w:t>
            </w:r>
          </w:p>
        </w:tc>
        <w:tc>
          <w:tcPr>
            <w:tcW w:w="990" w:type="dxa"/>
          </w:tcPr>
          <w:p>
            <w:pPr>
              <w:pStyle w:val="Compact"/>
              <w:jc w:val="left"/>
              <w:spacing w:before="20" w:after="20" w:line="220" w:lineRule="auto"/>
            </w:pPr>
            <w:r>
              <w:rPr>
                <w:sz w:val="13"/>
                <w:szCs w:val="13"/>
              </w:rPr>
              <w:t xml:space="preserve">R4.40m</w:t>
            </w:r>
          </w:p>
        </w:tc>
        <w:tc>
          <w:tcPr>
            <w:tcW w:w="990"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M8; raw values link to data_ids in the Raw data tab.</w:t>
      </w:r>
    </w:p>
    <w:bookmarkEnd w:id="72"/>
    <w:bookmarkStart w:id="73" w:name="Xf70c0a8406996895a7ec7709e4e8c6172f575d1"/>
    <w:p>
      <w:pPr>
        <w:pStyle w:val="Heading4"/>
      </w:pPr>
      <w:r>
        <w:t xml:space="preserve">M9: Cost-to-income ratio as reported by the parent bank for the insurance unit</w:t>
      </w:r>
    </w:p>
    <w:tbl>
      <w:tblPr>
        <w:tblStyle w:val="Table"/>
        <w:tblLook w:firstRow="1" w:lastRow="0" w:firstColumn="0" w:lastColumn="0" w:noHBand="0" w:noVBand="0" w:val="0020"/>
        <w:jc w:val="start"/>
        <w:tblW w:w="13014" w:type="dxa"/>
        <w:tblLayout w:type="fixed"/>
      </w:tblPr>
      <w:tblGrid>
        <w:gridCol w:w="4086"/>
        <w:gridCol w:w="774"/>
        <w:gridCol w:w="918"/>
        <w:gridCol w:w="1278"/>
        <w:gridCol w:w="2214"/>
        <w:gridCol w:w="1134"/>
        <w:gridCol w:w="630"/>
        <w:gridCol w:w="990"/>
        <w:gridCol w:w="990"/>
      </w:tblGrid>
      <w:tr>
        <w:trPr>
          <w:tblHeader w:val="true"/>
        </w:trPr>
        <w:tc>
          <w:tcPr>
            <w:tcW w:w="4086"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918" w:type="dxa"/>
          </w:tcPr>
          <w:p>
            <w:pPr>
              <w:pStyle w:val="Compact"/>
              <w:jc w:val="left"/>
              <w:spacing w:before="20" w:after="20" w:line="220" w:lineRule="auto"/>
            </w:pPr>
            <w:r>
              <w:rPr>
                <w:sz w:val="13"/>
                <w:szCs w:val="13"/>
              </w:rPr>
              <w:t xml:space="preserve">Mix</w:t>
            </w:r>
          </w:p>
        </w:tc>
        <w:tc>
          <w:tcPr>
            <w:tcW w:w="1278" w:type="dxa"/>
          </w:tcPr>
          <w:p>
            <w:pPr>
              <w:pStyle w:val="Compact"/>
              <w:jc w:val="left"/>
              <w:spacing w:before="20" w:after="20" w:line="220" w:lineRule="auto"/>
            </w:pPr>
            <w:r>
              <w:rPr>
                <w:sz w:val="13"/>
                <w:szCs w:val="13"/>
              </w:rPr>
              <w:t xml:space="preserve">Distribution</w:t>
            </w:r>
          </w:p>
        </w:tc>
        <w:tc>
          <w:tcPr>
            <w:tcW w:w="2214" w:type="dxa"/>
          </w:tcPr>
          <w:p>
            <w:pPr>
              <w:pStyle w:val="Compact"/>
              <w:jc w:val="left"/>
              <w:spacing w:before="20" w:after="20" w:line="220" w:lineRule="auto"/>
            </w:pPr>
            <w:r>
              <w:rPr>
                <w:sz w:val="13"/>
                <w:szCs w:val="13"/>
              </w:rPr>
              <w:t xml:space="preserve">Basis</w:t>
            </w:r>
          </w:p>
        </w:tc>
        <w:tc>
          <w:tcPr>
            <w:tcW w:w="1134" w:type="dxa"/>
          </w:tcPr>
          <w:p>
            <w:pPr>
              <w:pStyle w:val="Compact"/>
              <w:jc w:val="left"/>
              <w:spacing w:before="20" w:after="20" w:line="220" w:lineRule="auto"/>
            </w:pPr>
            <w:r>
              <w:rPr>
                <w:sz w:val="13"/>
                <w:szCs w:val="13"/>
              </w:rPr>
              <w:t xml:space="preserve">Period</w:t>
            </w:r>
          </w:p>
        </w:tc>
        <w:tc>
          <w:tcPr>
            <w:tcW w:w="630"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90" w:type="dxa"/>
          </w:tcPr>
          <w:p>
            <w:pPr>
              <w:pStyle w:val="Compact"/>
              <w:jc w:val="left"/>
              <w:spacing w:before="20" w:after="20" w:line="220" w:lineRule="auto"/>
            </w:pPr>
            <w:r>
              <w:rPr>
                <w:sz w:val="13"/>
                <w:szCs w:val="13"/>
              </w:rPr>
              <w:t xml:space="preserve">In medians</w:t>
            </w:r>
          </w:p>
        </w:tc>
      </w:tr>
      <w:tr>
        <w:tc>
          <w:tcPr>
            <w:tcW w:w="4086" w:type="dxa"/>
          </w:tcPr>
          <w:p>
            <w:pPr>
              <w:pStyle w:val="Compact"/>
              <w:jc w:val="left"/>
              <w:spacing w:before="20" w:after="20" w:line="220" w:lineRule="auto"/>
            </w:pPr>
            <w:r>
              <w:rPr>
                <w:sz w:val="13"/>
                <w:szCs w:val="13"/>
              </w:rPr>
              <w:t xml:space="preserve">AFS Insurance SA (segment cost-to-income as reported)</w:t>
            </w:r>
          </w:p>
        </w:tc>
        <w:tc>
          <w:tcPr>
            <w:tcW w:w="774" w:type="dxa"/>
          </w:tcPr>
          <w:p>
            <w:pPr>
              <w:pStyle w:val="Compact"/>
              <w:jc w:val="left"/>
              <w:spacing w:before="20" w:after="20" w:line="220" w:lineRule="auto"/>
            </w:pPr>
            <w:r>
              <w:rPr>
                <w:sz w:val="13"/>
                <w:szCs w:val="13"/>
              </w:rPr>
              <w:t xml:space="preserve">AFS</w:t>
            </w:r>
          </w:p>
        </w:tc>
        <w:tc>
          <w:tcPr>
            <w:tcW w:w="918" w:type="dxa"/>
          </w:tcPr>
          <w:p>
            <w:pPr>
              <w:pStyle w:val="Compact"/>
              <w:jc w:val="left"/>
              <w:spacing w:before="20" w:after="20" w:line="220" w:lineRule="auto"/>
            </w:pPr>
            <w:r>
              <w:rPr>
                <w:sz w:val="13"/>
                <w:szCs w:val="13"/>
              </w:rPr>
              <w:t xml:space="preserve">composite</w:t>
            </w:r>
          </w:p>
        </w:tc>
        <w:tc>
          <w:tcPr>
            <w:tcW w:w="1278" w:type="dxa"/>
          </w:tcPr>
          <w:p>
            <w:pPr>
              <w:pStyle w:val="Compact"/>
              <w:jc w:val="left"/>
              <w:spacing w:before="20" w:after="20" w:line="220" w:lineRule="auto"/>
            </w:pPr>
            <w:r>
              <w:rPr>
                <w:sz w:val="13"/>
                <w:szCs w:val="13"/>
              </w:rPr>
              <w:t xml:space="preserve">bank captive</w:t>
            </w:r>
          </w:p>
        </w:tc>
        <w:tc>
          <w:tcPr>
            <w:tcW w:w="2214" w:type="dxa"/>
          </w:tcPr>
          <w:p>
            <w:pPr>
              <w:pStyle w:val="Compact"/>
              <w:jc w:val="left"/>
              <w:spacing w:before="20" w:after="20" w:line="220" w:lineRule="auto"/>
            </w:pPr>
            <w:r>
              <w:rPr>
                <w:sz w:val="13"/>
                <w:szCs w:val="13"/>
              </w:rPr>
              <w:t xml:space="preserve">Absa segment definition</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40.0%</w:t>
            </w:r>
          </w:p>
        </w:tc>
        <w:tc>
          <w:tcPr>
            <w:tcW w:w="990" w:type="dxa"/>
          </w:tcPr>
          <w:p>
            <w:pPr>
              <w:pStyle w:val="Compact"/>
              <w:jc w:val="left"/>
              <w:spacing w:before="20" w:after="20" w:line="220" w:lineRule="auto"/>
            </w:pPr>
            <w:r>
              <w:rPr>
                <w:sz w:val="13"/>
                <w:szCs w:val="13"/>
              </w:rPr>
              <w:t xml:space="preserve">40.0%</w:t>
            </w:r>
          </w:p>
        </w:tc>
        <w:tc>
          <w:tcPr>
            <w:tcW w:w="990" w:type="dxa"/>
          </w:tcPr>
          <w:p>
            <w:pPr>
              <w:pStyle w:val="Compact"/>
              <w:jc w:val="left"/>
              <w:spacing w:before="20" w:after="20" w:line="220" w:lineRule="auto"/>
            </w:pPr>
            <w:r>
              <w:rPr>
                <w:sz w:val="13"/>
                <w:szCs w:val="13"/>
              </w:rPr>
              <w:t xml:space="preserve">no</w:t>
            </w:r>
          </w:p>
        </w:tc>
      </w:tr>
      <w:tr>
        <w:tc>
          <w:tcPr>
            <w:tcW w:w="4086" w:type="dxa"/>
          </w:tcPr>
          <w:p>
            <w:pPr>
              <w:pStyle w:val="Compact"/>
              <w:jc w:val="left"/>
              <w:spacing w:before="20" w:after="20" w:line="220" w:lineRule="auto"/>
            </w:pPr>
            <w:r>
              <w:rPr>
                <w:sz w:val="13"/>
                <w:szCs w:val="13"/>
              </w:rPr>
              <w:t xml:space="preserve">Etiqa (Maybank segment cost-to-income)</w:t>
            </w:r>
          </w:p>
        </w:tc>
        <w:tc>
          <w:tcPr>
            <w:tcW w:w="774" w:type="dxa"/>
          </w:tcPr>
          <w:p>
            <w:pPr>
              <w:pStyle w:val="Compact"/>
              <w:jc w:val="left"/>
              <w:spacing w:before="20" w:after="20" w:line="220" w:lineRule="auto"/>
            </w:pPr>
            <w:r>
              <w:rPr>
                <w:sz w:val="13"/>
                <w:szCs w:val="13"/>
              </w:rPr>
              <w:t xml:space="preserve">EM</w:t>
            </w:r>
          </w:p>
        </w:tc>
        <w:tc>
          <w:tcPr>
            <w:tcW w:w="918" w:type="dxa"/>
          </w:tcPr>
          <w:p>
            <w:pPr>
              <w:pStyle w:val="Compact"/>
              <w:jc w:val="left"/>
              <w:spacing w:before="20" w:after="20" w:line="220" w:lineRule="auto"/>
            </w:pPr>
            <w:r>
              <w:rPr>
                <w:sz w:val="13"/>
                <w:szCs w:val="13"/>
              </w:rPr>
              <w:t xml:space="preserve">composite</w:t>
            </w:r>
          </w:p>
        </w:tc>
        <w:tc>
          <w:tcPr>
            <w:tcW w:w="1278" w:type="dxa"/>
          </w:tcPr>
          <w:p>
            <w:pPr>
              <w:pStyle w:val="Compact"/>
              <w:jc w:val="left"/>
              <w:spacing w:before="20" w:after="20" w:line="220" w:lineRule="auto"/>
            </w:pPr>
            <w:r>
              <w:rPr>
                <w:sz w:val="13"/>
                <w:szCs w:val="13"/>
              </w:rPr>
              <w:t xml:space="preserve">partly captive</w:t>
            </w:r>
          </w:p>
        </w:tc>
        <w:tc>
          <w:tcPr>
            <w:tcW w:w="2214" w:type="dxa"/>
          </w:tcPr>
          <w:p>
            <w:pPr>
              <w:pStyle w:val="Compact"/>
              <w:jc w:val="left"/>
              <w:spacing w:before="20" w:after="20" w:line="220" w:lineRule="auto"/>
            </w:pPr>
            <w:r>
              <w:rPr>
                <w:sz w:val="13"/>
                <w:szCs w:val="13"/>
              </w:rPr>
              <w:t xml:space="preserve">Maybank segment definition</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15.9%</w:t>
            </w:r>
          </w:p>
        </w:tc>
        <w:tc>
          <w:tcPr>
            <w:tcW w:w="990" w:type="dxa"/>
          </w:tcPr>
          <w:p>
            <w:pPr>
              <w:pStyle w:val="Compact"/>
              <w:jc w:val="left"/>
              <w:spacing w:before="20" w:after="20" w:line="220" w:lineRule="auto"/>
            </w:pPr>
            <w:r>
              <w:rPr>
                <w:sz w:val="13"/>
                <w:szCs w:val="13"/>
              </w:rPr>
              <w:t xml:space="preserve">15.9%</w:t>
            </w:r>
          </w:p>
        </w:tc>
        <w:tc>
          <w:tcPr>
            <w:tcW w:w="990" w:type="dxa"/>
          </w:tcPr>
          <w:p>
            <w:pPr>
              <w:pStyle w:val="Compact"/>
              <w:jc w:val="left"/>
              <w:spacing w:before="20" w:after="20" w:line="220" w:lineRule="auto"/>
            </w:pPr>
            <w:r>
              <w:rPr>
                <w:sz w:val="13"/>
                <w:szCs w:val="13"/>
              </w:rPr>
              <w:t xml:space="preserve">yes</w:t>
            </w:r>
          </w:p>
        </w:tc>
      </w:tr>
      <w:tr>
        <w:tc>
          <w:tcPr>
            <w:tcW w:w="4086" w:type="dxa"/>
          </w:tcPr>
          <w:p>
            <w:pPr>
              <w:pStyle w:val="Compact"/>
              <w:jc w:val="left"/>
              <w:spacing w:before="20" w:after="20" w:line="220" w:lineRule="auto"/>
            </w:pPr>
            <w:r>
              <w:rPr>
                <w:sz w:val="13"/>
                <w:szCs w:val="13"/>
              </w:rPr>
              <w:t xml:space="preserve">Intesa Sanpaolo Insurance Division</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1278" w:type="dxa"/>
          </w:tcPr>
          <w:p>
            <w:pPr>
              <w:pStyle w:val="Compact"/>
              <w:jc w:val="left"/>
              <w:spacing w:before="20" w:after="20" w:line="220" w:lineRule="auto"/>
            </w:pPr>
            <w:r>
              <w:rPr>
                <w:sz w:val="13"/>
                <w:szCs w:val="13"/>
              </w:rPr>
              <w:t xml:space="preserve">bank captive</w:t>
            </w:r>
          </w:p>
        </w:tc>
        <w:tc>
          <w:tcPr>
            <w:tcW w:w="2214" w:type="dxa"/>
          </w:tcPr>
          <w:p>
            <w:pPr>
              <w:pStyle w:val="Compact"/>
              <w:jc w:val="left"/>
              <w:spacing w:before="20" w:after="20" w:line="220" w:lineRule="auto"/>
            </w:pPr>
            <w:r>
              <w:rPr>
                <w:sz w:val="13"/>
                <w:szCs w:val="13"/>
              </w:rPr>
              <w:t xml:space="preserve">Parent bank segment</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21.4%</w:t>
            </w:r>
          </w:p>
        </w:tc>
        <w:tc>
          <w:tcPr>
            <w:tcW w:w="990" w:type="dxa"/>
          </w:tcPr>
          <w:p>
            <w:pPr>
              <w:pStyle w:val="Compact"/>
              <w:jc w:val="left"/>
              <w:spacing w:before="20" w:after="20" w:line="220" w:lineRule="auto"/>
            </w:pPr>
            <w:r>
              <w:rPr>
                <w:sz w:val="13"/>
                <w:szCs w:val="13"/>
              </w:rPr>
              <w:t xml:space="preserve">21.4%</w:t>
            </w:r>
          </w:p>
        </w:tc>
        <w:tc>
          <w:tcPr>
            <w:tcW w:w="990" w:type="dxa"/>
          </w:tcPr>
          <w:p>
            <w:pPr>
              <w:pStyle w:val="Compact"/>
              <w:jc w:val="left"/>
              <w:spacing w:before="20" w:after="20" w:line="220" w:lineRule="auto"/>
            </w:pPr>
            <w:r>
              <w:rPr>
                <w:sz w:val="13"/>
                <w:szCs w:val="13"/>
              </w:rPr>
              <w:t xml:space="preserve">yes</w:t>
            </w:r>
          </w:p>
        </w:tc>
      </w:tr>
      <w:tr>
        <w:tc>
          <w:tcPr>
            <w:tcW w:w="4086" w:type="dxa"/>
          </w:tcPr>
          <w:p>
            <w:pPr>
              <w:pStyle w:val="Compact"/>
              <w:jc w:val="left"/>
              <w:spacing w:before="20" w:after="20" w:line="220" w:lineRule="auto"/>
            </w:pPr>
            <w:r>
              <w:rPr>
                <w:sz w:val="13"/>
                <w:szCs w:val="13"/>
              </w:rPr>
              <w:t xml:space="preserve">Lloyds Insurance, Pensions and Investments division</w:t>
            </w:r>
          </w:p>
        </w:tc>
        <w:tc>
          <w:tcPr>
            <w:tcW w:w="774" w:type="dxa"/>
          </w:tcPr>
          <w:p>
            <w:pPr>
              <w:pStyle w:val="Compact"/>
              <w:jc w:val="left"/>
              <w:spacing w:before="20" w:after="20" w:line="220" w:lineRule="auto"/>
            </w:pPr>
            <w:r>
              <w:rPr>
                <w:sz w:val="13"/>
                <w:szCs w:val="13"/>
              </w:rPr>
              <w:t xml:space="preserve">EU</w:t>
            </w:r>
          </w:p>
        </w:tc>
        <w:tc>
          <w:tcPr>
            <w:tcW w:w="918" w:type="dxa"/>
          </w:tcPr>
          <w:p>
            <w:pPr>
              <w:pStyle w:val="Compact"/>
              <w:jc w:val="left"/>
              <w:spacing w:before="20" w:after="20" w:line="220" w:lineRule="auto"/>
            </w:pPr>
            <w:r>
              <w:rPr>
                <w:sz w:val="13"/>
                <w:szCs w:val="13"/>
              </w:rPr>
              <w:t xml:space="preserve">composite</w:t>
            </w:r>
          </w:p>
        </w:tc>
        <w:tc>
          <w:tcPr>
            <w:tcW w:w="1278" w:type="dxa"/>
          </w:tcPr>
          <w:p>
            <w:pPr>
              <w:pStyle w:val="Compact"/>
              <w:jc w:val="left"/>
              <w:spacing w:before="20" w:after="20" w:line="220" w:lineRule="auto"/>
            </w:pPr>
            <w:r>
              <w:rPr>
                <w:sz w:val="13"/>
                <w:szCs w:val="13"/>
              </w:rPr>
              <w:t xml:space="preserve">bank captive</w:t>
            </w:r>
          </w:p>
        </w:tc>
        <w:tc>
          <w:tcPr>
            <w:tcW w:w="2214" w:type="dxa"/>
          </w:tcPr>
          <w:p>
            <w:pPr>
              <w:pStyle w:val="Compact"/>
              <w:jc w:val="left"/>
              <w:spacing w:before="20" w:after="20" w:line="220" w:lineRule="auto"/>
            </w:pPr>
            <w:r>
              <w:rPr>
                <w:sz w:val="13"/>
                <w:szCs w:val="13"/>
              </w:rPr>
              <w:t xml:space="preserve">Derived from parent segment</w:t>
            </w:r>
          </w:p>
        </w:tc>
        <w:tc>
          <w:tcPr>
            <w:tcW w:w="1134" w:type="dxa"/>
          </w:tcPr>
          <w:p>
            <w:pPr>
              <w:pStyle w:val="Compact"/>
              <w:jc w:val="left"/>
              <w:spacing w:before="20" w:after="20" w:line="220" w:lineRule="auto"/>
            </w:pPr>
            <w:r>
              <w:rPr>
                <w:sz w:val="13"/>
                <w:szCs w:val="13"/>
              </w:rPr>
              <w:t xml:space="preserve">FY2025 (Dec)</w:t>
            </w:r>
          </w:p>
        </w:tc>
        <w:tc>
          <w:tcPr>
            <w:tcW w:w="630" w:type="dxa"/>
          </w:tcPr>
          <w:p>
            <w:pPr>
              <w:pStyle w:val="Compact"/>
              <w:jc w:val="left"/>
              <w:spacing w:before="20" w:after="20" w:line="220" w:lineRule="auto"/>
            </w:pPr>
            <w:r>
              <w:rPr>
                <w:sz w:val="13"/>
                <w:szCs w:val="13"/>
              </w:rPr>
              <w:t xml:space="preserve">72.9%</w:t>
            </w:r>
          </w:p>
        </w:tc>
        <w:tc>
          <w:tcPr>
            <w:tcW w:w="990" w:type="dxa"/>
          </w:tcPr>
          <w:p>
            <w:pPr>
              <w:pStyle w:val="Compact"/>
              <w:jc w:val="left"/>
              <w:spacing w:before="20" w:after="20" w:line="220" w:lineRule="auto"/>
            </w:pPr>
            <w:r>
              <w:rPr>
                <w:sz w:val="13"/>
                <w:szCs w:val="13"/>
              </w:rPr>
              <w:t xml:space="preserve">72.9%</w:t>
            </w:r>
          </w:p>
        </w:tc>
        <w:tc>
          <w:tcPr>
            <w:tcW w:w="990"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M9; raw values link to data_ids in the Raw data tab.</w:t>
      </w:r>
    </w:p>
    <w:bookmarkEnd w:id="73"/>
    <w:bookmarkStart w:id="74" w:name="Xef1c5baf7d74ac22197f5526a3883e366170364"/>
    <w:p>
      <w:pPr>
        <w:pStyle w:val="Heading4"/>
      </w:pPr>
      <w:r>
        <w:t xml:space="preserve">M10: Investment administration cost / assets under management (bps)</w:t>
      </w:r>
    </w:p>
    <w:tbl>
      <w:tblPr>
        <w:tblStyle w:val="Table"/>
        <w:tblLook w:firstRow="1" w:lastRow="0" w:firstColumn="0" w:lastColumn="0" w:noHBand="0" w:noVBand="0" w:val="0020"/>
        <w:jc w:val="start"/>
        <w:tblW w:w="11646" w:type="dxa"/>
        <w:tblLayout w:type="fixed"/>
      </w:tblPr>
      <w:tblGrid>
        <w:gridCol w:w="3942"/>
        <w:gridCol w:w="774"/>
        <w:gridCol w:w="558"/>
        <w:gridCol w:w="1134"/>
        <w:gridCol w:w="1278"/>
        <w:gridCol w:w="1134"/>
        <w:gridCol w:w="846"/>
        <w:gridCol w:w="990"/>
        <w:gridCol w:w="990"/>
      </w:tblGrid>
      <w:tr>
        <w:trPr>
          <w:tblHeader w:val="true"/>
        </w:trPr>
        <w:tc>
          <w:tcPr>
            <w:tcW w:w="3942"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558" w:type="dxa"/>
          </w:tcPr>
          <w:p>
            <w:pPr>
              <w:pStyle w:val="Compact"/>
              <w:jc w:val="left"/>
              <w:spacing w:before="20" w:after="20" w:line="220" w:lineRule="auto"/>
            </w:pPr>
            <w:r>
              <w:rPr>
                <w:sz w:val="13"/>
                <w:szCs w:val="13"/>
              </w:rPr>
              <w:t xml:space="preserve">Mix</w:t>
            </w:r>
          </w:p>
        </w:tc>
        <w:tc>
          <w:tcPr>
            <w:tcW w:w="1134" w:type="dxa"/>
          </w:tcPr>
          <w:p>
            <w:pPr>
              <w:pStyle w:val="Compact"/>
              <w:jc w:val="left"/>
              <w:spacing w:before="20" w:after="20" w:line="220" w:lineRule="auto"/>
            </w:pPr>
            <w:r>
              <w:rPr>
                <w:sz w:val="13"/>
                <w:szCs w:val="13"/>
              </w:rPr>
              <w:t xml:space="preserve">Distribution</w:t>
            </w:r>
          </w:p>
        </w:tc>
        <w:tc>
          <w:tcPr>
            <w:tcW w:w="1278" w:type="dxa"/>
          </w:tcPr>
          <w:p>
            <w:pPr>
              <w:pStyle w:val="Compact"/>
              <w:jc w:val="left"/>
              <w:spacing w:before="20" w:after="20" w:line="220" w:lineRule="auto"/>
            </w:pPr>
            <w:r>
              <w:rPr>
                <w:sz w:val="13"/>
                <w:szCs w:val="13"/>
              </w:rPr>
              <w:t xml:space="preserve">Basis</w:t>
            </w:r>
          </w:p>
        </w:tc>
        <w:tc>
          <w:tcPr>
            <w:tcW w:w="1134" w:type="dxa"/>
          </w:tcPr>
          <w:p>
            <w:pPr>
              <w:pStyle w:val="Compact"/>
              <w:jc w:val="left"/>
              <w:spacing w:before="20" w:after="20" w:line="220" w:lineRule="auto"/>
            </w:pPr>
            <w:r>
              <w:rPr>
                <w:sz w:val="13"/>
                <w:szCs w:val="13"/>
              </w:rPr>
              <w:t xml:space="preserve">Period</w:t>
            </w:r>
          </w:p>
        </w:tc>
        <w:tc>
          <w:tcPr>
            <w:tcW w:w="846"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90" w:type="dxa"/>
          </w:tcPr>
          <w:p>
            <w:pPr>
              <w:pStyle w:val="Compact"/>
              <w:jc w:val="left"/>
              <w:spacing w:before="20" w:after="20" w:line="220" w:lineRule="auto"/>
            </w:pPr>
            <w:r>
              <w:rPr>
                <w:sz w:val="13"/>
                <w:szCs w:val="13"/>
              </w:rPr>
              <w:t xml:space="preserve">In medians</w:t>
            </w:r>
          </w:p>
        </w:tc>
      </w:tr>
      <w:tr>
        <w:tc>
          <w:tcPr>
            <w:tcW w:w="3942" w:type="dxa"/>
          </w:tcPr>
          <w:p>
            <w:pPr>
              <w:pStyle w:val="Compact"/>
              <w:jc w:val="left"/>
              <w:spacing w:before="20" w:after="20" w:line="220" w:lineRule="auto"/>
            </w:pPr>
            <w:r>
              <w:rPr>
                <w:sz w:val="13"/>
                <w:szCs w:val="13"/>
              </w:rPr>
              <w:t xml:space="preserve">Brasilprev (BB Seguridade) admin / pension reserves</w:t>
            </w:r>
          </w:p>
        </w:tc>
        <w:tc>
          <w:tcPr>
            <w:tcW w:w="774" w:type="dxa"/>
          </w:tcPr>
          <w:p>
            <w:pPr>
              <w:pStyle w:val="Compact"/>
              <w:jc w:val="left"/>
              <w:spacing w:before="20" w:after="20" w:line="220" w:lineRule="auto"/>
            </w:pPr>
            <w:r>
              <w:rPr>
                <w:sz w:val="13"/>
                <w:szCs w:val="13"/>
              </w:rPr>
              <w:t xml:space="preserve">EM</w:t>
            </w:r>
          </w:p>
        </w:tc>
        <w:tc>
          <w:tcPr>
            <w:tcW w:w="558" w:type="dxa"/>
          </w:tcPr>
          <w:p>
            <w:pPr>
              <w:pStyle w:val="Compact"/>
              <w:jc w:val="left"/>
              <w:spacing w:before="20" w:after="20" w:line="220" w:lineRule="auto"/>
            </w:pPr>
            <w:r>
              <w:rPr>
                <w:sz w:val="13"/>
                <w:szCs w:val="13"/>
              </w:rPr>
              <w:t xml:space="preserve">life</w:t>
            </w:r>
          </w:p>
        </w:tc>
        <w:tc>
          <w:tcPr>
            <w:tcW w:w="1134" w:type="dxa"/>
          </w:tcPr>
          <w:p>
            <w:pPr>
              <w:pStyle w:val="Compact"/>
              <w:jc w:val="left"/>
              <w:spacing w:before="20" w:after="20" w:line="220" w:lineRule="auto"/>
            </w:pPr>
            <w:r>
              <w:rPr>
                <w:sz w:val="13"/>
                <w:szCs w:val="13"/>
              </w:rPr>
              <w:t xml:space="preserve">bank captive</w:t>
            </w:r>
          </w:p>
        </w:tc>
        <w:tc>
          <w:tcPr>
            <w:tcW w:w="1278" w:type="dxa"/>
          </w:tcPr>
          <w:p>
            <w:pPr>
              <w:pStyle w:val="Compact"/>
              <w:jc w:val="left"/>
              <w:spacing w:before="20" w:after="20" w:line="220" w:lineRule="auto"/>
            </w:pPr>
            <w:r>
              <w:rPr>
                <w:sz w:val="13"/>
                <w:szCs w:val="13"/>
              </w:rPr>
              <w:t xml:space="preserve">Brazilian GAAP</w:t>
            </w:r>
          </w:p>
        </w:tc>
        <w:tc>
          <w:tcPr>
            <w:tcW w:w="1134" w:type="dxa"/>
          </w:tcPr>
          <w:p>
            <w:pPr>
              <w:pStyle w:val="Compact"/>
              <w:jc w:val="left"/>
              <w:spacing w:before="20" w:after="20" w:line="220" w:lineRule="auto"/>
            </w:pPr>
            <w:r>
              <w:rPr>
                <w:sz w:val="13"/>
                <w:szCs w:val="13"/>
              </w:rPr>
              <w:t xml:space="preserve">FY2025 (Dec)</w:t>
            </w:r>
          </w:p>
        </w:tc>
        <w:tc>
          <w:tcPr>
            <w:tcW w:w="846" w:type="dxa"/>
          </w:tcPr>
          <w:p>
            <w:pPr>
              <w:pStyle w:val="Compact"/>
              <w:jc w:val="left"/>
              <w:spacing w:before="20" w:after="20" w:line="220" w:lineRule="auto"/>
            </w:pPr>
            <w:r>
              <w:rPr>
                <w:sz w:val="13"/>
                <w:szCs w:val="13"/>
              </w:rPr>
              <w:t xml:space="preserve">10.1 bps</w:t>
            </w:r>
          </w:p>
        </w:tc>
        <w:tc>
          <w:tcPr>
            <w:tcW w:w="990" w:type="dxa"/>
          </w:tcPr>
          <w:p>
            <w:pPr>
              <w:pStyle w:val="Compact"/>
              <w:jc w:val="left"/>
              <w:spacing w:before="20" w:after="20" w:line="220" w:lineRule="auto"/>
            </w:pPr>
            <w:r>
              <w:rPr>
                <w:sz w:val="13"/>
                <w:szCs w:val="13"/>
              </w:rPr>
              <w:t xml:space="preserve">10.1 bps</w:t>
            </w:r>
          </w:p>
        </w:tc>
        <w:tc>
          <w:tcPr>
            <w:tcW w:w="990"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rows M10; raw values link to data_ids in the Raw data tab.</w:t>
      </w:r>
    </w:p>
    <w:bookmarkEnd w:id="74"/>
    <w:bookmarkStart w:id="75" w:name="X693d973d1fe39e54dcf35a8f4b880afa987a5d9"/>
    <w:p>
      <w:pPr>
        <w:pStyle w:val="Heading4"/>
      </w:pPr>
      <w:r>
        <w:t xml:space="preserve">M11: Intermediary operating expenses / commission and fee revenue</w:t>
      </w:r>
    </w:p>
    <w:tbl>
      <w:tblPr>
        <w:tblStyle w:val="Table"/>
        <w:tblLook w:firstRow="1" w:lastRow="0" w:firstColumn="0" w:lastColumn="0" w:noHBand="0" w:noVBand="0" w:val="0020"/>
        <w:jc w:val="start"/>
        <w:tblW w:w="14568" w:type="dxa"/>
        <w:tblLayout w:type="fixed"/>
      </w:tblPr>
      <w:tblGrid>
        <w:gridCol w:w="5760"/>
        <w:gridCol w:w="774"/>
        <w:gridCol w:w="1134"/>
        <w:gridCol w:w="1134"/>
        <w:gridCol w:w="1995"/>
        <w:gridCol w:w="1104"/>
        <w:gridCol w:w="702"/>
        <w:gridCol w:w="990"/>
        <w:gridCol w:w="975"/>
      </w:tblGrid>
      <w:tr>
        <w:trPr>
          <w:tblHeader w:val="true"/>
        </w:trPr>
        <w:tc>
          <w:tcPr>
            <w:tcW w:w="5760" w:type="dxa"/>
          </w:tcPr>
          <w:p>
            <w:pPr>
              <w:pStyle w:val="Compact"/>
              <w:jc w:val="left"/>
              <w:spacing w:before="20" w:after="20" w:line="220" w:lineRule="auto"/>
            </w:pPr>
            <w:r>
              <w:rPr>
                <w:sz w:val="13"/>
                <w:szCs w:val="13"/>
              </w:rPr>
              <w:t xml:space="preserve">Entity</w:t>
            </w:r>
          </w:p>
        </w:tc>
        <w:tc>
          <w:tcPr>
            <w:tcW w:w="774" w:type="dxa"/>
          </w:tcPr>
          <w:p>
            <w:pPr>
              <w:pStyle w:val="Compact"/>
              <w:jc w:val="left"/>
              <w:spacing w:before="20" w:after="20" w:line="220" w:lineRule="auto"/>
            </w:pPr>
            <w:r>
              <w:rPr>
                <w:sz w:val="13"/>
                <w:szCs w:val="13"/>
              </w:rPr>
              <w:t xml:space="preserve">Cluster</w:t>
            </w:r>
          </w:p>
        </w:tc>
        <w:tc>
          <w:tcPr>
            <w:tcW w:w="1134" w:type="dxa"/>
          </w:tcPr>
          <w:p>
            <w:pPr>
              <w:pStyle w:val="Compact"/>
              <w:jc w:val="left"/>
              <w:spacing w:before="20" w:after="20" w:line="220" w:lineRule="auto"/>
            </w:pPr>
            <w:r>
              <w:rPr>
                <w:sz w:val="13"/>
                <w:szCs w:val="13"/>
              </w:rPr>
              <w:t xml:space="preserve">Mix</w:t>
            </w:r>
          </w:p>
        </w:tc>
        <w:tc>
          <w:tcPr>
            <w:tcW w:w="1134" w:type="dxa"/>
          </w:tcPr>
          <w:p>
            <w:pPr>
              <w:pStyle w:val="Compact"/>
              <w:jc w:val="left"/>
              <w:spacing w:before="20" w:after="20" w:line="220" w:lineRule="auto"/>
            </w:pPr>
            <w:r>
              <w:rPr>
                <w:sz w:val="13"/>
                <w:szCs w:val="13"/>
              </w:rPr>
              <w:t xml:space="preserve">Distribution</w:t>
            </w:r>
          </w:p>
        </w:tc>
        <w:tc>
          <w:tcPr>
            <w:tcW w:w="1995" w:type="dxa"/>
          </w:tcPr>
          <w:p>
            <w:pPr>
              <w:pStyle w:val="Compact"/>
              <w:jc w:val="left"/>
              <w:spacing w:before="20" w:after="20" w:line="220" w:lineRule="auto"/>
            </w:pPr>
            <w:r>
              <w:rPr>
                <w:sz w:val="13"/>
                <w:szCs w:val="13"/>
              </w:rPr>
              <w:t xml:space="preserve">Basis</w:t>
            </w:r>
          </w:p>
        </w:tc>
        <w:tc>
          <w:tcPr>
            <w:tcW w:w="1104" w:type="dxa"/>
          </w:tcPr>
          <w:p>
            <w:pPr>
              <w:pStyle w:val="Compact"/>
              <w:jc w:val="left"/>
              <w:spacing w:before="20" w:after="20" w:line="220" w:lineRule="auto"/>
            </w:pPr>
            <w:r>
              <w:rPr>
                <w:sz w:val="13"/>
                <w:szCs w:val="13"/>
              </w:rPr>
              <w:t xml:space="preserve">Period</w:t>
            </w:r>
          </w:p>
        </w:tc>
        <w:tc>
          <w:tcPr>
            <w:tcW w:w="702" w:type="dxa"/>
          </w:tcPr>
          <w:p>
            <w:pPr>
              <w:pStyle w:val="Compact"/>
              <w:jc w:val="left"/>
              <w:spacing w:before="20" w:after="20" w:line="220" w:lineRule="auto"/>
            </w:pPr>
            <w:r>
              <w:rPr>
                <w:sz w:val="13"/>
                <w:szCs w:val="13"/>
              </w:rPr>
              <w:t xml:space="preserve">Raw</w:t>
            </w:r>
          </w:p>
        </w:tc>
        <w:tc>
          <w:tcPr>
            <w:tcW w:w="990" w:type="dxa"/>
          </w:tcPr>
          <w:p>
            <w:pPr>
              <w:pStyle w:val="Compact"/>
              <w:jc w:val="left"/>
              <w:spacing w:before="20" w:after="20" w:line="220" w:lineRule="auto"/>
            </w:pPr>
            <w:r>
              <w:rPr>
                <w:sz w:val="13"/>
                <w:szCs w:val="13"/>
              </w:rPr>
              <w:t xml:space="preserve">Normalised</w:t>
            </w:r>
          </w:p>
        </w:tc>
        <w:tc>
          <w:tcPr>
            <w:tcW w:w="975" w:type="dxa"/>
          </w:tcPr>
          <w:p>
            <w:pPr>
              <w:pStyle w:val="Compact"/>
              <w:jc w:val="left"/>
              <w:spacing w:before="20" w:after="20" w:line="220" w:lineRule="auto"/>
            </w:pPr>
            <w:r>
              <w:rPr>
                <w:sz w:val="13"/>
                <w:szCs w:val="13"/>
              </w:rPr>
              <w:t xml:space="preserve">In medians</w:t>
            </w:r>
          </w:p>
        </w:tc>
      </w:tr>
      <w:tr>
        <w:tc>
          <w:tcPr>
            <w:tcW w:w="5760" w:type="dxa"/>
          </w:tcPr>
          <w:p>
            <w:pPr>
              <w:pStyle w:val="Compact"/>
              <w:jc w:val="left"/>
              <w:spacing w:before="20" w:after="20" w:line="220" w:lineRule="auto"/>
            </w:pPr>
            <w:r>
              <w:rPr>
                <w:sz w:val="13"/>
                <w:szCs w:val="13"/>
              </w:rPr>
              <w:t xml:space="preserve">AFS Advice and Investments block (Non-Banking Financial Services segment, FY2023)</w:t>
            </w:r>
          </w:p>
        </w:tc>
        <w:tc>
          <w:tcPr>
            <w:tcW w:w="774" w:type="dxa"/>
          </w:tcPr>
          <w:p>
            <w:pPr>
              <w:pStyle w:val="Compact"/>
              <w:jc w:val="left"/>
              <w:spacing w:before="20" w:after="20" w:line="220" w:lineRule="auto"/>
            </w:pPr>
            <w:r>
              <w:rPr>
                <w:sz w:val="13"/>
                <w:szCs w:val="13"/>
              </w:rPr>
              <w:t xml:space="preserve">AFS</w:t>
            </w:r>
          </w:p>
        </w:tc>
        <w:tc>
          <w:tcPr>
            <w:tcW w:w="1134" w:type="dxa"/>
          </w:tcPr>
          <w:p>
            <w:pPr>
              <w:pStyle w:val="Compact"/>
              <w:jc w:val="left"/>
              <w:spacing w:before="20" w:after="20" w:line="220" w:lineRule="auto"/>
            </w:pPr>
            <w:r>
              <w:rPr>
                <w:sz w:val="13"/>
                <w:szCs w:val="13"/>
              </w:rPr>
              <w:t xml:space="preserve">intermediary</w:t>
            </w:r>
          </w:p>
        </w:tc>
        <w:tc>
          <w:tcPr>
            <w:tcW w:w="1134" w:type="dxa"/>
          </w:tcPr>
          <w:p>
            <w:pPr>
              <w:pStyle w:val="Compact"/>
              <w:jc w:val="left"/>
              <w:spacing w:before="20" w:after="20" w:line="220" w:lineRule="auto"/>
            </w:pPr>
            <w:r>
              <w:rPr>
                <w:sz w:val="13"/>
                <w:szCs w:val="13"/>
              </w:rPr>
              <w:t xml:space="preserve">bank captive</w:t>
            </w:r>
          </w:p>
        </w:tc>
        <w:tc>
          <w:tcPr>
            <w:tcW w:w="1995" w:type="dxa"/>
          </w:tcPr>
          <w:p>
            <w:pPr>
              <w:pStyle w:val="Compact"/>
              <w:jc w:val="left"/>
              <w:spacing w:before="20" w:after="20" w:line="220" w:lineRule="auto"/>
            </w:pPr>
            <w:r>
              <w:rPr>
                <w:sz w:val="13"/>
                <w:szCs w:val="13"/>
              </w:rPr>
              <w:t xml:space="preserve">IFRS segment</w:t>
            </w:r>
          </w:p>
        </w:tc>
        <w:tc>
          <w:tcPr>
            <w:tcW w:w="1104" w:type="dxa"/>
          </w:tcPr>
          <w:p>
            <w:pPr>
              <w:pStyle w:val="Compact"/>
              <w:jc w:val="left"/>
              <w:spacing w:before="20" w:after="20" w:line="220" w:lineRule="auto"/>
            </w:pPr>
            <w:r>
              <w:rPr>
                <w:sz w:val="13"/>
                <w:szCs w:val="13"/>
              </w:rPr>
              <w:t xml:space="preserve">FY2023 (Dec)</w:t>
            </w:r>
          </w:p>
        </w:tc>
        <w:tc>
          <w:tcPr>
            <w:tcW w:w="702" w:type="dxa"/>
          </w:tcPr>
          <w:p>
            <w:pPr>
              <w:pStyle w:val="Compact"/>
              <w:jc w:val="left"/>
              <w:spacing w:before="20" w:after="20" w:line="220" w:lineRule="auto"/>
            </w:pPr>
            <w:r>
              <w:rPr>
                <w:sz w:val="13"/>
                <w:szCs w:val="13"/>
              </w:rPr>
              <w:t xml:space="preserve">156.2%</w:t>
            </w:r>
          </w:p>
        </w:tc>
        <w:tc>
          <w:tcPr>
            <w:tcW w:w="990" w:type="dxa"/>
          </w:tcPr>
          <w:p>
            <w:pPr>
              <w:pStyle w:val="Compact"/>
              <w:jc w:val="left"/>
              <w:spacing w:before="20" w:after="20" w:line="220" w:lineRule="auto"/>
            </w:pPr>
            <w:r>
              <w:rPr>
                <w:sz w:val="13"/>
                <w:szCs w:val="13"/>
              </w:rPr>
              <w:t xml:space="preserve">156.2%</w:t>
            </w:r>
          </w:p>
        </w:tc>
        <w:tc>
          <w:tcPr>
            <w:tcW w:w="975" w:type="dxa"/>
          </w:tcPr>
          <w:p>
            <w:pPr>
              <w:pStyle w:val="Compact"/>
              <w:jc w:val="left"/>
              <w:spacing w:before="20" w:after="20" w:line="220" w:lineRule="auto"/>
            </w:pPr>
            <w:r>
              <w:rPr>
                <w:sz w:val="13"/>
                <w:szCs w:val="13"/>
              </w:rPr>
              <w:t xml:space="preserve">no</w:t>
            </w:r>
          </w:p>
        </w:tc>
      </w:tr>
      <w:tr>
        <w:tc>
          <w:tcPr>
            <w:tcW w:w="5760" w:type="dxa"/>
          </w:tcPr>
          <w:p>
            <w:pPr>
              <w:pStyle w:val="Compact"/>
              <w:jc w:val="left"/>
              <w:spacing w:before="20" w:after="20" w:line="220" w:lineRule="auto"/>
            </w:pPr>
            <w:r>
              <w:rPr>
                <w:sz w:val="13"/>
                <w:szCs w:val="13"/>
              </w:rPr>
              <w:t xml:space="preserve">BB Corretora (captive broker, BB Seguridade)</w:t>
            </w:r>
          </w:p>
        </w:tc>
        <w:tc>
          <w:tcPr>
            <w:tcW w:w="774" w:type="dxa"/>
          </w:tcPr>
          <w:p>
            <w:pPr>
              <w:pStyle w:val="Compact"/>
              <w:jc w:val="left"/>
              <w:spacing w:before="20" w:after="20" w:line="220" w:lineRule="auto"/>
            </w:pPr>
            <w:r>
              <w:rPr>
                <w:sz w:val="13"/>
                <w:szCs w:val="13"/>
              </w:rPr>
              <w:t xml:space="preserve">EM</w:t>
            </w:r>
          </w:p>
        </w:tc>
        <w:tc>
          <w:tcPr>
            <w:tcW w:w="1134" w:type="dxa"/>
          </w:tcPr>
          <w:p>
            <w:pPr>
              <w:pStyle w:val="Compact"/>
              <w:jc w:val="left"/>
              <w:spacing w:before="20" w:after="20" w:line="220" w:lineRule="auto"/>
            </w:pPr>
            <w:r>
              <w:rPr>
                <w:sz w:val="13"/>
                <w:szCs w:val="13"/>
              </w:rPr>
              <w:t xml:space="preserve">intermediary</w:t>
            </w:r>
          </w:p>
        </w:tc>
        <w:tc>
          <w:tcPr>
            <w:tcW w:w="1134" w:type="dxa"/>
          </w:tcPr>
          <w:p>
            <w:pPr>
              <w:pStyle w:val="Compact"/>
              <w:jc w:val="left"/>
              <w:spacing w:before="20" w:after="20" w:line="220" w:lineRule="auto"/>
            </w:pPr>
            <w:r>
              <w:rPr>
                <w:sz w:val="13"/>
                <w:szCs w:val="13"/>
              </w:rPr>
              <w:t xml:space="preserve">bank captive</w:t>
            </w:r>
          </w:p>
        </w:tc>
        <w:tc>
          <w:tcPr>
            <w:tcW w:w="1995" w:type="dxa"/>
          </w:tcPr>
          <w:p>
            <w:pPr>
              <w:pStyle w:val="Compact"/>
              <w:jc w:val="left"/>
              <w:spacing w:before="20" w:after="20" w:line="220" w:lineRule="auto"/>
            </w:pPr>
            <w:r>
              <w:rPr>
                <w:sz w:val="13"/>
                <w:szCs w:val="13"/>
              </w:rPr>
              <w:t xml:space="preserve">Brazilian GAAP managerial</w:t>
            </w:r>
          </w:p>
        </w:tc>
        <w:tc>
          <w:tcPr>
            <w:tcW w:w="1104" w:type="dxa"/>
          </w:tcPr>
          <w:p>
            <w:pPr>
              <w:pStyle w:val="Compact"/>
              <w:jc w:val="left"/>
              <w:spacing w:before="20" w:after="20" w:line="220" w:lineRule="auto"/>
            </w:pPr>
            <w:r>
              <w:rPr>
                <w:sz w:val="13"/>
                <w:szCs w:val="13"/>
              </w:rPr>
              <w:t xml:space="preserve">FY2025 (Dec)</w:t>
            </w:r>
          </w:p>
        </w:tc>
        <w:tc>
          <w:tcPr>
            <w:tcW w:w="702" w:type="dxa"/>
          </w:tcPr>
          <w:p>
            <w:pPr>
              <w:pStyle w:val="Compact"/>
              <w:jc w:val="left"/>
              <w:spacing w:before="20" w:after="20" w:line="220" w:lineRule="auto"/>
            </w:pPr>
            <w:r>
              <w:rPr>
                <w:sz w:val="13"/>
                <w:szCs w:val="13"/>
              </w:rPr>
              <w:t xml:space="preserve">5.6%</w:t>
            </w:r>
          </w:p>
        </w:tc>
        <w:tc>
          <w:tcPr>
            <w:tcW w:w="990" w:type="dxa"/>
          </w:tcPr>
          <w:p>
            <w:pPr>
              <w:pStyle w:val="Compact"/>
              <w:jc w:val="left"/>
              <w:spacing w:before="20" w:after="20" w:line="220" w:lineRule="auto"/>
            </w:pPr>
            <w:r>
              <w:rPr>
                <w:sz w:val="13"/>
                <w:szCs w:val="13"/>
              </w:rPr>
              <w:t xml:space="preserve">5.6%</w:t>
            </w:r>
          </w:p>
        </w:tc>
        <w:tc>
          <w:tcPr>
            <w:tcW w:w="975" w:type="dxa"/>
          </w:tcPr>
          <w:p>
            <w:pPr>
              <w:pStyle w:val="Compact"/>
              <w:jc w:val="left"/>
              <w:spacing w:before="20" w:after="20" w:line="220" w:lineRule="auto"/>
            </w:pPr>
            <w:r>
              <w:rPr>
                <w:sz w:val="13"/>
                <w:szCs w:val="13"/>
              </w:rPr>
              <w:t xml:space="preserve">yes</w:t>
            </w:r>
          </w:p>
        </w:tc>
      </w:tr>
    </w:tbl>
    <w:p>
      <w:pPr>
        <w:pStyle w:val="BodyText"/>
      </w:pPr>
      <w:r>
        <w:t xml:space="preserve">Source: afs_cost_benchmark.xlsx, Benchmark tab. Raw and normalised shown side by side; include flag marks the rows in the medians.</w:t>
      </w:r>
    </w:p>
    <w:bookmarkEnd w:id="75"/>
    <w:bookmarkEnd w:id="76"/>
    <w:bookmarkStart w:id="77" w:name="appendix-c.-precedents"/>
    <w:p>
      <w:pPr>
        <w:pStyle w:val="Heading2"/>
      </w:pPr>
      <w:r>
        <w:t xml:space="preserve">Appendix C. Precedents</w:t>
      </w:r>
    </w:p>
    <w:tbl>
      <w:tblPr>
        <w:tblStyle w:val="Table"/>
        <w:tblLook w:firstRow="1" w:lastRow="0" w:firstColumn="0" w:lastColumn="0" w:noHBand="0" w:noVBand="0" w:val="0020"/>
        <w:jc w:val="start"/>
        <w:tblW w:w="14564" w:type="dxa"/>
        <w:tblLayout w:type="fixed"/>
      </w:tblPr>
      <w:tblGrid>
        <w:gridCol w:w="2483"/>
        <w:gridCol w:w="993"/>
        <w:gridCol w:w="1235"/>
        <w:gridCol w:w="1027"/>
        <w:gridCol w:w="1144"/>
        <w:gridCol w:w="1038"/>
        <w:gridCol w:w="1507"/>
        <w:gridCol w:w="1144"/>
        <w:gridCol w:w="1567"/>
        <w:gridCol w:w="2426"/>
      </w:tblGrid>
      <w:tr>
        <w:trPr>
          <w:tblHeader w:val="true"/>
        </w:trPr>
        <w:tc>
          <w:tcPr>
            <w:tcW w:w="2483" w:type="dxa"/>
          </w:tcPr>
          <w:p>
            <w:pPr>
              <w:pStyle w:val="Compact"/>
              <w:jc w:val="left"/>
              <w:spacing w:before="20" w:after="20" w:line="220" w:lineRule="auto"/>
            </w:pPr>
            <w:r>
              <w:rPr>
                <w:sz w:val="13"/>
                <w:szCs w:val="13"/>
              </w:rPr>
              <w:t xml:space="preserve">Programme</w:t>
            </w:r>
          </w:p>
        </w:tc>
        <w:tc>
          <w:tcPr>
            <w:tcW w:w="993" w:type="dxa"/>
          </w:tcPr>
          <w:p>
            <w:pPr>
              <w:pStyle w:val="Compact"/>
              <w:jc w:val="left"/>
              <w:spacing w:before="20" w:after="20" w:line="220" w:lineRule="auto"/>
            </w:pPr>
            <w:r>
              <w:rPr>
                <w:sz w:val="13"/>
                <w:szCs w:val="13"/>
              </w:rPr>
              <w:t xml:space="preserve">Announced</w:t>
            </w:r>
          </w:p>
        </w:tc>
        <w:tc>
          <w:tcPr>
            <w:tcW w:w="1235" w:type="dxa"/>
          </w:tcPr>
          <w:p>
            <w:pPr>
              <w:pStyle w:val="Compact"/>
              <w:jc w:val="left"/>
              <w:spacing w:before="20" w:after="20" w:line="220" w:lineRule="auto"/>
            </w:pPr>
            <w:r>
              <w:rPr>
                <w:sz w:val="13"/>
                <w:szCs w:val="13"/>
              </w:rPr>
              <w:t xml:space="preserve">Cost base at start</w:t>
            </w:r>
          </w:p>
        </w:tc>
        <w:tc>
          <w:tcPr>
            <w:tcW w:w="1027" w:type="dxa"/>
          </w:tcPr>
          <w:p>
            <w:pPr>
              <w:pStyle w:val="Compact"/>
              <w:jc w:val="left"/>
              <w:spacing w:before="20" w:after="20" w:line="220" w:lineRule="auto"/>
            </w:pPr>
            <w:r>
              <w:rPr>
                <w:sz w:val="13"/>
                <w:szCs w:val="13"/>
              </w:rPr>
              <w:t xml:space="preserve">Savings target</w:t>
            </w:r>
          </w:p>
        </w:tc>
        <w:tc>
          <w:tcPr>
            <w:tcW w:w="1144" w:type="dxa"/>
          </w:tcPr>
          <w:p>
            <w:pPr>
              <w:pStyle w:val="Compact"/>
              <w:jc w:val="left"/>
              <w:spacing w:before="20" w:after="20" w:line="220" w:lineRule="auto"/>
            </w:pPr>
            <w:r>
              <w:rPr>
                <w:sz w:val="13"/>
                <w:szCs w:val="13"/>
              </w:rPr>
              <w:t xml:space="preserve">Target as % of base</w:t>
            </w:r>
          </w:p>
        </w:tc>
        <w:tc>
          <w:tcPr>
            <w:tcW w:w="1038" w:type="dxa"/>
          </w:tcPr>
          <w:p>
            <w:pPr>
              <w:pStyle w:val="Compact"/>
              <w:jc w:val="left"/>
              <w:spacing w:before="20" w:after="20" w:line="220" w:lineRule="auto"/>
            </w:pPr>
            <w:r>
              <w:rPr>
                <w:sz w:val="13"/>
                <w:szCs w:val="13"/>
              </w:rPr>
              <w:t xml:space="preserve">Timeframe (years)</w:t>
            </w:r>
          </w:p>
        </w:tc>
        <w:tc>
          <w:tcPr>
            <w:tcW w:w="1507" w:type="dxa"/>
          </w:tcPr>
          <w:p>
            <w:pPr>
              <w:pStyle w:val="Compact"/>
              <w:jc w:val="left"/>
              <w:spacing w:before="20" w:after="20" w:line="220" w:lineRule="auto"/>
            </w:pPr>
            <w:r>
              <w:rPr>
                <w:sz w:val="13"/>
                <w:szCs w:val="13"/>
              </w:rPr>
              <w:t xml:space="preserve">Cost to achieve</w:t>
            </w:r>
          </w:p>
        </w:tc>
        <w:tc>
          <w:tcPr>
            <w:tcW w:w="1144" w:type="dxa"/>
          </w:tcPr>
          <w:p>
            <w:pPr>
              <w:pStyle w:val="Compact"/>
              <w:jc w:val="left"/>
              <w:spacing w:before="20" w:after="20" w:line="220" w:lineRule="auto"/>
            </w:pPr>
            <w:r>
              <w:rPr>
                <w:sz w:val="13"/>
                <w:szCs w:val="13"/>
              </w:rPr>
              <w:t xml:space="preserve">Cost to achieve ratio</w:t>
            </w:r>
          </w:p>
        </w:tc>
        <w:tc>
          <w:tcPr>
            <w:tcW w:w="1567" w:type="dxa"/>
          </w:tcPr>
          <w:p>
            <w:pPr>
              <w:pStyle w:val="Compact"/>
              <w:jc w:val="left"/>
              <w:spacing w:before="20" w:after="20" w:line="220" w:lineRule="auto"/>
            </w:pPr>
            <w:r>
              <w:rPr>
                <w:sz w:val="13"/>
                <w:szCs w:val="13"/>
              </w:rPr>
              <w:t xml:space="preserve">Delivered</w:t>
            </w:r>
          </w:p>
        </w:tc>
        <w:tc>
          <w:tcPr>
            <w:tcW w:w="2426" w:type="dxa"/>
          </w:tcPr>
          <w:p>
            <w:pPr>
              <w:pStyle w:val="Compact"/>
              <w:jc w:val="left"/>
              <w:spacing w:before="20" w:after="20" w:line="220" w:lineRule="auto"/>
            </w:pPr>
            <w:r>
              <w:rPr>
                <w:sz w:val="13"/>
                <w:szCs w:val="13"/>
              </w:rPr>
              <w:t xml:space="preserve">Levers disclosed</w:t>
            </w:r>
          </w:p>
        </w:tc>
      </w:tr>
      <w:tr>
        <w:tc>
          <w:tcPr>
            <w:tcW w:w="2483" w:type="dxa"/>
          </w:tcPr>
          <w:p>
            <w:pPr>
              <w:pStyle w:val="Compact"/>
              <w:jc w:val="left"/>
              <w:spacing w:before="20" w:after="20" w:line="220" w:lineRule="auto"/>
            </w:pPr>
            <w:r>
              <w:rPr>
                <w:sz w:val="13"/>
                <w:szCs w:val="13"/>
              </w:rPr>
              <w:t xml:space="preserve">Old Mutual Limited: R1 billion cost efficiency programme (2017-2019)</w:t>
            </w:r>
          </w:p>
        </w:tc>
        <w:tc>
          <w:tcPr>
            <w:tcW w:w="993" w:type="dxa"/>
          </w:tcPr>
          <w:p>
            <w:pPr>
              <w:pStyle w:val="Compact"/>
              <w:jc w:val="left"/>
              <w:spacing w:before="20" w:after="20" w:line="220" w:lineRule="auto"/>
            </w:pPr>
            <w:r>
              <w:rPr>
                <w:sz w:val="13"/>
                <w:szCs w:val="13"/>
              </w:rPr>
              <w:t xml:space="preserve">2017 [PR-001]</w:t>
            </w:r>
          </w:p>
        </w:tc>
        <w:tc>
          <w:tcPr>
            <w:tcW w:w="1235" w:type="dxa"/>
          </w:tcPr>
          <w:p>
            <w:pPr>
              <w:pStyle w:val="Compact"/>
              <w:jc w:val="left"/>
              <w:spacing w:before="20" w:after="20" w:line="220" w:lineRule="auto"/>
            </w:pPr>
            <w:r>
              <w:rPr>
                <w:sz w:val="13"/>
                <w:szCs w:val="13"/>
              </w:rPr>
              <w:t xml:space="preserve">ZAR 16,960m [PR-002]</w:t>
            </w:r>
          </w:p>
        </w:tc>
        <w:tc>
          <w:tcPr>
            <w:tcW w:w="1027" w:type="dxa"/>
          </w:tcPr>
          <w:p>
            <w:pPr>
              <w:pStyle w:val="Compact"/>
              <w:jc w:val="left"/>
              <w:spacing w:before="20" w:after="20" w:line="220" w:lineRule="auto"/>
            </w:pPr>
            <w:r>
              <w:rPr>
                <w:sz w:val="13"/>
                <w:szCs w:val="13"/>
              </w:rPr>
              <w:t xml:space="preserve">ZAR 1,000m [PR-004]</w:t>
            </w:r>
          </w:p>
        </w:tc>
        <w:tc>
          <w:tcPr>
            <w:tcW w:w="1144" w:type="dxa"/>
          </w:tcPr>
          <w:p>
            <w:pPr>
              <w:pStyle w:val="Compact"/>
              <w:jc w:val="left"/>
              <w:spacing w:before="20" w:after="20" w:line="220" w:lineRule="auto"/>
            </w:pPr>
            <w:r>
              <w:rPr>
                <w:sz w:val="13"/>
                <w:szCs w:val="13"/>
              </w:rPr>
              <w:t xml:space="preserve">5.9% (derived) [PR-005]</w:t>
            </w:r>
          </w:p>
        </w:tc>
        <w:tc>
          <w:tcPr>
            <w:tcW w:w="1038" w:type="dxa"/>
          </w:tcPr>
          <w:p>
            <w:pPr>
              <w:pStyle w:val="Compact"/>
              <w:jc w:val="left"/>
              <w:spacing w:before="20" w:after="20" w:line="220" w:lineRule="auto"/>
            </w:pPr>
            <w:r>
              <w:rPr>
                <w:sz w:val="13"/>
                <w:szCs w:val="13"/>
              </w:rPr>
              <w:t xml:space="preserve">2 [PR-006]</w:t>
            </w:r>
          </w:p>
        </w:tc>
        <w:tc>
          <w:tcPr>
            <w:tcW w:w="1507" w:type="dxa"/>
          </w:tcPr>
          <w:p>
            <w:pPr>
              <w:pStyle w:val="Compact"/>
              <w:jc w:val="left"/>
              <w:spacing w:before="20" w:after="20" w:line="220" w:lineRule="auto"/>
            </w:pPr>
            <w:r>
              <w:rPr>
                <w:sz w:val="13"/>
                <w:szCs w:val="13"/>
              </w:rPr>
              <w:t xml:space="preserve">ZAR 70m [PR-008]</w:t>
            </w:r>
          </w:p>
        </w:tc>
        <w:tc>
          <w:tcPr>
            <w:tcW w:w="1144" w:type="dxa"/>
          </w:tcPr>
          <w:p>
            <w:pPr>
              <w:pStyle w:val="Compact"/>
              <w:jc w:val="left"/>
              <w:spacing w:before="20" w:after="20" w:line="220" w:lineRule="auto"/>
            </w:pPr>
            <w:r>
              <w:rPr>
                <w:sz w:val="13"/>
                <w:szCs w:val="13"/>
              </w:rPr>
              <w:t xml:space="preserve">0.26x (derived) [PR-009]</w:t>
            </w:r>
          </w:p>
        </w:tc>
        <w:tc>
          <w:tcPr>
            <w:tcW w:w="1567" w:type="dxa"/>
          </w:tcPr>
          <w:p>
            <w:pPr>
              <w:pStyle w:val="Compact"/>
              <w:jc w:val="left"/>
              <w:spacing w:before="20" w:after="20" w:line="220" w:lineRule="auto"/>
            </w:pPr>
            <w:r>
              <w:rPr>
                <w:sz w:val="13"/>
                <w:szCs w:val="13"/>
              </w:rPr>
              <w:t xml:space="preserve">ZAR 750m [PR-010] (2018); ZAR 1,236m [PR-012] (2019)</w:t>
            </w:r>
          </w:p>
        </w:tc>
        <w:tc>
          <w:tcPr>
            <w:tcW w:w="2426" w:type="dxa"/>
          </w:tcPr>
          <w:p>
            <w:pPr>
              <w:pStyle w:val="Compact"/>
              <w:jc w:val="left"/>
              <w:spacing w:before="20" w:after="20" w:line="220" w:lineRule="auto"/>
            </w:pPr>
            <w:r>
              <w:rPr>
                <w:sz w:val="13"/>
                <w:szCs w:val="13"/>
              </w:rPr>
              <w:t xml:space="preserve">people and operating model 48.0% [PR-014]; IT and IT processes 18.0% [PR-015]; consultants and procurement 7.0% [PR-016]</w:t>
            </w:r>
          </w:p>
        </w:tc>
      </w:tr>
      <w:tr>
        <w:tc>
          <w:tcPr>
            <w:tcW w:w="2483" w:type="dxa"/>
          </w:tcPr>
          <w:p>
            <w:pPr>
              <w:pStyle w:val="Compact"/>
              <w:jc w:val="left"/>
              <w:spacing w:before="20" w:after="20" w:line="220" w:lineRule="auto"/>
            </w:pPr>
            <w:r>
              <w:rPr>
                <w:sz w:val="13"/>
                <w:szCs w:val="13"/>
              </w:rPr>
              <w:t xml:space="preserve">Old Mutual plc: managed separation, plc head office wind-down (2016-2018)</w:t>
            </w:r>
          </w:p>
        </w:tc>
        <w:tc>
          <w:tcPr>
            <w:tcW w:w="993" w:type="dxa"/>
          </w:tcPr>
          <w:p>
            <w:pPr>
              <w:pStyle w:val="Compact"/>
              <w:jc w:val="left"/>
              <w:spacing w:before="20" w:after="20" w:line="220" w:lineRule="auto"/>
            </w:pPr>
            <w:r>
              <w:rPr>
                <w:sz w:val="13"/>
                <w:szCs w:val="13"/>
              </w:rPr>
              <w:t xml:space="preserve">2016 [PR-018]</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GBP 95m [PR-019]</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Old Mutual Limited: R750 million cost efficiency programme (2020-2022)</w:t>
            </w:r>
          </w:p>
        </w:tc>
        <w:tc>
          <w:tcPr>
            <w:tcW w:w="993" w:type="dxa"/>
          </w:tcPr>
          <w:p>
            <w:pPr>
              <w:pStyle w:val="Compact"/>
              <w:jc w:val="left"/>
              <w:spacing w:before="20" w:after="20" w:line="220" w:lineRule="auto"/>
            </w:pPr>
            <w:r>
              <w:rPr>
                <w:sz w:val="13"/>
                <w:szCs w:val="13"/>
              </w:rPr>
              <w:t xml:space="preserve">2020 [PR-022]</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ZAR 750m [PR-023]</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2 [PR-024]</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ZAR 500m [PR-026] (2021); ZAR 942m [PR-027] (2022)</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MMI Holdings: R750 million expense reduction programme (FY2016-FY2019)</w:t>
            </w:r>
          </w:p>
        </w:tc>
        <w:tc>
          <w:tcPr>
            <w:tcW w:w="993" w:type="dxa"/>
          </w:tcPr>
          <w:p>
            <w:pPr>
              <w:pStyle w:val="Compact"/>
              <w:jc w:val="left"/>
              <w:spacing w:before="20" w:after="20" w:line="220" w:lineRule="auto"/>
            </w:pPr>
            <w:r>
              <w:rPr>
                <w:sz w:val="13"/>
                <w:szCs w:val="13"/>
              </w:rPr>
              <w:t xml:space="preserve">2016 [PR-029]</w:t>
            </w:r>
          </w:p>
        </w:tc>
        <w:tc>
          <w:tcPr>
            <w:tcW w:w="1235" w:type="dxa"/>
          </w:tcPr>
          <w:p>
            <w:pPr>
              <w:pStyle w:val="Compact"/>
              <w:jc w:val="left"/>
              <w:spacing w:before="20" w:after="20" w:line="220" w:lineRule="auto"/>
            </w:pPr>
            <w:r>
              <w:rPr>
                <w:sz w:val="13"/>
                <w:szCs w:val="13"/>
              </w:rPr>
              <w:t xml:space="preserve">ZAR 13,444m (derived) [PR-033]</w:t>
            </w:r>
          </w:p>
        </w:tc>
        <w:tc>
          <w:tcPr>
            <w:tcW w:w="1027" w:type="dxa"/>
          </w:tcPr>
          <w:p>
            <w:pPr>
              <w:pStyle w:val="Compact"/>
              <w:jc w:val="left"/>
              <w:spacing w:before="20" w:after="20" w:line="220" w:lineRule="auto"/>
            </w:pPr>
            <w:r>
              <w:rPr>
                <w:sz w:val="13"/>
                <w:szCs w:val="13"/>
              </w:rPr>
              <w:t xml:space="preserve">ZAR 750m [PR-030]</w:t>
            </w:r>
          </w:p>
        </w:tc>
        <w:tc>
          <w:tcPr>
            <w:tcW w:w="1144" w:type="dxa"/>
          </w:tcPr>
          <w:p>
            <w:pPr>
              <w:pStyle w:val="Compact"/>
              <w:jc w:val="left"/>
              <w:spacing w:before="20" w:after="20" w:line="220" w:lineRule="auto"/>
            </w:pPr>
            <w:r>
              <w:rPr>
                <w:sz w:val="13"/>
                <w:szCs w:val="13"/>
              </w:rPr>
              <w:t xml:space="preserve">5.6% (derived) [PR-034]</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ZAR 104m [PR-035] (2016); ZAR 323m [PR-036] (2017)</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Momentum Metropolitan Holdings: Reset and Grow efficiency programme (F2018-F2021)</w:t>
            </w:r>
          </w:p>
        </w:tc>
        <w:tc>
          <w:tcPr>
            <w:tcW w:w="993" w:type="dxa"/>
          </w:tcPr>
          <w:p>
            <w:pPr>
              <w:pStyle w:val="Compact"/>
              <w:jc w:val="left"/>
              <w:spacing w:before="20" w:after="20" w:line="220" w:lineRule="auto"/>
            </w:pPr>
            <w:r>
              <w:rPr>
                <w:sz w:val="13"/>
                <w:szCs w:val="13"/>
              </w:rPr>
              <w:t xml:space="preserve">2018 [PR-038]</w:t>
            </w:r>
          </w:p>
        </w:tc>
        <w:tc>
          <w:tcPr>
            <w:tcW w:w="1235" w:type="dxa"/>
          </w:tcPr>
          <w:p>
            <w:pPr>
              <w:pStyle w:val="Compact"/>
              <w:jc w:val="left"/>
              <w:spacing w:before="20" w:after="20" w:line="220" w:lineRule="auto"/>
            </w:pPr>
            <w:r>
              <w:rPr>
                <w:sz w:val="13"/>
                <w:szCs w:val="13"/>
              </w:rPr>
              <w:t xml:space="preserve">ZAR 9,200m [PR-039]</w:t>
            </w:r>
          </w:p>
        </w:tc>
        <w:tc>
          <w:tcPr>
            <w:tcW w:w="1027" w:type="dxa"/>
          </w:tcPr>
          <w:p>
            <w:pPr>
              <w:pStyle w:val="Compact"/>
              <w:jc w:val="left"/>
              <w:spacing w:before="20" w:after="20" w:line="220" w:lineRule="auto"/>
            </w:pPr>
            <w:r>
              <w:rPr>
                <w:sz w:val="13"/>
                <w:szCs w:val="13"/>
              </w:rPr>
              <w:t xml:space="preserve">ZAR 700m [PR-040]</w:t>
            </w:r>
          </w:p>
        </w:tc>
        <w:tc>
          <w:tcPr>
            <w:tcW w:w="1144" w:type="dxa"/>
          </w:tcPr>
          <w:p>
            <w:pPr>
              <w:pStyle w:val="Compact"/>
              <w:jc w:val="left"/>
              <w:spacing w:before="20" w:after="20" w:line="220" w:lineRule="auto"/>
            </w:pPr>
            <w:r>
              <w:rPr>
                <w:sz w:val="13"/>
                <w:szCs w:val="13"/>
              </w:rPr>
              <w:t xml:space="preserve">7.6% (derived) [PR-041]</w:t>
            </w:r>
          </w:p>
        </w:tc>
        <w:tc>
          <w:tcPr>
            <w:tcW w:w="1038" w:type="dxa"/>
          </w:tcPr>
          <w:p>
            <w:pPr>
              <w:pStyle w:val="Compact"/>
              <w:jc w:val="left"/>
              <w:spacing w:before="20" w:after="20" w:line="220" w:lineRule="auto"/>
            </w:pPr>
            <w:r>
              <w:rPr>
                <w:sz w:val="13"/>
                <w:szCs w:val="13"/>
              </w:rPr>
              <w:t xml:space="preserve">3 [PR-042]</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ZAR 700m [PR-044] (2019); ZAR 900m [PR-045] (2021)</w:t>
            </w:r>
          </w:p>
        </w:tc>
        <w:tc>
          <w:tcPr>
            <w:tcW w:w="2426" w:type="dxa"/>
          </w:tcPr>
          <w:p>
            <w:pPr>
              <w:pStyle w:val="Compact"/>
              <w:jc w:val="left"/>
              <w:spacing w:before="20" w:after="20" w:line="220" w:lineRule="auto"/>
            </w:pPr>
            <w:r>
              <w:rPr>
                <w:sz w:val="13"/>
                <w:szCs w:val="13"/>
              </w:rPr>
              <w:t xml:space="preserve">head office functions cost change -2.0% [PR-047]</w:t>
            </w:r>
          </w:p>
        </w:tc>
      </w:tr>
      <w:tr>
        <w:tc>
          <w:tcPr>
            <w:tcW w:w="2483" w:type="dxa"/>
          </w:tcPr>
          <w:p>
            <w:pPr>
              <w:pStyle w:val="Compact"/>
              <w:jc w:val="left"/>
              <w:spacing w:before="20" w:after="20" w:line="220" w:lineRule="auto"/>
            </w:pPr>
            <w:r>
              <w:rPr>
                <w:sz w:val="13"/>
                <w:szCs w:val="13"/>
              </w:rPr>
              <w:t xml:space="preserve">Momentum Metropolitan Holdings: Reinvent and Grow cost efficiencies (F2022-F2024)</w:t>
            </w:r>
          </w:p>
        </w:tc>
        <w:tc>
          <w:tcPr>
            <w:tcW w:w="993" w:type="dxa"/>
          </w:tcPr>
          <w:p>
            <w:pPr>
              <w:pStyle w:val="Compact"/>
              <w:jc w:val="left"/>
              <w:spacing w:before="20" w:after="20" w:line="220" w:lineRule="auto"/>
            </w:pPr>
            <w:r>
              <w:rPr>
                <w:sz w:val="13"/>
                <w:szCs w:val="13"/>
              </w:rPr>
              <w:t xml:space="preserve">2021 [PR-048]</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ZAR 500m [PR-049]</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Aviva plc: Friends Life acquisition integration (2015-2017)</w:t>
            </w:r>
          </w:p>
        </w:tc>
        <w:tc>
          <w:tcPr>
            <w:tcW w:w="993" w:type="dxa"/>
          </w:tcPr>
          <w:p>
            <w:pPr>
              <w:pStyle w:val="Compact"/>
              <w:jc w:val="left"/>
              <w:spacing w:before="20" w:after="20" w:line="220" w:lineRule="auto"/>
            </w:pPr>
            <w:r>
              <w:rPr>
                <w:sz w:val="13"/>
                <w:szCs w:val="13"/>
              </w:rPr>
              <w:t xml:space="preserve">2014 [PR-051]</w:t>
            </w:r>
          </w:p>
        </w:tc>
        <w:tc>
          <w:tcPr>
            <w:tcW w:w="1235" w:type="dxa"/>
          </w:tcPr>
          <w:p>
            <w:pPr>
              <w:pStyle w:val="Compact"/>
              <w:jc w:val="left"/>
              <w:spacing w:before="20" w:after="20" w:line="220" w:lineRule="auto"/>
            </w:pPr>
            <w:r>
              <w:rPr>
                <w:sz w:val="13"/>
                <w:szCs w:val="13"/>
              </w:rPr>
              <w:t xml:space="preserve">GBP 815m [PR-053]</w:t>
            </w:r>
          </w:p>
        </w:tc>
        <w:tc>
          <w:tcPr>
            <w:tcW w:w="1027" w:type="dxa"/>
          </w:tcPr>
          <w:p>
            <w:pPr>
              <w:pStyle w:val="Compact"/>
              <w:jc w:val="left"/>
              <w:spacing w:before="20" w:after="20" w:line="220" w:lineRule="auto"/>
            </w:pPr>
            <w:r>
              <w:rPr>
                <w:sz w:val="13"/>
                <w:szCs w:val="13"/>
              </w:rPr>
              <w:t xml:space="preserve">GBP 225m [PR-052]</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1.56x (derived) [PR-055]</w:t>
            </w:r>
          </w:p>
        </w:tc>
        <w:tc>
          <w:tcPr>
            <w:tcW w:w="1567" w:type="dxa"/>
          </w:tcPr>
          <w:p>
            <w:pPr>
              <w:pStyle w:val="Compact"/>
              <w:jc w:val="left"/>
              <w:spacing w:before="20" w:after="20" w:line="220" w:lineRule="auto"/>
            </w:pPr>
            <w:r>
              <w:rPr>
                <w:sz w:val="13"/>
                <w:szCs w:val="13"/>
              </w:rPr>
              <w:t xml:space="preserve">GBP 63m [PR-057] (2015); GBP 168m [PR-058] (2015)</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Aviva plc: cost reduction programme (2018 baseline, 2019 CMD; upgraded 2022)</w:t>
            </w:r>
          </w:p>
        </w:tc>
        <w:tc>
          <w:tcPr>
            <w:tcW w:w="993" w:type="dxa"/>
          </w:tcPr>
          <w:p>
            <w:pPr>
              <w:pStyle w:val="Compact"/>
              <w:jc w:val="left"/>
              <w:spacing w:before="20" w:after="20" w:line="220" w:lineRule="auto"/>
            </w:pPr>
            <w:r>
              <w:rPr>
                <w:sz w:val="13"/>
                <w:szCs w:val="13"/>
              </w:rPr>
              <w:t xml:space="preserve">2019 [PR-061]</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GBP 300m [PR-062]</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GBP 200m [PR-068]</w:t>
            </w:r>
          </w:p>
        </w:tc>
        <w:tc>
          <w:tcPr>
            <w:tcW w:w="1144" w:type="dxa"/>
          </w:tcPr>
          <w:p>
            <w:pPr>
              <w:pStyle w:val="Compact"/>
              <w:jc w:val="left"/>
              <w:spacing w:before="20" w:after="20" w:line="220" w:lineRule="auto"/>
            </w:pPr>
            <w:r>
              <w:rPr>
                <w:sz w:val="13"/>
                <w:szCs w:val="13"/>
              </w:rPr>
              <w:t xml:space="preserve">0.44x (derived) [PR-069]</w:t>
            </w:r>
          </w:p>
        </w:tc>
        <w:tc>
          <w:tcPr>
            <w:tcW w:w="1567" w:type="dxa"/>
          </w:tcPr>
          <w:p>
            <w:pPr>
              <w:pStyle w:val="Compact"/>
              <w:jc w:val="left"/>
              <w:spacing w:before="20" w:after="20" w:line="220" w:lineRule="auto"/>
            </w:pPr>
            <w:r>
              <w:rPr>
                <w:sz w:val="13"/>
                <w:szCs w:val="13"/>
              </w:rPr>
              <w:t xml:space="preserve">GBP 244m [PR-066] (2021)</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Zurich Insurance Group: 2017-2019 net savings programme (vs 2015 baseline)</w:t>
            </w:r>
          </w:p>
        </w:tc>
        <w:tc>
          <w:tcPr>
            <w:tcW w:w="993" w:type="dxa"/>
          </w:tcPr>
          <w:p>
            <w:pPr>
              <w:pStyle w:val="Compact"/>
              <w:jc w:val="left"/>
              <w:spacing w:before="20" w:after="20" w:line="220" w:lineRule="auto"/>
            </w:pPr>
            <w:r>
              <w:rPr>
                <w:sz w:val="13"/>
                <w:szCs w:val="13"/>
              </w:rPr>
              <w:t xml:space="preserve">2016 [PR-071]</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USD 1,500m [PR-072]</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4 [PR-078]</w:t>
            </w:r>
          </w:p>
        </w:tc>
        <w:tc>
          <w:tcPr>
            <w:tcW w:w="1507" w:type="dxa"/>
          </w:tcPr>
          <w:p>
            <w:pPr>
              <w:pStyle w:val="Compact"/>
              <w:jc w:val="left"/>
              <w:spacing w:before="20" w:after="20" w:line="220" w:lineRule="auto"/>
            </w:pPr>
            <w:r>
              <w:rPr>
                <w:sz w:val="13"/>
                <w:szCs w:val="13"/>
              </w:rPr>
              <w:t xml:space="preserve">USD 500m [PR-074]; USD 1,000m (derived) [PR-075]</w:t>
            </w:r>
          </w:p>
        </w:tc>
        <w:tc>
          <w:tcPr>
            <w:tcW w:w="1144" w:type="dxa"/>
          </w:tcPr>
          <w:p>
            <w:pPr>
              <w:pStyle w:val="Compact"/>
              <w:jc w:val="left"/>
              <w:spacing w:before="20" w:after="20" w:line="220" w:lineRule="auto"/>
            </w:pPr>
            <w:r>
              <w:rPr>
                <w:sz w:val="13"/>
                <w:szCs w:val="13"/>
              </w:rPr>
              <w:t xml:space="preserve">0.67x (derived) [PR-076]</w:t>
            </w:r>
          </w:p>
        </w:tc>
        <w:tc>
          <w:tcPr>
            <w:tcW w:w="1567" w:type="dxa"/>
          </w:tcPr>
          <w:p>
            <w:pPr>
              <w:pStyle w:val="Compact"/>
              <w:jc w:val="left"/>
              <w:spacing w:before="20" w:after="20" w:line="220" w:lineRule="auto"/>
            </w:pPr>
            <w:r>
              <w:rPr>
                <w:sz w:val="13"/>
                <w:szCs w:val="13"/>
              </w:rPr>
              <w:t xml:space="preserve">USD 1,560m [PR-077] (2019)</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Manulife Financial: expense efficiency programme (2018-2022)</w:t>
            </w:r>
          </w:p>
        </w:tc>
        <w:tc>
          <w:tcPr>
            <w:tcW w:w="993" w:type="dxa"/>
          </w:tcPr>
          <w:p>
            <w:pPr>
              <w:pStyle w:val="Compact"/>
              <w:jc w:val="left"/>
              <w:spacing w:before="20" w:after="20" w:line="220" w:lineRule="auto"/>
            </w:pPr>
            <w:r>
              <w:rPr>
                <w:sz w:val="13"/>
                <w:szCs w:val="13"/>
              </w:rPr>
              <w:t xml:space="preserve">2018 [PR-079]</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CAD 1,000m [PR-080]</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CAD 250m [PR-081]</w:t>
            </w:r>
          </w:p>
        </w:tc>
        <w:tc>
          <w:tcPr>
            <w:tcW w:w="1144" w:type="dxa"/>
          </w:tcPr>
          <w:p>
            <w:pPr>
              <w:pStyle w:val="Compact"/>
              <w:jc w:val="left"/>
              <w:spacing w:before="20" w:after="20" w:line="220" w:lineRule="auto"/>
            </w:pPr>
            <w:r>
              <w:rPr>
                <w:sz w:val="13"/>
                <w:szCs w:val="13"/>
              </w:rPr>
              <w:t xml:space="preserve">0.25x (derived) [PR-082]</w:t>
            </w:r>
          </w:p>
        </w:tc>
        <w:tc>
          <w:tcPr>
            <w:tcW w:w="1567" w:type="dxa"/>
          </w:tcPr>
          <w:p>
            <w:pPr>
              <w:pStyle w:val="Compact"/>
              <w:jc w:val="left"/>
              <w:spacing w:before="20" w:after="20" w:line="220" w:lineRule="auto"/>
            </w:pPr>
            <w:r>
              <w:rPr>
                <w:sz w:val="13"/>
                <w:szCs w:val="13"/>
              </w:rPr>
              <w:t xml:space="preserve">CAD 1,000m [PR-084] (2020)</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MetLife: unit cost initiative (2016-2020)</w:t>
            </w:r>
          </w:p>
        </w:tc>
        <w:tc>
          <w:tcPr>
            <w:tcW w:w="993" w:type="dxa"/>
          </w:tcPr>
          <w:p>
            <w:pPr>
              <w:pStyle w:val="Compact"/>
              <w:jc w:val="left"/>
              <w:spacing w:before="20" w:after="20" w:line="220" w:lineRule="auto"/>
            </w:pPr>
            <w:r>
              <w:rPr>
                <w:sz w:val="13"/>
                <w:szCs w:val="13"/>
              </w:rPr>
              <w:t xml:space="preserve">2016 [PR-085]</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USD 1,100m [PR-086]</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USD 800m [PR-088]</w:t>
            </w:r>
          </w:p>
        </w:tc>
        <w:tc>
          <w:tcPr>
            <w:tcW w:w="1144" w:type="dxa"/>
          </w:tcPr>
          <w:p>
            <w:pPr>
              <w:pStyle w:val="Compact"/>
              <w:jc w:val="left"/>
              <w:spacing w:before="20" w:after="20" w:line="220" w:lineRule="auto"/>
            </w:pPr>
            <w:r>
              <w:rPr>
                <w:sz w:val="13"/>
                <w:szCs w:val="13"/>
              </w:rPr>
              <w:t xml:space="preserve">0.73x (derived) [PR-089]</w:t>
            </w:r>
          </w:p>
        </w:tc>
        <w:tc>
          <w:tcPr>
            <w:tcW w:w="1567" w:type="dxa"/>
          </w:tcPr>
          <w:p>
            <w:pPr>
              <w:pStyle w:val="Compact"/>
              <w:jc w:val="left"/>
              <w:spacing w:before="20" w:after="20" w:line="220" w:lineRule="auto"/>
            </w:pPr>
            <w:r>
              <w:rPr>
                <w:sz w:val="13"/>
                <w:szCs w:val="13"/>
              </w:rPr>
              <w:t xml:space="preserve">USD 900m† [PR-091] (2019)</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Phoenix Group: Standard Life Assurance acquisition transition programme (2018-2023)</w:t>
            </w:r>
          </w:p>
        </w:tc>
        <w:tc>
          <w:tcPr>
            <w:tcW w:w="993" w:type="dxa"/>
          </w:tcPr>
          <w:p>
            <w:pPr>
              <w:pStyle w:val="Compact"/>
              <w:jc w:val="left"/>
              <w:spacing w:before="20" w:after="20" w:line="220" w:lineRule="auto"/>
            </w:pPr>
            <w:r>
              <w:rPr>
                <w:sz w:val="13"/>
                <w:szCs w:val="13"/>
              </w:rPr>
              <w:t xml:space="preserve">2018 [PR-092]</w:t>
            </w:r>
          </w:p>
        </w:tc>
        <w:tc>
          <w:tcPr>
            <w:tcW w:w="1235" w:type="dxa"/>
          </w:tcPr>
          <w:p>
            <w:pPr>
              <w:pStyle w:val="Compact"/>
              <w:jc w:val="left"/>
              <w:spacing w:before="20" w:after="20" w:line="220" w:lineRule="auto"/>
            </w:pPr>
            <w:r>
              <w:rPr>
                <w:sz w:val="13"/>
                <w:szCs w:val="13"/>
              </w:rPr>
              <w:t xml:space="preserve">GBP 600m [PR-093]</w:t>
            </w:r>
          </w:p>
        </w:tc>
        <w:tc>
          <w:tcPr>
            <w:tcW w:w="1027" w:type="dxa"/>
          </w:tcPr>
          <w:p>
            <w:pPr>
              <w:pStyle w:val="Compact"/>
              <w:jc w:val="left"/>
              <w:spacing w:before="20" w:after="20" w:line="220" w:lineRule="auto"/>
            </w:pPr>
            <w:r>
              <w:rPr>
                <w:sz w:val="13"/>
                <w:szCs w:val="13"/>
              </w:rPr>
              <w:t xml:space="preserve">GBP 75m [PR-094]</w:t>
            </w:r>
          </w:p>
        </w:tc>
        <w:tc>
          <w:tcPr>
            <w:tcW w:w="1144" w:type="dxa"/>
          </w:tcPr>
          <w:p>
            <w:pPr>
              <w:pStyle w:val="Compact"/>
              <w:jc w:val="left"/>
              <w:spacing w:before="20" w:after="20" w:line="220" w:lineRule="auto"/>
            </w:pPr>
            <w:r>
              <w:rPr>
                <w:sz w:val="13"/>
                <w:szCs w:val="13"/>
              </w:rPr>
              <w:t xml:space="preserve">12.5% (derived) [PR-095]</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GBP 150m [PR-096]</w:t>
            </w:r>
          </w:p>
        </w:tc>
        <w:tc>
          <w:tcPr>
            <w:tcW w:w="1144" w:type="dxa"/>
          </w:tcPr>
          <w:p>
            <w:pPr>
              <w:pStyle w:val="Compact"/>
              <w:jc w:val="left"/>
              <w:spacing w:before="20" w:after="20" w:line="220" w:lineRule="auto"/>
            </w:pPr>
            <w:r>
              <w:rPr>
                <w:sz w:val="13"/>
                <w:szCs w:val="13"/>
              </w:rPr>
              <w:t xml:space="preserve">2.00x (derived) [PR-097]</w:t>
            </w:r>
          </w:p>
        </w:tc>
        <w:tc>
          <w:tcPr>
            <w:tcW w:w="1567" w:type="dxa"/>
          </w:tcPr>
          <w:p>
            <w:pPr>
              <w:pStyle w:val="Compact"/>
              <w:jc w:val="left"/>
              <w:spacing w:before="20" w:after="20" w:line="220" w:lineRule="auto"/>
            </w:pPr>
            <w:r>
              <w:rPr>
                <w:sz w:val="13"/>
                <w:szCs w:val="13"/>
              </w:rPr>
              <w:t xml:space="preserve">GBP 33m [PR-099] (2019)</w:t>
            </w:r>
          </w:p>
        </w:tc>
        <w:tc>
          <w:tcPr>
            <w:tcW w:w="2426" w:type="dxa"/>
          </w:tcPr>
          <w:p>
            <w:pPr>
              <w:pStyle w:val="Compact"/>
              <w:jc w:val="left"/>
              <w:spacing w:before="20" w:after="20" w:line="220" w:lineRule="auto"/>
            </w:pPr>
            <w:r>
              <w:rPr>
                <w:sz w:val="13"/>
                <w:szCs w:val="13"/>
              </w:rPr>
              <w:t xml:space="preserve">entity consolidation, single LifeCo Part VII capital benefit GBP 100m [PR-101]</w:t>
            </w:r>
          </w:p>
        </w:tc>
      </w:tr>
      <w:tr>
        <w:tc>
          <w:tcPr>
            <w:tcW w:w="2483" w:type="dxa"/>
          </w:tcPr>
          <w:p>
            <w:pPr>
              <w:pStyle w:val="Compact"/>
              <w:jc w:val="left"/>
              <w:spacing w:before="20" w:after="20" w:line="220" w:lineRule="auto"/>
            </w:pPr>
            <w:r>
              <w:rPr>
                <w:sz w:val="13"/>
                <w:szCs w:val="13"/>
              </w:rPr>
              <w:t xml:space="preserve">Phoenix Group: Part VII transfer of L&amp;G Mature Savings business into Phoenix (2020)</w:t>
            </w:r>
          </w:p>
        </w:tc>
        <w:tc>
          <w:tcPr>
            <w:tcW w:w="993" w:type="dxa"/>
          </w:tcPr>
          <w:p>
            <w:pPr>
              <w:pStyle w:val="Compact"/>
              <w:jc w:val="left"/>
              <w:spacing w:before="20" w:after="20" w:line="220" w:lineRule="auto"/>
            </w:pPr>
            <w:r>
              <w:rPr>
                <w:sz w:val="13"/>
                <w:szCs w:val="13"/>
              </w:rPr>
              <w:t xml:space="preserve">2017 [PR-102]</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Phoenix Group: £250m cost savings programme (2024-2026)</w:t>
            </w:r>
          </w:p>
        </w:tc>
        <w:tc>
          <w:tcPr>
            <w:tcW w:w="993" w:type="dxa"/>
          </w:tcPr>
          <w:p>
            <w:pPr>
              <w:pStyle w:val="Compact"/>
              <w:jc w:val="left"/>
              <w:spacing w:before="20" w:after="20" w:line="220" w:lineRule="auto"/>
            </w:pPr>
            <w:r>
              <w:rPr>
                <w:sz w:val="13"/>
                <w:szCs w:val="13"/>
              </w:rPr>
              <w:t xml:space="preserve">2024 [PR-105]</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GBP 250m [PR-106]</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GBP 700m† [PR-109]</w:t>
            </w:r>
          </w:p>
        </w:tc>
        <w:tc>
          <w:tcPr>
            <w:tcW w:w="1144" w:type="dxa"/>
          </w:tcPr>
          <w:p>
            <w:pPr>
              <w:pStyle w:val="Compact"/>
              <w:jc w:val="left"/>
              <w:spacing w:before="20" w:after="20" w:line="220" w:lineRule="auto"/>
            </w:pPr>
            <w:r>
              <w:rPr>
                <w:sz w:val="13"/>
                <w:szCs w:val="13"/>
              </w:rPr>
              <w:t xml:space="preserve">2.80x (derived) [PR-110]</w:t>
            </w:r>
          </w:p>
        </w:tc>
        <w:tc>
          <w:tcPr>
            <w:tcW w:w="1567" w:type="dxa"/>
          </w:tcPr>
          <w:p>
            <w:pPr>
              <w:pStyle w:val="Compact"/>
              <w:jc w:val="left"/>
              <w:spacing w:before="20" w:after="20" w:line="220" w:lineRule="auto"/>
            </w:pPr>
            <w:r>
              <w:rPr>
                <w:sz w:val="13"/>
                <w:szCs w:val="13"/>
              </w:rPr>
              <w:t xml:space="preserve">GBP 63m [PR-107] (2024)</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Aegon: expense savings programme (2021-2023, vs 2019 addressable expense base)</w:t>
            </w:r>
          </w:p>
        </w:tc>
        <w:tc>
          <w:tcPr>
            <w:tcW w:w="993" w:type="dxa"/>
          </w:tcPr>
          <w:p>
            <w:pPr>
              <w:pStyle w:val="Compact"/>
              <w:jc w:val="left"/>
              <w:spacing w:before="20" w:after="20" w:line="220" w:lineRule="auto"/>
            </w:pPr>
            <w:r>
              <w:rPr>
                <w:sz w:val="13"/>
                <w:szCs w:val="13"/>
              </w:rPr>
              <w:t xml:space="preserve">2020 [PR-111]</w:t>
            </w:r>
          </w:p>
        </w:tc>
        <w:tc>
          <w:tcPr>
            <w:tcW w:w="1235" w:type="dxa"/>
          </w:tcPr>
          <w:p>
            <w:pPr>
              <w:pStyle w:val="Compact"/>
              <w:jc w:val="left"/>
              <w:spacing w:before="20" w:after="20" w:line="220" w:lineRule="auto"/>
            </w:pPr>
            <w:r>
              <w:rPr>
                <w:sz w:val="13"/>
                <w:szCs w:val="13"/>
              </w:rPr>
              <w:t xml:space="preserve">EUR 3,077m (derived) [PR-114]</w:t>
            </w:r>
          </w:p>
        </w:tc>
        <w:tc>
          <w:tcPr>
            <w:tcW w:w="1027" w:type="dxa"/>
          </w:tcPr>
          <w:p>
            <w:pPr>
              <w:pStyle w:val="Compact"/>
              <w:jc w:val="left"/>
              <w:spacing w:before="20" w:after="20" w:line="220" w:lineRule="auto"/>
            </w:pPr>
            <w:r>
              <w:rPr>
                <w:sz w:val="13"/>
                <w:szCs w:val="13"/>
              </w:rPr>
              <w:t xml:space="preserve">EUR 400m [PR-112]</w:t>
            </w:r>
          </w:p>
        </w:tc>
        <w:tc>
          <w:tcPr>
            <w:tcW w:w="1144" w:type="dxa"/>
          </w:tcPr>
          <w:p>
            <w:pPr>
              <w:pStyle w:val="Compact"/>
              <w:jc w:val="left"/>
              <w:spacing w:before="20" w:after="20" w:line="220" w:lineRule="auto"/>
            </w:pPr>
            <w:r>
              <w:rPr>
                <w:sz w:val="13"/>
                <w:szCs w:val="13"/>
              </w:rPr>
              <w:t xml:space="preserve">13.0% [PR-113]</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EUR 650m [PR-115]</w:t>
            </w:r>
          </w:p>
        </w:tc>
        <w:tc>
          <w:tcPr>
            <w:tcW w:w="1144" w:type="dxa"/>
          </w:tcPr>
          <w:p>
            <w:pPr>
              <w:pStyle w:val="Compact"/>
              <w:jc w:val="left"/>
              <w:spacing w:before="20" w:after="20" w:line="220" w:lineRule="auto"/>
            </w:pPr>
            <w:r>
              <w:rPr>
                <w:sz w:val="13"/>
                <w:szCs w:val="13"/>
              </w:rPr>
              <w:t xml:space="preserve">1.62x (derived) [PR-116]</w:t>
            </w:r>
          </w:p>
        </w:tc>
        <w:tc>
          <w:tcPr>
            <w:tcW w:w="1567" w:type="dxa"/>
          </w:tcPr>
          <w:p>
            <w:pPr>
              <w:pStyle w:val="Compact"/>
              <w:jc w:val="left"/>
              <w:spacing w:before="20" w:after="20" w:line="220" w:lineRule="auto"/>
            </w:pPr>
            <w:r>
              <w:rPr>
                <w:sz w:val="13"/>
                <w:szCs w:val="13"/>
              </w:rPr>
              <w:t xml:space="preserve">EUR 244m [PR-117] (2021); EUR 366m [PR-118] (2022)</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AXA: Ambition 2020 cost savings (2016-2020) and Driving Progress 2023</w:t>
            </w:r>
          </w:p>
        </w:tc>
        <w:tc>
          <w:tcPr>
            <w:tcW w:w="993" w:type="dxa"/>
          </w:tcPr>
          <w:p>
            <w:pPr>
              <w:pStyle w:val="Compact"/>
              <w:jc w:val="left"/>
              <w:spacing w:before="20" w:after="20" w:line="220" w:lineRule="auto"/>
            </w:pPr>
            <w:r>
              <w:rPr>
                <w:sz w:val="13"/>
                <w:szCs w:val="13"/>
              </w:rPr>
              <w:t xml:space="preserve">2016 [PR-120]</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EUR 2,100m [PR-121]</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Generali: mature markets net operating cost reduction (2016-2019)</w:t>
            </w:r>
          </w:p>
        </w:tc>
        <w:tc>
          <w:tcPr>
            <w:tcW w:w="993" w:type="dxa"/>
          </w:tcPr>
          <w:p>
            <w:pPr>
              <w:pStyle w:val="Compact"/>
              <w:jc w:val="left"/>
              <w:spacing w:before="20" w:after="20" w:line="220" w:lineRule="auto"/>
            </w:pPr>
            <w:r>
              <w:rPr>
                <w:sz w:val="13"/>
                <w:szCs w:val="13"/>
              </w:rPr>
              <w:t xml:space="preserve">2016 [PR-125]</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EUR 200m [PR-126]</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2018 [PR-128]</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EUR 200m [PR-129] (2017)</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Allianz: Renewal Agenda productivity gains (2016-2018)</w:t>
            </w:r>
          </w:p>
        </w:tc>
        <w:tc>
          <w:tcPr>
            <w:tcW w:w="993" w:type="dxa"/>
          </w:tcPr>
          <w:p>
            <w:pPr>
              <w:pStyle w:val="Compact"/>
              <w:jc w:val="left"/>
              <w:spacing w:before="20" w:after="20" w:line="220" w:lineRule="auto"/>
            </w:pPr>
            <w:r>
              <w:rPr>
                <w:sz w:val="13"/>
                <w:szCs w:val="13"/>
              </w:rPr>
              <w:t xml:space="preserve">2015† [PR-131]</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EUR 1,000m† [PR-132]</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Prudential plc: head office cost reduction after M&amp;G demerger (2019-2021) and Jackson separation (2023)</w:t>
            </w:r>
          </w:p>
        </w:tc>
        <w:tc>
          <w:tcPr>
            <w:tcW w:w="993" w:type="dxa"/>
          </w:tcPr>
          <w:p>
            <w:pPr>
              <w:pStyle w:val="Compact"/>
              <w:jc w:val="left"/>
              <w:spacing w:before="20" w:after="20" w:line="220" w:lineRule="auto"/>
            </w:pPr>
            <w:r>
              <w:rPr>
                <w:sz w:val="13"/>
                <w:szCs w:val="13"/>
              </w:rPr>
              <w:t xml:space="preserve">2019 [PR-133]</w:t>
            </w:r>
          </w:p>
        </w:tc>
        <w:tc>
          <w:tcPr>
            <w:tcW w:w="1235" w:type="dxa"/>
          </w:tcPr>
          <w:p>
            <w:pPr>
              <w:pStyle w:val="Compact"/>
              <w:jc w:val="left"/>
              <w:spacing w:before="20" w:after="20" w:line="220" w:lineRule="auto"/>
            </w:pPr>
            <w:r>
              <w:rPr>
                <w:sz w:val="13"/>
                <w:szCs w:val="13"/>
              </w:rPr>
              <w:t xml:space="preserve">USD 490m [PR-134]</w:t>
            </w:r>
          </w:p>
        </w:tc>
        <w:tc>
          <w:tcPr>
            <w:tcW w:w="1027" w:type="dxa"/>
          </w:tcPr>
          <w:p>
            <w:pPr>
              <w:pStyle w:val="Compact"/>
              <w:jc w:val="left"/>
              <w:spacing w:before="20" w:after="20" w:line="220" w:lineRule="auto"/>
            </w:pPr>
            <w:r>
              <w:rPr>
                <w:sz w:val="13"/>
                <w:szCs w:val="13"/>
              </w:rPr>
              <w:t xml:space="preserve">USD 180m [PR-136]</w:t>
            </w:r>
          </w:p>
        </w:tc>
        <w:tc>
          <w:tcPr>
            <w:tcW w:w="1144" w:type="dxa"/>
          </w:tcPr>
          <w:p>
            <w:pPr>
              <w:pStyle w:val="Compact"/>
              <w:jc w:val="left"/>
              <w:spacing w:before="20" w:after="20" w:line="220" w:lineRule="auto"/>
            </w:pPr>
            <w:r>
              <w:rPr>
                <w:sz w:val="13"/>
                <w:szCs w:val="13"/>
              </w:rPr>
              <w:t xml:space="preserve">36.7% (derived) [PR-137]</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USD 318m [PR-138]</w:t>
            </w:r>
          </w:p>
        </w:tc>
        <w:tc>
          <w:tcPr>
            <w:tcW w:w="1144" w:type="dxa"/>
          </w:tcPr>
          <w:p>
            <w:pPr>
              <w:pStyle w:val="Compact"/>
              <w:jc w:val="left"/>
              <w:spacing w:before="20" w:after="20" w:line="220" w:lineRule="auto"/>
            </w:pPr>
            <w:r>
              <w:rPr>
                <w:sz w:val="13"/>
                <w:szCs w:val="13"/>
              </w:rPr>
              <w:t xml:space="preserve">1.77x (derived) [PR-139]</w:t>
            </w:r>
          </w:p>
        </w:tc>
        <w:tc>
          <w:tcPr>
            <w:tcW w:w="1567" w:type="dxa"/>
          </w:tcPr>
          <w:p>
            <w:pPr>
              <w:pStyle w:val="Compact"/>
              <w:jc w:val="left"/>
              <w:spacing w:before="20" w:after="20" w:line="220" w:lineRule="auto"/>
            </w:pPr>
            <w:r>
              <w:rPr>
                <w:sz w:val="13"/>
                <w:szCs w:val="13"/>
              </w:rPr>
              <w:t xml:space="preserve">USD 180m [PR-136] (2021)</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Standard Life Aberdeen: merger cost reduction and operating model simplification (2017-2021)</w:t>
            </w:r>
          </w:p>
        </w:tc>
        <w:tc>
          <w:tcPr>
            <w:tcW w:w="993" w:type="dxa"/>
          </w:tcPr>
          <w:p>
            <w:pPr>
              <w:pStyle w:val="Compact"/>
              <w:jc w:val="left"/>
              <w:spacing w:before="20" w:after="20" w:line="220" w:lineRule="auto"/>
            </w:pPr>
            <w:r>
              <w:rPr>
                <w:sz w:val="13"/>
                <w:szCs w:val="13"/>
              </w:rPr>
              <w:t xml:space="preserve">2017 [PR-141]</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GBP 200m† [PR-142]</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GBP 320m† [PR-143]</w:t>
            </w:r>
          </w:p>
        </w:tc>
        <w:tc>
          <w:tcPr>
            <w:tcW w:w="1144" w:type="dxa"/>
          </w:tcPr>
          <w:p>
            <w:pPr>
              <w:pStyle w:val="Compact"/>
              <w:jc w:val="left"/>
              <w:spacing w:before="20" w:after="20" w:line="220" w:lineRule="auto"/>
            </w:pPr>
            <w:r>
              <w:rPr>
                <w:sz w:val="13"/>
                <w:szCs w:val="13"/>
              </w:rPr>
              <w:t xml:space="preserve">1.60x (derived) [PR-144]</w:t>
            </w:r>
          </w:p>
        </w:tc>
        <w:tc>
          <w:tcPr>
            <w:tcW w:w="1567" w:type="dxa"/>
          </w:tcPr>
          <w:p>
            <w:pPr>
              <w:pStyle w:val="Compact"/>
              <w:jc w:val="left"/>
              <w:spacing w:before="20" w:after="20" w:line="220" w:lineRule="auto"/>
            </w:pPr>
            <w:r>
              <w:rPr>
                <w:sz w:val="13"/>
                <w:szCs w:val="13"/>
              </w:rPr>
              <w:t xml:space="preserve">GBP 135m [PR-146] (2018)</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Quilter plc: Business Simplification Phase II (2023-2025)</w:t>
            </w:r>
          </w:p>
        </w:tc>
        <w:tc>
          <w:tcPr>
            <w:tcW w:w="993" w:type="dxa"/>
          </w:tcPr>
          <w:p>
            <w:pPr>
              <w:pStyle w:val="Compact"/>
              <w:jc w:val="left"/>
              <w:spacing w:before="20" w:after="20" w:line="220" w:lineRule="auto"/>
            </w:pPr>
            <w:r>
              <w:rPr>
                <w:sz w:val="13"/>
                <w:szCs w:val="13"/>
              </w:rPr>
              <w:t xml:space="preserve">2023 [PR-148]</w:t>
            </w:r>
          </w:p>
        </w:tc>
        <w:tc>
          <w:tcPr>
            <w:tcW w:w="1235" w:type="dxa"/>
          </w:tcPr>
          <w:p>
            <w:pPr>
              <w:pStyle w:val="Compact"/>
              <w:jc w:val="left"/>
              <w:spacing w:before="20" w:after="20" w:line="220" w:lineRule="auto"/>
            </w:pPr>
            <w:r>
              <w:rPr>
                <w:sz w:val="13"/>
                <w:szCs w:val="13"/>
              </w:rPr>
              <w:t xml:space="preserve">GBP 458m [PR-149]</w:t>
            </w:r>
          </w:p>
        </w:tc>
        <w:tc>
          <w:tcPr>
            <w:tcW w:w="1027" w:type="dxa"/>
          </w:tcPr>
          <w:p>
            <w:pPr>
              <w:pStyle w:val="Compact"/>
              <w:jc w:val="left"/>
              <w:spacing w:before="20" w:after="20" w:line="220" w:lineRule="auto"/>
            </w:pPr>
            <w:r>
              <w:rPr>
                <w:sz w:val="13"/>
                <w:szCs w:val="13"/>
              </w:rPr>
              <w:t xml:space="preserve">GBP 50m [PR-150]</w:t>
            </w:r>
          </w:p>
        </w:tc>
        <w:tc>
          <w:tcPr>
            <w:tcW w:w="1144" w:type="dxa"/>
          </w:tcPr>
          <w:p>
            <w:pPr>
              <w:pStyle w:val="Compact"/>
              <w:jc w:val="left"/>
              <w:spacing w:before="20" w:after="20" w:line="220" w:lineRule="auto"/>
            </w:pPr>
            <w:r>
              <w:rPr>
                <w:sz w:val="13"/>
                <w:szCs w:val="13"/>
              </w:rPr>
              <w:t xml:space="preserve">10.9% (derived) [PR-151]</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GBP 25m [PR-154]; GBP 24m [PR-155]</w:t>
            </w:r>
          </w:p>
        </w:tc>
        <w:tc>
          <w:tcPr>
            <w:tcW w:w="1144" w:type="dxa"/>
          </w:tcPr>
          <w:p>
            <w:pPr>
              <w:pStyle w:val="Compact"/>
              <w:jc w:val="left"/>
              <w:spacing w:before="20" w:after="20" w:line="220" w:lineRule="auto"/>
            </w:pPr>
            <w:r>
              <w:rPr>
                <w:sz w:val="13"/>
                <w:szCs w:val="13"/>
              </w:rPr>
              <w:t xml:space="preserve">1.54x (derived) [PR-158]</w:t>
            </w:r>
          </w:p>
        </w:tc>
        <w:tc>
          <w:tcPr>
            <w:tcW w:w="1567" w:type="dxa"/>
          </w:tcPr>
          <w:p>
            <w:pPr>
              <w:pStyle w:val="Compact"/>
              <w:jc w:val="left"/>
              <w:spacing w:before="20" w:after="20" w:line="220" w:lineRule="auto"/>
            </w:pPr>
            <w:r>
              <w:rPr>
                <w:sz w:val="13"/>
                <w:szCs w:val="13"/>
              </w:rPr>
              <w:t xml:space="preserve">GBP 35m [PR-152] (2024); GBP 52m [PR-153] (2025)</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Standard Bank Group: Liberty Holdings integration (2022-2025)</w:t>
            </w:r>
          </w:p>
        </w:tc>
        <w:tc>
          <w:tcPr>
            <w:tcW w:w="993" w:type="dxa"/>
          </w:tcPr>
          <w:p>
            <w:pPr>
              <w:pStyle w:val="Compact"/>
              <w:jc w:val="left"/>
              <w:spacing w:before="20" w:after="20" w:line="220" w:lineRule="auto"/>
            </w:pPr>
            <w:r>
              <w:rPr>
                <w:sz w:val="13"/>
                <w:szCs w:val="13"/>
              </w:rPr>
              <w:t xml:space="preserve">2021† [PR-159]</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ZAR 620m† [PR-160] (2024)</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Lloyds Banking Group: Scottish Widows single life company Part VII (2015)</w:t>
            </w:r>
          </w:p>
        </w:tc>
        <w:tc>
          <w:tcPr>
            <w:tcW w:w="993" w:type="dxa"/>
          </w:tcPr>
          <w:p>
            <w:pPr>
              <w:pStyle w:val="Compact"/>
              <w:jc w:val="left"/>
              <w:spacing w:before="20" w:after="20" w:line="220" w:lineRule="auto"/>
            </w:pPr>
            <w:r>
              <w:rPr>
                <w:sz w:val="13"/>
                <w:szCs w:val="13"/>
              </w:rPr>
              <w:t xml:space="preserve">2015† [PR-162]</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Santam: FutureFit2030 operating model restructure (2023)</w:t>
            </w:r>
          </w:p>
        </w:tc>
        <w:tc>
          <w:tcPr>
            <w:tcW w:w="993" w:type="dxa"/>
          </w:tcPr>
          <w:p>
            <w:pPr>
              <w:pStyle w:val="Compact"/>
              <w:jc w:val="left"/>
              <w:spacing w:before="20" w:after="20" w:line="220" w:lineRule="auto"/>
            </w:pPr>
            <w:r>
              <w:rPr>
                <w:sz w:val="13"/>
                <w:szCs w:val="13"/>
              </w:rPr>
              <w:t xml:space="preserve">n/d</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Sanlam: Assupol integration and section 50 licence consolidation (2024-2025)</w:t>
            </w:r>
          </w:p>
        </w:tc>
        <w:tc>
          <w:tcPr>
            <w:tcW w:w="993" w:type="dxa"/>
          </w:tcPr>
          <w:p>
            <w:pPr>
              <w:pStyle w:val="Compact"/>
              <w:jc w:val="left"/>
              <w:spacing w:before="20" w:after="20" w:line="220" w:lineRule="auto"/>
            </w:pPr>
            <w:r>
              <w:rPr>
                <w:sz w:val="13"/>
                <w:szCs w:val="13"/>
              </w:rPr>
              <w:t xml:space="preserve">n/d</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r>
        <w:tc>
          <w:tcPr>
            <w:tcW w:w="2483" w:type="dxa"/>
          </w:tcPr>
          <w:p>
            <w:pPr>
              <w:pStyle w:val="Compact"/>
              <w:jc w:val="left"/>
              <w:spacing w:before="20" w:after="20" w:line="220" w:lineRule="auto"/>
            </w:pPr>
            <w:r>
              <w:rPr>
                <w:sz w:val="13"/>
                <w:szCs w:val="13"/>
              </w:rPr>
              <w:t xml:space="preserve">Absa Group: Absa Financial Services / Barclays separation (2017-2020)</w:t>
            </w:r>
          </w:p>
        </w:tc>
        <w:tc>
          <w:tcPr>
            <w:tcW w:w="993" w:type="dxa"/>
          </w:tcPr>
          <w:p>
            <w:pPr>
              <w:pStyle w:val="Compact"/>
              <w:jc w:val="left"/>
              <w:spacing w:before="20" w:after="20" w:line="220" w:lineRule="auto"/>
            </w:pPr>
            <w:r>
              <w:rPr>
                <w:sz w:val="13"/>
                <w:szCs w:val="13"/>
              </w:rPr>
              <w:t xml:space="preserve">n/d</w:t>
            </w:r>
          </w:p>
        </w:tc>
        <w:tc>
          <w:tcPr>
            <w:tcW w:w="1235" w:type="dxa"/>
          </w:tcPr>
          <w:p>
            <w:pPr>
              <w:pStyle w:val="Compact"/>
              <w:jc w:val="left"/>
              <w:spacing w:before="20" w:after="20" w:line="220" w:lineRule="auto"/>
            </w:pPr>
            <w:r>
              <w:rPr>
                <w:sz w:val="13"/>
                <w:szCs w:val="13"/>
              </w:rPr>
              <w:t xml:space="preserve">n/d</w:t>
            </w:r>
          </w:p>
        </w:tc>
        <w:tc>
          <w:tcPr>
            <w:tcW w:w="102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038" w:type="dxa"/>
          </w:tcPr>
          <w:p>
            <w:pPr>
              <w:pStyle w:val="Compact"/>
              <w:jc w:val="left"/>
              <w:spacing w:before="20" w:after="20" w:line="220" w:lineRule="auto"/>
            </w:pPr>
            <w:r>
              <w:rPr>
                <w:sz w:val="13"/>
                <w:szCs w:val="13"/>
              </w:rPr>
              <w:t xml:space="preserve">n/d</w:t>
            </w:r>
          </w:p>
        </w:tc>
        <w:tc>
          <w:tcPr>
            <w:tcW w:w="1507" w:type="dxa"/>
          </w:tcPr>
          <w:p>
            <w:pPr>
              <w:pStyle w:val="Compact"/>
              <w:jc w:val="left"/>
              <w:spacing w:before="20" w:after="20" w:line="220" w:lineRule="auto"/>
            </w:pPr>
            <w:r>
              <w:rPr>
                <w:sz w:val="13"/>
                <w:szCs w:val="13"/>
              </w:rPr>
              <w:t xml:space="preserve">n/d</w:t>
            </w:r>
          </w:p>
        </w:tc>
        <w:tc>
          <w:tcPr>
            <w:tcW w:w="1144" w:type="dxa"/>
          </w:tcPr>
          <w:p>
            <w:pPr>
              <w:pStyle w:val="Compact"/>
              <w:jc w:val="left"/>
              <w:spacing w:before="20" w:after="20" w:line="220" w:lineRule="auto"/>
            </w:pPr>
            <w:r>
              <w:rPr>
                <w:sz w:val="13"/>
                <w:szCs w:val="13"/>
              </w:rPr>
              <w:t xml:space="preserve">n/d</w:t>
            </w:r>
          </w:p>
        </w:tc>
        <w:tc>
          <w:tcPr>
            <w:tcW w:w="1567" w:type="dxa"/>
          </w:tcPr>
          <w:p>
            <w:pPr>
              <w:pStyle w:val="Compact"/>
              <w:jc w:val="left"/>
              <w:spacing w:before="20" w:after="20" w:line="220" w:lineRule="auto"/>
            </w:pPr>
            <w:r>
              <w:rPr>
                <w:sz w:val="13"/>
                <w:szCs w:val="13"/>
              </w:rPr>
              <w:t xml:space="preserve">n/d</w:t>
            </w:r>
          </w:p>
        </w:tc>
        <w:tc>
          <w:tcPr>
            <w:tcW w:w="2426" w:type="dxa"/>
          </w:tcPr>
          <w:p>
            <w:pPr>
              <w:pStyle w:val="Compact"/>
              <w:spacing w:before="20" w:after="20" w:line="220" w:lineRule="auto"/>
            </w:pPr>
          </w:p>
        </w:tc>
      </w:tr>
    </w:tbl>
    <w:p>
      <w:pPr>
        <w:pStyle w:val="BodyText"/>
      </w:pPr>
      <w:r>
        <w:t xml:space="preserve">Source: precedents cluster; data_ids in brackets; dagger marks a press-sourced figure.</w:t>
      </w:r>
    </w:p>
    <w:bookmarkEnd w:id="77"/>
    <w:bookmarkStart w:id="78" w:name="appendix-d.-assumptions-register"/>
    <w:p>
      <w:pPr>
        <w:pStyle w:val="Heading2"/>
      </w:pPr>
      <w:r>
        <w:t xml:space="preserve">Appendix D. Assumptions register</w:t>
      </w:r>
    </w:p>
    <w:tbl>
      <w:tblPr>
        <w:tblStyle w:val="Table"/>
        <w:tblLook w:firstRow="1" w:lastRow="0" w:firstColumn="0" w:lastColumn="0" w:noHBand="0" w:noVBand="0" w:val="0020"/>
        <w:jc w:val="start"/>
        <w:tblW w:w="14569" w:type="dxa"/>
        <w:tblLayout w:type="fixed"/>
      </w:tblPr>
      <w:tblGrid>
        <w:gridCol w:w="5924"/>
        <w:gridCol w:w="670"/>
        <w:gridCol w:w="670"/>
        <w:gridCol w:w="670"/>
        <w:gridCol w:w="670"/>
        <w:gridCol w:w="5965"/>
      </w:tblGrid>
      <w:tr>
        <w:trPr>
          <w:tblHeader w:val="true"/>
        </w:trPr>
        <w:tc>
          <w:tcPr>
            <w:tcW w:w="5924" w:type="dxa"/>
          </w:tcPr>
          <w:p>
            <w:pPr>
              <w:pStyle w:val="Compact"/>
              <w:jc w:val="left"/>
              <w:spacing w:before="20" w:after="20" w:line="220" w:lineRule="auto"/>
            </w:pPr>
            <w:r>
              <w:rPr>
                <w:sz w:val="15"/>
                <w:szCs w:val="15"/>
              </w:rPr>
              <w:t xml:space="preserve">Assumption</w:t>
            </w:r>
          </w:p>
        </w:tc>
        <w:tc>
          <w:tcPr>
            <w:tcW w:w="670" w:type="dxa"/>
          </w:tcPr>
          <w:p>
            <w:pPr>
              <w:pStyle w:val="Compact"/>
              <w:jc w:val="left"/>
              <w:spacing w:before="20" w:after="20" w:line="220" w:lineRule="auto"/>
            </w:pPr>
            <w:r>
              <w:rPr>
                <w:sz w:val="15"/>
                <w:szCs w:val="15"/>
              </w:rPr>
              <w:t xml:space="preserve">Low</w:t>
            </w:r>
          </w:p>
        </w:tc>
        <w:tc>
          <w:tcPr>
            <w:tcW w:w="670" w:type="dxa"/>
          </w:tcPr>
          <w:p>
            <w:pPr>
              <w:pStyle w:val="Compact"/>
              <w:jc w:val="left"/>
              <w:spacing w:before="20" w:after="20" w:line="220" w:lineRule="auto"/>
            </w:pPr>
            <w:r>
              <w:rPr>
                <w:sz w:val="15"/>
                <w:szCs w:val="15"/>
              </w:rPr>
              <w:t xml:space="preserve">Base</w:t>
            </w:r>
          </w:p>
        </w:tc>
        <w:tc>
          <w:tcPr>
            <w:tcW w:w="670" w:type="dxa"/>
          </w:tcPr>
          <w:p>
            <w:pPr>
              <w:pStyle w:val="Compact"/>
              <w:jc w:val="left"/>
              <w:spacing w:before="20" w:after="20" w:line="220" w:lineRule="auto"/>
            </w:pPr>
            <w:r>
              <w:rPr>
                <w:sz w:val="15"/>
                <w:szCs w:val="15"/>
              </w:rPr>
              <w:t xml:space="preserve">High</w:t>
            </w:r>
          </w:p>
        </w:tc>
        <w:tc>
          <w:tcPr>
            <w:tcW w:w="670" w:type="dxa"/>
          </w:tcPr>
          <w:p>
            <w:pPr>
              <w:pStyle w:val="Compact"/>
              <w:jc w:val="left"/>
              <w:spacing w:before="20" w:after="20" w:line="220" w:lineRule="auto"/>
            </w:pPr>
            <w:r>
              <w:rPr>
                <w:sz w:val="15"/>
                <w:szCs w:val="15"/>
              </w:rPr>
              <w:t xml:space="preserve">Unit</w:t>
            </w:r>
          </w:p>
        </w:tc>
        <w:tc>
          <w:tcPr>
            <w:tcW w:w="5965" w:type="dxa"/>
          </w:tcPr>
          <w:p>
            <w:pPr>
              <w:pStyle w:val="Compact"/>
              <w:jc w:val="left"/>
              <w:spacing w:before="20" w:after="20" w:line="220" w:lineRule="auto"/>
            </w:pPr>
            <w:r>
              <w:rPr>
                <w:sz w:val="15"/>
                <w:szCs w:val="15"/>
              </w:rPr>
              <w:t xml:space="preserve">Rationale</w:t>
            </w:r>
          </w:p>
        </w:tc>
      </w:tr>
      <w:tr>
        <w:tc>
          <w:tcPr>
            <w:tcW w:w="5924" w:type="dxa"/>
          </w:tcPr>
          <w:p>
            <w:pPr>
              <w:pStyle w:val="Compact"/>
              <w:jc w:val="left"/>
              <w:spacing w:before="20" w:after="20" w:line="220" w:lineRule="auto"/>
            </w:pPr>
            <w:r>
              <w:rPr>
                <w:sz w:val="15"/>
                <w:szCs w:val="15"/>
              </w:rPr>
              <w:t xml:space="preserve">Cost of equity (Absa Group, FY2025)†</w:t>
            </w:r>
          </w:p>
        </w:tc>
        <w:tc>
          <w:tcPr>
            <w:tcW w:w="670" w:type="dxa"/>
          </w:tcPr>
          <w:p>
            <w:pPr>
              <w:pStyle w:val="Compact"/>
              <w:jc w:val="left"/>
              <w:spacing w:before="20" w:after="20" w:line="220" w:lineRule="auto"/>
            </w:pPr>
            <w:r>
              <w:rPr>
                <w:sz w:val="15"/>
                <w:szCs w:val="15"/>
              </w:rPr>
              <w:t xml:space="preserve">14.5%</w:t>
            </w:r>
          </w:p>
        </w:tc>
        <w:tc>
          <w:tcPr>
            <w:tcW w:w="670" w:type="dxa"/>
          </w:tcPr>
          <w:p>
            <w:pPr>
              <w:pStyle w:val="Compact"/>
              <w:jc w:val="left"/>
              <w:spacing w:before="20" w:after="20" w:line="220" w:lineRule="auto"/>
            </w:pPr>
            <w:r>
              <w:rPr>
                <w:sz w:val="15"/>
                <w:szCs w:val="15"/>
              </w:rPr>
              <w:t xml:space="preserve">15.1%</w:t>
            </w:r>
          </w:p>
        </w:tc>
        <w:tc>
          <w:tcPr>
            <w:tcW w:w="670" w:type="dxa"/>
          </w:tcPr>
          <w:p>
            <w:pPr>
              <w:pStyle w:val="Compact"/>
              <w:jc w:val="left"/>
              <w:spacing w:before="20" w:after="20" w:line="220" w:lineRule="auto"/>
            </w:pPr>
            <w:r>
              <w:rPr>
                <w:sz w:val="15"/>
                <w:szCs w:val="15"/>
              </w:rPr>
              <w:t xml:space="preserve">16.0%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Fact for base: Absa Group Integrated Report 2025 p40 states cost of equity 15.1 percent (source AFS:IR25). Low and high are judgement bands of about 0.5 points either side.</w:t>
            </w:r>
          </w:p>
        </w:tc>
      </w:tr>
      <w:tr>
        <w:tc>
          <w:tcPr>
            <w:tcW w:w="5924" w:type="dxa"/>
          </w:tcPr>
          <w:p>
            <w:pPr>
              <w:pStyle w:val="Compact"/>
              <w:jc w:val="left"/>
              <w:spacing w:before="20" w:after="20" w:line="220" w:lineRule="auto"/>
            </w:pPr>
            <w:r>
              <w:rPr>
                <w:sz w:val="15"/>
                <w:szCs w:val="15"/>
              </w:rPr>
              <w:t xml:space="preserve">Other directly attributable expenses inside insurance service expenses, as share of insurance revenue†</w:t>
            </w:r>
          </w:p>
        </w:tc>
        <w:tc>
          <w:tcPr>
            <w:tcW w:w="670" w:type="dxa"/>
          </w:tcPr>
          <w:p>
            <w:pPr>
              <w:pStyle w:val="Compact"/>
              <w:jc w:val="left"/>
              <w:spacing w:before="20" w:after="20" w:line="220" w:lineRule="auto"/>
            </w:pPr>
            <w:r>
              <w:rPr>
                <w:sz w:val="15"/>
                <w:szCs w:val="15"/>
              </w:rPr>
              <w:t xml:space="preserve">4.0%</w:t>
            </w:r>
          </w:p>
        </w:tc>
        <w:tc>
          <w:tcPr>
            <w:tcW w:w="670" w:type="dxa"/>
          </w:tcPr>
          <w:p>
            <w:pPr>
              <w:pStyle w:val="Compact"/>
              <w:jc w:val="left"/>
              <w:spacing w:before="20" w:after="20" w:line="220" w:lineRule="auto"/>
            </w:pPr>
            <w:r>
              <w:rPr>
                <w:sz w:val="15"/>
                <w:szCs w:val="15"/>
              </w:rPr>
              <w:t xml:space="preserve">8.0%</w:t>
            </w:r>
          </w:p>
        </w:tc>
        <w:tc>
          <w:tcPr>
            <w:tcW w:w="670" w:type="dxa"/>
          </w:tcPr>
          <w:p>
            <w:pPr>
              <w:pStyle w:val="Compact"/>
              <w:jc w:val="left"/>
              <w:spacing w:before="20" w:after="20" w:line="220" w:lineRule="auto"/>
            </w:pPr>
            <w:r>
              <w:rPr>
                <w:sz w:val="15"/>
                <w:szCs w:val="15"/>
              </w:rPr>
              <w:t xml:space="preserve">11.0%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Absa does not split attributable expenses from incurred claims (AFS notes.md). Peer evidence for the band: Capitec FY2026 reallocated opex 2.6 percent of revenue (LB-978 over LB-949); Standard Bank Group FY2025 directly attributable 9.5 percent (LB-209 over LB-203); Liberty FY2025 11.2 percent (LB-274 over LB-268); Old Mutual FY2025 other directly attributable 15.7 percent (LN-257 over LN-236); Sanlam FY2025 attributable excluding claims 13.6 percent (LN-043 over LN-001). AFS is bancassurance with simple products, so the band is set below the open-market life peers.</w:t>
            </w:r>
          </w:p>
        </w:tc>
      </w:tr>
      <w:tr>
        <w:tc>
          <w:tcPr>
            <w:tcW w:w="5924" w:type="dxa"/>
          </w:tcPr>
          <w:p>
            <w:pPr>
              <w:pStyle w:val="Compact"/>
              <w:jc w:val="left"/>
              <w:spacing w:before="20" w:after="20" w:line="220" w:lineRule="auto"/>
            </w:pPr>
            <w:r>
              <w:rPr>
                <w:sz w:val="15"/>
                <w:szCs w:val="15"/>
              </w:rPr>
              <w:t xml:space="preserve">Target solvency cover for a South African AFS insurer (SAM SCR cover)†</w:t>
            </w:r>
          </w:p>
        </w:tc>
        <w:tc>
          <w:tcPr>
            <w:tcW w:w="670" w:type="dxa"/>
          </w:tcPr>
          <w:p>
            <w:pPr>
              <w:pStyle w:val="Compact"/>
              <w:jc w:val="left"/>
              <w:spacing w:before="20" w:after="20" w:line="220" w:lineRule="auto"/>
            </w:pPr>
            <w:r>
              <w:rPr>
                <w:sz w:val="15"/>
                <w:szCs w:val="15"/>
              </w:rPr>
              <w:t xml:space="preserve">1.25</w:t>
            </w:r>
          </w:p>
        </w:tc>
        <w:tc>
          <w:tcPr>
            <w:tcW w:w="670" w:type="dxa"/>
          </w:tcPr>
          <w:p>
            <w:pPr>
              <w:pStyle w:val="Compact"/>
              <w:jc w:val="left"/>
              <w:spacing w:before="20" w:after="20" w:line="220" w:lineRule="auto"/>
            </w:pPr>
            <w:r>
              <w:rPr>
                <w:sz w:val="15"/>
                <w:szCs w:val="15"/>
              </w:rPr>
              <w:t xml:space="preserve">1.35</w:t>
            </w:r>
          </w:p>
        </w:tc>
        <w:tc>
          <w:tcPr>
            <w:tcW w:w="670" w:type="dxa"/>
          </w:tcPr>
          <w:p>
            <w:pPr>
              <w:pStyle w:val="Compact"/>
              <w:jc w:val="left"/>
              <w:spacing w:before="20" w:after="20" w:line="220" w:lineRule="auto"/>
            </w:pPr>
            <w:r>
              <w:rPr>
                <w:sz w:val="15"/>
                <w:szCs w:val="15"/>
              </w:rPr>
              <w:t xml:space="preserve">1.50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Judgement. Reported solo covers at 31 Dec 2025: Absa Life 1.51, AIC 1.81, ARTIC 2.11, AFS insurance group 1.49 (AFS-466, AFS-467, AFS-449, AFS-468). Peer covers: Liberty 1.5 and Standard Insurance 1.7 at Dec 2025 (LB-156, LB-157); FirstRand Life 1.5 (LB-757). Boards set targets above 1.0 with a buffer; management information will give the actual board target.</w:t>
            </w:r>
          </w:p>
        </w:tc>
      </w:tr>
      <w:tr>
        <w:tc>
          <w:tcPr>
            <w:tcW w:w="5924" w:type="dxa"/>
          </w:tcPr>
          <w:p>
            <w:pPr>
              <w:pStyle w:val="Compact"/>
              <w:jc w:val="left"/>
              <w:spacing w:before="20" w:after="20" w:line="220" w:lineRule="auto"/>
            </w:pPr>
            <w:r>
              <w:rPr>
                <w:sz w:val="15"/>
                <w:szCs w:val="15"/>
              </w:rPr>
              <w:t xml:space="preserve">Own funds as a multiple of IFRS equity (approximation)†</w:t>
            </w:r>
          </w:p>
        </w:tc>
        <w:tc>
          <w:tcPr>
            <w:tcW w:w="670" w:type="dxa"/>
          </w:tcPr>
          <w:p>
            <w:pPr>
              <w:pStyle w:val="Compact"/>
              <w:jc w:val="left"/>
              <w:spacing w:before="20" w:after="20" w:line="220" w:lineRule="auto"/>
            </w:pPr>
            <w:r>
              <w:rPr>
                <w:sz w:val="15"/>
                <w:szCs w:val="15"/>
              </w:rPr>
              <w:t xml:space="preserve">1.00</w:t>
            </w:r>
          </w:p>
        </w:tc>
        <w:tc>
          <w:tcPr>
            <w:tcW w:w="670" w:type="dxa"/>
          </w:tcPr>
          <w:p>
            <w:pPr>
              <w:pStyle w:val="Compact"/>
              <w:jc w:val="left"/>
              <w:spacing w:before="20" w:after="20" w:line="220" w:lineRule="auto"/>
            </w:pPr>
            <w:r>
              <w:rPr>
                <w:sz w:val="15"/>
                <w:szCs w:val="15"/>
              </w:rPr>
              <w:t xml:space="preserve">1.00</w:t>
            </w:r>
          </w:p>
        </w:tc>
        <w:tc>
          <w:tcPr>
            <w:tcW w:w="670" w:type="dxa"/>
          </w:tcPr>
          <w:p>
            <w:pPr>
              <w:pStyle w:val="Compact"/>
              <w:jc w:val="left"/>
              <w:spacing w:before="20" w:after="20" w:line="220" w:lineRule="auto"/>
            </w:pPr>
            <w:r>
              <w:rPr>
                <w:sz w:val="15"/>
                <w:szCs w:val="15"/>
              </w:rPr>
              <w:t xml:space="preserve">1.00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SAM own funds are not disclosed; IFRS equity is used as the proxy. Held at 1.0 in all cases; the gap to true own funds is a management information item.</w:t>
            </w:r>
          </w:p>
        </w:tc>
      </w:tr>
      <w:tr>
        <w:tc>
          <w:tcPr>
            <w:tcW w:w="5924" w:type="dxa"/>
          </w:tcPr>
          <w:p>
            <w:pPr>
              <w:pStyle w:val="Compact"/>
              <w:jc w:val="left"/>
              <w:spacing w:before="20" w:after="20" w:line="220" w:lineRule="auto"/>
            </w:pPr>
            <w:r>
              <w:rPr>
                <w:sz w:val="15"/>
                <w:szCs w:val="15"/>
              </w:rPr>
              <w:t xml:space="preserve">Claims leakage as a share of net claims paid†</w:t>
            </w:r>
          </w:p>
        </w:tc>
        <w:tc>
          <w:tcPr>
            <w:tcW w:w="670" w:type="dxa"/>
          </w:tcPr>
          <w:p>
            <w:pPr>
              <w:pStyle w:val="Compact"/>
              <w:jc w:val="left"/>
              <w:spacing w:before="20" w:after="20" w:line="220" w:lineRule="auto"/>
            </w:pPr>
            <w:r>
              <w:rPr>
                <w:sz w:val="15"/>
                <w:szCs w:val="15"/>
              </w:rPr>
              <w:t xml:space="preserve">1.0%</w:t>
            </w:r>
          </w:p>
        </w:tc>
        <w:tc>
          <w:tcPr>
            <w:tcW w:w="670" w:type="dxa"/>
          </w:tcPr>
          <w:p>
            <w:pPr>
              <w:pStyle w:val="Compact"/>
              <w:jc w:val="left"/>
              <w:spacing w:before="20" w:after="20" w:line="220" w:lineRule="auto"/>
            </w:pPr>
            <w:r>
              <w:rPr>
                <w:sz w:val="15"/>
                <w:szCs w:val="15"/>
              </w:rPr>
              <w:t xml:space="preserve">2.0%</w:t>
            </w:r>
          </w:p>
        </w:tc>
        <w:tc>
          <w:tcPr>
            <w:tcW w:w="670" w:type="dxa"/>
          </w:tcPr>
          <w:p>
            <w:pPr>
              <w:pStyle w:val="Compact"/>
              <w:jc w:val="left"/>
              <w:spacing w:before="20" w:after="20" w:line="220" w:lineRule="auto"/>
            </w:pPr>
            <w:r>
              <w:rPr>
                <w:sz w:val="15"/>
                <w:szCs w:val="15"/>
              </w:rPr>
              <w:t xml:space="preserve">3.0%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Judgement. No public disclosure exists for AFS or peers. The metric is evidenced by a claims leakage audit (Phase 1 section 8).</w:t>
            </w:r>
          </w:p>
        </w:tc>
      </w:tr>
      <w:tr>
        <w:tc>
          <w:tcPr>
            <w:tcW w:w="5924" w:type="dxa"/>
          </w:tcPr>
          <w:p>
            <w:pPr>
              <w:pStyle w:val="Compact"/>
              <w:jc w:val="left"/>
              <w:spacing w:before="20" w:after="20" w:line="220" w:lineRule="auto"/>
            </w:pPr>
            <w:r>
              <w:rPr>
                <w:sz w:val="15"/>
                <w:szCs w:val="15"/>
              </w:rPr>
              <w:t xml:space="preserve">Achievable saving on net reinsurance cost from group-wide placement†</w:t>
            </w:r>
          </w:p>
        </w:tc>
        <w:tc>
          <w:tcPr>
            <w:tcW w:w="670" w:type="dxa"/>
          </w:tcPr>
          <w:p>
            <w:pPr>
              <w:pStyle w:val="Compact"/>
              <w:jc w:val="left"/>
              <w:spacing w:before="20" w:after="20" w:line="220" w:lineRule="auto"/>
            </w:pPr>
            <w:r>
              <w:rPr>
                <w:sz w:val="15"/>
                <w:szCs w:val="15"/>
              </w:rPr>
              <w:t xml:space="preserve">5.0%</w:t>
            </w:r>
          </w:p>
        </w:tc>
        <w:tc>
          <w:tcPr>
            <w:tcW w:w="670" w:type="dxa"/>
          </w:tcPr>
          <w:p>
            <w:pPr>
              <w:pStyle w:val="Compact"/>
              <w:jc w:val="left"/>
              <w:spacing w:before="20" w:after="20" w:line="220" w:lineRule="auto"/>
            </w:pPr>
            <w:r>
              <w:rPr>
                <w:sz w:val="15"/>
                <w:szCs w:val="15"/>
              </w:rPr>
              <w:t xml:space="preserve">10.0%</w:t>
            </w:r>
          </w:p>
        </w:tc>
        <w:tc>
          <w:tcPr>
            <w:tcW w:w="670" w:type="dxa"/>
          </w:tcPr>
          <w:p>
            <w:pPr>
              <w:pStyle w:val="Compact"/>
              <w:jc w:val="left"/>
              <w:spacing w:before="20" w:after="20" w:line="220" w:lineRule="auto"/>
            </w:pPr>
            <w:r>
              <w:rPr>
                <w:sz w:val="15"/>
                <w:szCs w:val="15"/>
              </w:rPr>
              <w:t xml:space="preserve">15.0%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Judgement. Applied to the net expense from reinsurance contracts held for Insurance SA.</w:t>
            </w:r>
          </w:p>
        </w:tc>
      </w:tr>
      <w:tr>
        <w:tc>
          <w:tcPr>
            <w:tcW w:w="5924" w:type="dxa"/>
          </w:tcPr>
          <w:p>
            <w:pPr>
              <w:pStyle w:val="Compact"/>
              <w:jc w:val="left"/>
              <w:spacing w:before="20" w:after="20" w:line="220" w:lineRule="auto"/>
            </w:pPr>
            <w:r>
              <w:rPr>
                <w:sz w:val="15"/>
                <w:szCs w:val="15"/>
              </w:rPr>
              <w:t xml:space="preserve">Annual cost of one avoidable insurance licence (board, head of actuarial function, audit, levies, returns)†</w:t>
            </w:r>
          </w:p>
        </w:tc>
        <w:tc>
          <w:tcPr>
            <w:tcW w:w="670" w:type="dxa"/>
          </w:tcPr>
          <w:p>
            <w:pPr>
              <w:pStyle w:val="Compact"/>
              <w:jc w:val="left"/>
              <w:spacing w:before="20" w:after="20" w:line="220" w:lineRule="auto"/>
            </w:pPr>
            <w:r>
              <w:rPr>
                <w:sz w:val="15"/>
                <w:szCs w:val="15"/>
              </w:rPr>
              <w:t xml:space="preserve">10</w:t>
            </w:r>
          </w:p>
        </w:tc>
        <w:tc>
          <w:tcPr>
            <w:tcW w:w="670" w:type="dxa"/>
          </w:tcPr>
          <w:p>
            <w:pPr>
              <w:pStyle w:val="Compact"/>
              <w:jc w:val="left"/>
              <w:spacing w:before="20" w:after="20" w:line="220" w:lineRule="auto"/>
            </w:pPr>
            <w:r>
              <w:rPr>
                <w:sz w:val="15"/>
                <w:szCs w:val="15"/>
              </w:rPr>
              <w:t xml:space="preserve">20</w:t>
            </w:r>
          </w:p>
        </w:tc>
        <w:tc>
          <w:tcPr>
            <w:tcW w:w="670" w:type="dxa"/>
          </w:tcPr>
          <w:p>
            <w:pPr>
              <w:pStyle w:val="Compact"/>
              <w:jc w:val="left"/>
              <w:spacing w:before="20" w:after="20" w:line="220" w:lineRule="auto"/>
            </w:pPr>
            <w:r>
              <w:rPr>
                <w:sz w:val="15"/>
                <w:szCs w:val="15"/>
              </w:rPr>
              <w:t xml:space="preserve">40</w:t>
            </w:r>
          </w:p>
        </w:tc>
        <w:tc>
          <w:tcPr>
            <w:tcW w:w="670" w:type="dxa"/>
          </w:tcPr>
          <w:p>
            <w:pPr>
              <w:pStyle w:val="Compact"/>
              <w:jc w:val="left"/>
              <w:spacing w:before="20" w:after="20" w:line="220" w:lineRule="auto"/>
            </w:pPr>
            <w:r>
              <w:rPr>
                <w:sz w:val="15"/>
                <w:szCs w:val="15"/>
              </w:rPr>
              <w:t xml:space="preserve">Rm</w:t>
            </w:r>
          </w:p>
        </w:tc>
        <w:tc>
          <w:tcPr>
            <w:tcW w:w="5965" w:type="dxa"/>
          </w:tcPr>
          <w:p>
            <w:pPr>
              <w:pStyle w:val="Compact"/>
              <w:jc w:val="left"/>
              <w:spacing w:before="20" w:after="20" w:line="220" w:lineRule="auto"/>
            </w:pPr>
            <w:r>
              <w:rPr>
                <w:sz w:val="15"/>
                <w:szCs w:val="15"/>
              </w:rPr>
              <w:t xml:space="preserve">Judgement. Scale reference: First Assurance Kenya audit fees KES 7.6m (AFS-1477) and professional fees KES 43.8m (AFS-1476) in FY2025; Sanlam group auditors remuneration R265m across many licences (LN-046). The AIRMS closure in 2025 is the precedent.</w:t>
            </w:r>
          </w:p>
        </w:tc>
      </w:tr>
      <w:tr>
        <w:tc>
          <w:tcPr>
            <w:tcW w:w="5924" w:type="dxa"/>
          </w:tcPr>
          <w:p>
            <w:pPr>
              <w:pStyle w:val="Compact"/>
              <w:jc w:val="left"/>
              <w:spacing w:before="20" w:after="20" w:line="220" w:lineRule="auto"/>
            </w:pPr>
            <w:r>
              <w:rPr>
                <w:sz w:val="15"/>
                <w:szCs w:val="15"/>
              </w:rPr>
              <w:t xml:space="preserve">Investment management cost on shareholder funds, basis points†</w:t>
            </w:r>
          </w:p>
        </w:tc>
        <w:tc>
          <w:tcPr>
            <w:tcW w:w="670" w:type="dxa"/>
          </w:tcPr>
          <w:p>
            <w:pPr>
              <w:pStyle w:val="Compact"/>
              <w:jc w:val="left"/>
              <w:spacing w:before="20" w:after="20" w:line="220" w:lineRule="auto"/>
            </w:pPr>
            <w:r>
              <w:rPr>
                <w:sz w:val="15"/>
                <w:szCs w:val="15"/>
              </w:rPr>
              <w:t xml:space="preserve">20</w:t>
            </w:r>
          </w:p>
        </w:tc>
        <w:tc>
          <w:tcPr>
            <w:tcW w:w="670" w:type="dxa"/>
          </w:tcPr>
          <w:p>
            <w:pPr>
              <w:pStyle w:val="Compact"/>
              <w:jc w:val="left"/>
              <w:spacing w:before="20" w:after="20" w:line="220" w:lineRule="auto"/>
            </w:pPr>
            <w:r>
              <w:rPr>
                <w:sz w:val="15"/>
                <w:szCs w:val="15"/>
              </w:rPr>
              <w:t xml:space="preserve">30</w:t>
            </w:r>
          </w:p>
        </w:tc>
        <w:tc>
          <w:tcPr>
            <w:tcW w:w="670" w:type="dxa"/>
          </w:tcPr>
          <w:p>
            <w:pPr>
              <w:pStyle w:val="Compact"/>
              <w:jc w:val="left"/>
              <w:spacing w:before="20" w:after="20" w:line="220" w:lineRule="auto"/>
            </w:pPr>
            <w:r>
              <w:rPr>
                <w:sz w:val="15"/>
                <w:szCs w:val="15"/>
              </w:rPr>
              <w:t xml:space="preserve">40</w:t>
            </w:r>
          </w:p>
        </w:tc>
        <w:tc>
          <w:tcPr>
            <w:tcW w:w="670" w:type="dxa"/>
          </w:tcPr>
          <w:p>
            <w:pPr>
              <w:pStyle w:val="Compact"/>
              <w:jc w:val="left"/>
              <w:spacing w:before="20" w:after="20" w:line="220" w:lineRule="auto"/>
            </w:pPr>
            <w:r>
              <w:rPr>
                <w:sz w:val="15"/>
                <w:szCs w:val="15"/>
              </w:rPr>
              <w:t xml:space="preserve">bps</w:t>
            </w:r>
          </w:p>
        </w:tc>
        <w:tc>
          <w:tcPr>
            <w:tcW w:w="5965" w:type="dxa"/>
          </w:tcPr>
          <w:p>
            <w:pPr>
              <w:pStyle w:val="Compact"/>
              <w:jc w:val="left"/>
              <w:spacing w:before="20" w:after="20" w:line="220" w:lineRule="auto"/>
            </w:pPr>
            <w:r>
              <w:rPr>
                <w:sz w:val="15"/>
                <w:szCs w:val="15"/>
              </w:rPr>
              <w:t xml:space="preserve">Judgement for a short-dated shareholder portfolio. Only the shareholder-borne fee is in scope; policyholder-borne fees are out of scope by decision.</w:t>
            </w:r>
          </w:p>
        </w:tc>
      </w:tr>
      <w:tr>
        <w:tc>
          <w:tcPr>
            <w:tcW w:w="5924" w:type="dxa"/>
          </w:tcPr>
          <w:p>
            <w:pPr>
              <w:pStyle w:val="Compact"/>
              <w:jc w:val="left"/>
              <w:spacing w:before="20" w:after="20" w:line="220" w:lineRule="auto"/>
            </w:pPr>
            <w:r>
              <w:rPr>
                <w:sz w:val="15"/>
                <w:szCs w:val="15"/>
              </w:rPr>
              <w:t xml:space="preserve">Realisation factor applied to the gap to peer median†</w:t>
            </w:r>
          </w:p>
        </w:tc>
        <w:tc>
          <w:tcPr>
            <w:tcW w:w="670" w:type="dxa"/>
          </w:tcPr>
          <w:p>
            <w:pPr>
              <w:pStyle w:val="Compact"/>
              <w:jc w:val="left"/>
              <w:spacing w:before="20" w:after="20" w:line="220" w:lineRule="auto"/>
            </w:pPr>
            <w:r>
              <w:rPr>
                <w:sz w:val="15"/>
                <w:szCs w:val="15"/>
              </w:rPr>
              <w:t xml:space="preserve">50.0%</w:t>
            </w:r>
          </w:p>
        </w:tc>
        <w:tc>
          <w:tcPr>
            <w:tcW w:w="670" w:type="dxa"/>
          </w:tcPr>
          <w:p>
            <w:pPr>
              <w:pStyle w:val="Compact"/>
              <w:jc w:val="left"/>
              <w:spacing w:before="20" w:after="20" w:line="220" w:lineRule="auto"/>
            </w:pPr>
            <w:r>
              <w:rPr>
                <w:sz w:val="15"/>
                <w:szCs w:val="15"/>
              </w:rPr>
              <w:t xml:space="preserve">75.0%</w:t>
            </w:r>
          </w:p>
        </w:tc>
        <w:tc>
          <w:tcPr>
            <w:tcW w:w="670" w:type="dxa"/>
          </w:tcPr>
          <w:p>
            <w:pPr>
              <w:pStyle w:val="Compact"/>
              <w:jc w:val="left"/>
              <w:spacing w:before="20" w:after="20" w:line="220" w:lineRule="auto"/>
            </w:pPr>
            <w:r>
              <w:rPr>
                <w:sz w:val="15"/>
                <w:szCs w:val="15"/>
              </w:rPr>
              <w:t xml:space="preserve">1.00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Judgement. A benchmark gap is a hypothesis, not a target; the factor expresses how much of the gap to median a programme would plausibly close.</w:t>
            </w:r>
          </w:p>
        </w:tc>
      </w:tr>
      <w:tr>
        <w:tc>
          <w:tcPr>
            <w:tcW w:w="5924" w:type="dxa"/>
          </w:tcPr>
          <w:p>
            <w:pPr>
              <w:pStyle w:val="Compact"/>
              <w:jc w:val="left"/>
              <w:spacing w:before="20" w:after="20" w:line="220" w:lineRule="auto"/>
            </w:pPr>
            <w:r>
              <w:rPr>
                <w:sz w:val="15"/>
                <w:szCs w:val="15"/>
              </w:rPr>
              <w:t xml:space="preserve">Realisation factor applied to the gap to peer top quartile†</w:t>
            </w:r>
          </w:p>
        </w:tc>
        <w:tc>
          <w:tcPr>
            <w:tcW w:w="670" w:type="dxa"/>
          </w:tcPr>
          <w:p>
            <w:pPr>
              <w:pStyle w:val="Compact"/>
              <w:jc w:val="left"/>
              <w:spacing w:before="20" w:after="20" w:line="220" w:lineRule="auto"/>
            </w:pPr>
            <w:r>
              <w:rPr>
                <w:sz w:val="15"/>
                <w:szCs w:val="15"/>
              </w:rPr>
              <w:t xml:space="preserve">25.0%</w:t>
            </w:r>
          </w:p>
        </w:tc>
        <w:tc>
          <w:tcPr>
            <w:tcW w:w="670" w:type="dxa"/>
          </w:tcPr>
          <w:p>
            <w:pPr>
              <w:pStyle w:val="Compact"/>
              <w:jc w:val="left"/>
              <w:spacing w:before="20" w:after="20" w:line="220" w:lineRule="auto"/>
            </w:pPr>
            <w:r>
              <w:rPr>
                <w:sz w:val="15"/>
                <w:szCs w:val="15"/>
              </w:rPr>
              <w:t xml:space="preserve">50.0%</w:t>
            </w:r>
          </w:p>
        </w:tc>
        <w:tc>
          <w:tcPr>
            <w:tcW w:w="670" w:type="dxa"/>
          </w:tcPr>
          <w:p>
            <w:pPr>
              <w:pStyle w:val="Compact"/>
              <w:jc w:val="left"/>
              <w:spacing w:before="20" w:after="20" w:line="220" w:lineRule="auto"/>
            </w:pPr>
            <w:r>
              <w:rPr>
                <w:sz w:val="15"/>
                <w:szCs w:val="15"/>
              </w:rPr>
              <w:t xml:space="preserve">75.0%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Judgement, as above but for the stretch case.</w:t>
            </w:r>
          </w:p>
        </w:tc>
      </w:tr>
      <w:tr>
        <w:tc>
          <w:tcPr>
            <w:tcW w:w="5924" w:type="dxa"/>
          </w:tcPr>
          <w:p>
            <w:pPr>
              <w:pStyle w:val="Compact"/>
              <w:jc w:val="left"/>
              <w:spacing w:before="20" w:after="20" w:line="220" w:lineRule="auto"/>
            </w:pPr>
            <w:r>
              <w:rPr>
                <w:sz w:val="15"/>
                <w:szCs w:val="15"/>
              </w:rPr>
              <w:t xml:space="preserve">Intermediary and investments block (AIFA, AIMS, Trust, Stockbrokers) operating expenses, FY2025 proxy†</w:t>
            </w:r>
          </w:p>
        </w:tc>
        <w:tc>
          <w:tcPr>
            <w:tcW w:w="670" w:type="dxa"/>
          </w:tcPr>
          <w:p>
            <w:pPr>
              <w:pStyle w:val="Compact"/>
              <w:jc w:val="left"/>
              <w:spacing w:before="20" w:after="20" w:line="220" w:lineRule="auto"/>
            </w:pPr>
            <w:r>
              <w:rPr>
                <w:sz w:val="15"/>
                <w:szCs w:val="15"/>
              </w:rPr>
              <w:t xml:space="preserve">1,500</w:t>
            </w:r>
          </w:p>
        </w:tc>
        <w:tc>
          <w:tcPr>
            <w:tcW w:w="670" w:type="dxa"/>
          </w:tcPr>
          <w:p>
            <w:pPr>
              <w:pStyle w:val="Compact"/>
              <w:jc w:val="left"/>
              <w:spacing w:before="20" w:after="20" w:line="220" w:lineRule="auto"/>
            </w:pPr>
            <w:r>
              <w:rPr>
                <w:sz w:val="15"/>
                <w:szCs w:val="15"/>
              </w:rPr>
              <w:t xml:space="preserve">1,724</w:t>
            </w:r>
          </w:p>
        </w:tc>
        <w:tc>
          <w:tcPr>
            <w:tcW w:w="670" w:type="dxa"/>
          </w:tcPr>
          <w:p>
            <w:pPr>
              <w:pStyle w:val="Compact"/>
              <w:jc w:val="left"/>
              <w:spacing w:before="20" w:after="20" w:line="220" w:lineRule="auto"/>
            </w:pPr>
            <w:r>
              <w:rPr>
                <w:sz w:val="15"/>
                <w:szCs w:val="15"/>
              </w:rPr>
              <w:t xml:space="preserve">1,900</w:t>
            </w:r>
          </w:p>
        </w:tc>
        <w:tc>
          <w:tcPr>
            <w:tcW w:w="670" w:type="dxa"/>
          </w:tcPr>
          <w:p>
            <w:pPr>
              <w:pStyle w:val="Compact"/>
              <w:jc w:val="left"/>
              <w:spacing w:before="20" w:after="20" w:line="220" w:lineRule="auto"/>
            </w:pPr>
            <w:r>
              <w:rPr>
                <w:sz w:val="15"/>
                <w:szCs w:val="15"/>
              </w:rPr>
              <w:t xml:space="preserve">Rm</w:t>
            </w:r>
          </w:p>
        </w:tc>
        <w:tc>
          <w:tcPr>
            <w:tcW w:w="5965" w:type="dxa"/>
          </w:tcPr>
          <w:p>
            <w:pPr>
              <w:pStyle w:val="Compact"/>
              <w:jc w:val="left"/>
              <w:spacing w:before="20" w:after="20" w:line="220" w:lineRule="auto"/>
            </w:pPr>
            <w:r>
              <w:rPr>
                <w:sz w:val="15"/>
                <w:szCs w:val="15"/>
              </w:rPr>
              <w:t xml:space="preserve">Fact anchor: Non-Banking Financial Services segment operating expenses R1 724m in FY2023 and R1 871m in FY2022 (AFS-677); R2 073m in FY2024 on a basis that also includes PSC head office (AFS-682). FY2025 is not disclosed (block folded into Transactions and Deposits). The band brackets the FY2023 fact.</w:t>
            </w:r>
          </w:p>
        </w:tc>
      </w:tr>
      <w:tr>
        <w:tc>
          <w:tcPr>
            <w:tcW w:w="5924" w:type="dxa"/>
          </w:tcPr>
          <w:p>
            <w:pPr>
              <w:pStyle w:val="Compact"/>
              <w:jc w:val="left"/>
              <w:spacing w:before="20" w:after="20" w:line="220" w:lineRule="auto"/>
            </w:pPr>
            <w:r>
              <w:rPr>
                <w:sz w:val="15"/>
                <w:szCs w:val="15"/>
              </w:rPr>
              <w:t xml:space="preserve">Precedent savings as share of addressable cost base (from Phase 3 precedents)†</w:t>
            </w:r>
          </w:p>
        </w:tc>
        <w:tc>
          <w:tcPr>
            <w:tcW w:w="670" w:type="dxa"/>
          </w:tcPr>
          <w:p>
            <w:pPr>
              <w:pStyle w:val="Compact"/>
              <w:jc w:val="left"/>
              <w:spacing w:before="20" w:after="20" w:line="220" w:lineRule="auto"/>
            </w:pPr>
            <w:r>
              <w:rPr>
                <w:sz w:val="15"/>
                <w:szCs w:val="15"/>
              </w:rPr>
              <w:t xml:space="preserve">6.0%</w:t>
            </w:r>
          </w:p>
        </w:tc>
        <w:tc>
          <w:tcPr>
            <w:tcW w:w="670" w:type="dxa"/>
          </w:tcPr>
          <w:p>
            <w:pPr>
              <w:pStyle w:val="Compact"/>
              <w:jc w:val="left"/>
              <w:spacing w:before="20" w:after="20" w:line="220" w:lineRule="auto"/>
            </w:pPr>
            <w:r>
              <w:rPr>
                <w:sz w:val="15"/>
                <w:szCs w:val="15"/>
              </w:rPr>
              <w:t xml:space="preserve">9.0%</w:t>
            </w:r>
          </w:p>
        </w:tc>
        <w:tc>
          <w:tcPr>
            <w:tcW w:w="670" w:type="dxa"/>
          </w:tcPr>
          <w:p>
            <w:pPr>
              <w:pStyle w:val="Compact"/>
              <w:jc w:val="left"/>
              <w:spacing w:before="20" w:after="20" w:line="220" w:lineRule="auto"/>
            </w:pPr>
            <w:r>
              <w:rPr>
                <w:sz w:val="15"/>
                <w:szCs w:val="15"/>
              </w:rPr>
              <w:t xml:space="preserve">13.0%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Derived from the precedents cluster: Old Mutual 5.9 percent target and 7.3 percent delivered (PR-005, PR-013); Momentum Reset and Grow 7.6 percent (PR-041); Quilter 10.9 percent (PR-151); Phoenix 12.5 percent (PR-095); Aegon 13 percent (PR-113).</w:t>
            </w:r>
          </w:p>
        </w:tc>
      </w:tr>
      <w:tr>
        <w:tc>
          <w:tcPr>
            <w:tcW w:w="5924" w:type="dxa"/>
          </w:tcPr>
          <w:p>
            <w:pPr>
              <w:pStyle w:val="Compact"/>
              <w:jc w:val="left"/>
              <w:spacing w:before="20" w:after="20" w:line="220" w:lineRule="auto"/>
            </w:pPr>
            <w:r>
              <w:rPr>
                <w:sz w:val="15"/>
                <w:szCs w:val="15"/>
              </w:rPr>
              <w:t xml:space="preserve">Cost to achieve as a multiple of run-rate savings†</w:t>
            </w:r>
          </w:p>
        </w:tc>
        <w:tc>
          <w:tcPr>
            <w:tcW w:w="670" w:type="dxa"/>
          </w:tcPr>
          <w:p>
            <w:pPr>
              <w:pStyle w:val="Compact"/>
              <w:jc w:val="left"/>
              <w:spacing w:before="20" w:after="20" w:line="220" w:lineRule="auto"/>
            </w:pPr>
            <w:r>
              <w:rPr>
                <w:sz w:val="15"/>
                <w:szCs w:val="15"/>
              </w:rPr>
              <w:t xml:space="preserve">50.0%</w:t>
            </w:r>
          </w:p>
        </w:tc>
        <w:tc>
          <w:tcPr>
            <w:tcW w:w="670" w:type="dxa"/>
          </w:tcPr>
          <w:p>
            <w:pPr>
              <w:pStyle w:val="Compact"/>
              <w:jc w:val="left"/>
              <w:spacing w:before="20" w:after="20" w:line="220" w:lineRule="auto"/>
            </w:pPr>
            <w:r>
              <w:rPr>
                <w:sz w:val="15"/>
                <w:szCs w:val="15"/>
              </w:rPr>
              <w:t xml:space="preserve">1.00</w:t>
            </w:r>
          </w:p>
        </w:tc>
        <w:tc>
          <w:tcPr>
            <w:tcW w:w="670" w:type="dxa"/>
          </w:tcPr>
          <w:p>
            <w:pPr>
              <w:pStyle w:val="Compact"/>
              <w:jc w:val="left"/>
              <w:spacing w:before="20" w:after="20" w:line="220" w:lineRule="auto"/>
            </w:pPr>
            <w:r>
              <w:rPr>
                <w:sz w:val="15"/>
                <w:szCs w:val="15"/>
              </w:rPr>
              <w:t xml:space="preserve">1.80</w:t>
            </w:r>
          </w:p>
        </w:tc>
        <w:tc>
          <w:tcPr>
            <w:tcW w:w="670" w:type="dxa"/>
          </w:tcPr>
          <w:p>
            <w:pPr>
              <w:pStyle w:val="Compact"/>
              <w:jc w:val="left"/>
              <w:spacing w:before="20" w:after="20" w:line="220" w:lineRule="auto"/>
            </w:pPr>
            <w:r>
              <w:rPr>
                <w:sz w:val="15"/>
                <w:szCs w:val="15"/>
              </w:rPr>
              <w:t xml:space="preserve">ratio</w:t>
            </w:r>
          </w:p>
        </w:tc>
        <w:tc>
          <w:tcPr>
            <w:tcW w:w="5965" w:type="dxa"/>
          </w:tcPr>
          <w:p>
            <w:pPr>
              <w:pStyle w:val="Compact"/>
              <w:jc w:val="left"/>
              <w:spacing w:before="20" w:after="20" w:line="220" w:lineRule="auto"/>
            </w:pPr>
            <w:r>
              <w:rPr>
                <w:sz w:val="15"/>
                <w:szCs w:val="15"/>
              </w:rPr>
              <w:t xml:space="preserve">From precedents: 0.25x to 0.7x for headcount and procurement programmes (PR-009, PR-082, PR-076, PR-089); 1.5x to 2.0x where platforms or licences are consolidated (PR-116, PR-097, PR-158); 1.77x upper bound Prudential (PR-139).</w:t>
            </w:r>
          </w:p>
        </w:tc>
      </w:tr>
    </w:tbl>
    <w:p>
      <w:pPr>
        <w:pStyle w:val="BodyText"/>
      </w:pPr>
      <w:r>
        <w:t xml:space="preserve">Source: afs_cost_benchmark.xlsx, Normalisation tab section B.</w:t>
      </w:r>
    </w:p>
    <w:bookmarkEnd w:id="78"/>
    <w:bookmarkStart w:id="79" w:name="appendix-e.-verification-summary"/>
    <w:p>
      <w:pPr>
        <w:pStyle w:val="Heading2"/>
      </w:pPr>
      <w:r>
        <w:t xml:space="preserve">Appendix E. Verification summary</w:t>
      </w:r>
    </w:p>
    <w:p>
      <w:pPr>
        <w:pStyle w:val="FirstParagraph"/>
      </w:pPr>
      <w:r>
        <w:t xml:space="preserve">An independent pass recomputed every figure in the workbook and spot-checked 20 percent of the data points against the source pages. Of the 404 data_ids the workbook references, 81 were sampled with a fixed seed and traced to the stated page of the local copy of the document: 81 matched, none differed in sign or scale, none were missing. All 139 benchmark ratios and the 11 AFS-linked rows were recomputed from the raw values and the Normalisation inputs; the largest relative difference was below one part in a trillion. The 21 summary rows matched on count, median and both quartiles. The FY2025 pool lines, allocation shares and gap-sizing arithmetic agreed with the independent rebuild, and the 30 exchange-rate inputs matched the ECB downloads. In total 327 checks passed. Three labelling notes were raised and applied. The full report is</w:t>
      </w:r>
      <w:r>
        <w:t xml:space="preserve"> </w:t>
      </w:r>
      <w:r>
        <w:rPr>
          <w:rStyle w:val="VerbatimChar"/>
        </w:rPr>
        <w:t xml:space="preserve">verification_report.md</w:t>
      </w:r>
      <w:r>
        <w:t xml:space="preserve">.</w:t>
      </w:r>
    </w:p>
    <w:bookmarkEnd w:id="79"/>
    <w:bookmarkStart w:id="80" w:name="appendix-f.-source-log"/>
    <w:p>
      <w:pPr>
        <w:pStyle w:val="Heading2"/>
      </w:pPr>
      <w:r>
        <w:t xml:space="preserve">Appendix F. Source log</w:t>
      </w:r>
    </w:p>
    <w:tbl>
      <w:tblPr>
        <w:tblStyle w:val="Table"/>
        <w:tblLook w:firstRow="1" w:lastRow="0" w:firstColumn="0" w:lastColumn="0" w:noHBand="0" w:noVBand="0" w:val="0020"/>
        <w:jc w:val="start"/>
        <w:tblW w:w="14568" w:type="dxa"/>
        <w:tblLayout w:type="fixed"/>
      </w:tblPr>
      <w:tblGrid>
        <w:gridCol w:w="1550"/>
        <w:gridCol w:w="2001"/>
        <w:gridCol w:w="3554"/>
        <w:gridCol w:w="1636"/>
        <w:gridCol w:w="2273"/>
        <w:gridCol w:w="3554"/>
      </w:tblGrid>
      <w:tr>
        <w:trPr>
          <w:tblHeader w:val="true"/>
        </w:trPr>
        <w:tc>
          <w:tcPr>
            <w:tcW w:w="1550" w:type="dxa"/>
          </w:tcPr>
          <w:p>
            <w:pPr>
              <w:pStyle w:val="Compact"/>
              <w:jc w:val="left"/>
              <w:spacing w:before="20" w:after="20" w:line="220" w:lineRule="auto"/>
            </w:pPr>
            <w:r>
              <w:rPr>
                <w:sz w:val="15"/>
                <w:szCs w:val="15"/>
              </w:rPr>
              <w:t xml:space="preserve">Id</w:t>
            </w:r>
          </w:p>
        </w:tc>
        <w:tc>
          <w:tcPr>
            <w:tcW w:w="2001" w:type="dxa"/>
          </w:tcPr>
          <w:p>
            <w:pPr>
              <w:pStyle w:val="Compact"/>
              <w:jc w:val="left"/>
              <w:spacing w:before="20" w:after="20" w:line="220" w:lineRule="auto"/>
            </w:pPr>
            <w:r>
              <w:rPr>
                <w:sz w:val="15"/>
                <w:szCs w:val="15"/>
              </w:rPr>
              <w:t xml:space="preserve">Publisher</w:t>
            </w:r>
          </w:p>
        </w:tc>
        <w:tc>
          <w:tcPr>
            <w:tcW w:w="3554" w:type="dxa"/>
          </w:tcPr>
          <w:p>
            <w:pPr>
              <w:pStyle w:val="Compact"/>
              <w:jc w:val="left"/>
              <w:spacing w:before="20" w:after="20" w:line="220" w:lineRule="auto"/>
            </w:pPr>
            <w:r>
              <w:rPr>
                <w:sz w:val="15"/>
                <w:szCs w:val="15"/>
              </w:rPr>
              <w:t xml:space="preserve">Document</w:t>
            </w:r>
          </w:p>
        </w:tc>
        <w:tc>
          <w:tcPr>
            <w:tcW w:w="1636" w:type="dxa"/>
          </w:tcPr>
          <w:p>
            <w:pPr>
              <w:pStyle w:val="Compact"/>
              <w:jc w:val="left"/>
              <w:spacing w:before="20" w:after="20" w:line="220" w:lineRule="auto"/>
            </w:pPr>
            <w:r>
              <w:rPr>
                <w:sz w:val="15"/>
                <w:szCs w:val="15"/>
              </w:rPr>
              <w:t xml:space="preserve">Period</w:t>
            </w:r>
          </w:p>
        </w:tc>
        <w:tc>
          <w:tcPr>
            <w:tcW w:w="2273" w:type="dxa"/>
          </w:tcPr>
          <w:p>
            <w:pPr>
              <w:pStyle w:val="Compact"/>
              <w:jc w:val="left"/>
              <w:spacing w:before="20" w:after="20" w:line="220" w:lineRule="auto"/>
            </w:pPr>
            <w:r>
              <w:rPr>
                <w:sz w:val="15"/>
                <w:szCs w:val="15"/>
              </w:rPr>
              <w:t xml:space="preserve">Pages</w:t>
            </w:r>
          </w:p>
        </w:tc>
        <w:tc>
          <w:tcPr>
            <w:tcW w:w="3554" w:type="dxa"/>
          </w:tcPr>
          <w:p>
            <w:pPr>
              <w:pStyle w:val="Compact"/>
              <w:jc w:val="left"/>
              <w:spacing w:before="20" w:after="20" w:line="220" w:lineRule="auto"/>
            </w:pPr>
            <w:r>
              <w:rPr>
                <w:sz w:val="15"/>
                <w:szCs w:val="15"/>
              </w:rPr>
              <w:t xml:space="preserve">URL</w:t>
            </w:r>
          </w:p>
        </w:tc>
      </w:tr>
      <w:tr>
        <w:tc>
          <w:tcPr>
            <w:tcW w:w="1550" w:type="dxa"/>
          </w:tcPr>
          <w:p>
            <w:pPr>
              <w:pStyle w:val="Compact"/>
              <w:jc w:val="left"/>
              <w:spacing w:before="20" w:after="20" w:line="220" w:lineRule="auto"/>
            </w:pPr>
            <w:r>
              <w:rPr>
                <w:sz w:val="15"/>
                <w:szCs w:val="15"/>
              </w:rPr>
              <w:t xml:space="preserve">P1:S01</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Annual consolidated and separate financial statements (single page)</w:t>
            </w:r>
          </w:p>
        </w:tc>
        <w:tc>
          <w:tcPr>
            <w:tcW w:w="1636" w:type="dxa"/>
          </w:tcPr>
          <w:p>
            <w:pPr>
              <w:pStyle w:val="Compact"/>
              <w:jc w:val="left"/>
              <w:spacing w:before="20" w:after="20" w:line="220" w:lineRule="auto"/>
            </w:pPr>
            <w:r>
              <w:rPr>
                <w:sz w:val="15"/>
                <w:szCs w:val="15"/>
              </w:rPr>
              <w:t xml:space="preserve">FY ended 31 Dec 2025</w:t>
            </w:r>
          </w:p>
        </w:tc>
        <w:tc>
          <w:tcPr>
            <w:tcW w:w="2273" w:type="dxa"/>
          </w:tcPr>
          <w:p>
            <w:pPr>
              <w:pStyle w:val="Compact"/>
              <w:jc w:val="left"/>
              <w:spacing w:before="20" w:after="20" w:line="220" w:lineRule="auto"/>
            </w:pPr>
            <w:r>
              <w:rPr>
                <w:sz w:val="15"/>
                <w:szCs w:val="15"/>
              </w:rPr>
              <w:t xml:space="preserve">22, 63, 82, 86, 117, 146, 147, 151, 161,</w:t>
            </w:r>
          </w:p>
        </w:tc>
        <w:tc>
          <w:tcPr>
            <w:tcW w:w="3554" w:type="dxa"/>
          </w:tcPr>
          <w:p>
            <w:pPr>
              <w:pStyle w:val="Compact"/>
              <w:jc w:val="left"/>
              <w:spacing w:before="20" w:after="20" w:line="220" w:lineRule="auto"/>
            </w:pPr>
            <w:r>
              <w:rPr>
                <w:sz w:val="15"/>
                <w:szCs w:val="15"/>
              </w:rPr>
              <w:t xml:space="preserve">https://www.absa.africa/wp-content/uploads/2026/03/Absa-Group-Annual-Consolidated-and-Separate-Financial-State</w:t>
            </w:r>
          </w:p>
        </w:tc>
      </w:tr>
      <w:tr>
        <w:tc>
          <w:tcPr>
            <w:tcW w:w="1550" w:type="dxa"/>
          </w:tcPr>
          <w:p>
            <w:pPr>
              <w:pStyle w:val="Compact"/>
              <w:jc w:val="left"/>
              <w:spacing w:before="20" w:after="20" w:line="220" w:lineRule="auto"/>
            </w:pPr>
            <w:r>
              <w:rPr>
                <w:sz w:val="15"/>
                <w:szCs w:val="15"/>
              </w:rPr>
              <w:t xml:space="preserve">P1:S02</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Integrated Report 2025</w:t>
            </w:r>
          </w:p>
        </w:tc>
        <w:tc>
          <w:tcPr>
            <w:tcW w:w="1636" w:type="dxa"/>
          </w:tcPr>
          <w:p>
            <w:pPr>
              <w:pStyle w:val="Compact"/>
              <w:jc w:val="left"/>
              <w:spacing w:before="20" w:after="20" w:line="220" w:lineRule="auto"/>
            </w:pPr>
            <w:r>
              <w:rPr>
                <w:sz w:val="15"/>
                <w:szCs w:val="15"/>
              </w:rPr>
              <w:t xml:space="preserve">FY ended 31 Dec 2025</w:t>
            </w:r>
          </w:p>
        </w:tc>
        <w:tc>
          <w:tcPr>
            <w:tcW w:w="2273" w:type="dxa"/>
          </w:tcPr>
          <w:p>
            <w:pPr>
              <w:pStyle w:val="Compact"/>
              <w:jc w:val="left"/>
              <w:spacing w:before="20" w:after="20" w:line="220" w:lineRule="auto"/>
            </w:pPr>
            <w:r>
              <w:rPr>
                <w:sz w:val="15"/>
                <w:szCs w:val="15"/>
              </w:rPr>
              <w:t xml:space="preserve">10, 20</w:t>
            </w:r>
          </w:p>
        </w:tc>
        <w:tc>
          <w:tcPr>
            <w:tcW w:w="3554" w:type="dxa"/>
          </w:tcPr>
          <w:p>
            <w:pPr>
              <w:pStyle w:val="Compact"/>
              <w:jc w:val="left"/>
              <w:spacing w:before="20" w:after="20" w:line="220" w:lineRule="auto"/>
            </w:pPr>
            <w:r>
              <w:rPr>
                <w:sz w:val="15"/>
                <w:szCs w:val="15"/>
              </w:rPr>
              <w:t xml:space="preserve">https://www.absa.africa/wp-content/uploads/2026/04/Absa-Group-Limited-Integrated-Report.pdf</w:t>
            </w:r>
          </w:p>
        </w:tc>
      </w:tr>
      <w:tr>
        <w:tc>
          <w:tcPr>
            <w:tcW w:w="1550" w:type="dxa"/>
          </w:tcPr>
          <w:p>
            <w:pPr>
              <w:pStyle w:val="Compact"/>
              <w:jc w:val="left"/>
              <w:spacing w:before="20" w:after="20" w:line="220" w:lineRule="auto"/>
            </w:pPr>
            <w:r>
              <w:rPr>
                <w:sz w:val="15"/>
                <w:szCs w:val="15"/>
              </w:rPr>
              <w:t xml:space="preserve">P1:S03</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Interim results full SENS announcement (single page)</w:t>
            </w:r>
          </w:p>
        </w:tc>
        <w:tc>
          <w:tcPr>
            <w:tcW w:w="1636" w:type="dxa"/>
          </w:tcPr>
          <w:p>
            <w:pPr>
              <w:pStyle w:val="Compact"/>
              <w:jc w:val="left"/>
              <w:spacing w:before="20" w:after="20" w:line="220" w:lineRule="auto"/>
            </w:pPr>
            <w:r>
              <w:rPr>
                <w:sz w:val="15"/>
                <w:szCs w:val="15"/>
              </w:rPr>
              <w:t xml:space="preserve">6 months to 30 Jun 2026</w:t>
            </w:r>
          </w:p>
        </w:tc>
        <w:tc>
          <w:tcPr>
            <w:tcW w:w="2273" w:type="dxa"/>
          </w:tcPr>
          <w:p>
            <w:pPr>
              <w:pStyle w:val="Compact"/>
              <w:jc w:val="left"/>
              <w:spacing w:before="20" w:after="20" w:line="220" w:lineRule="auto"/>
            </w:pPr>
            <w:r>
              <w:rPr>
                <w:sz w:val="15"/>
                <w:szCs w:val="15"/>
              </w:rPr>
              <w:t xml:space="preserve">4, 6, 12, 43, 52</w:t>
            </w:r>
          </w:p>
        </w:tc>
        <w:tc>
          <w:tcPr>
            <w:tcW w:w="3554" w:type="dxa"/>
          </w:tcPr>
          <w:p>
            <w:pPr>
              <w:pStyle w:val="Compact"/>
              <w:jc w:val="left"/>
              <w:spacing w:before="20" w:after="20" w:line="220" w:lineRule="auto"/>
            </w:pPr>
            <w:r>
              <w:rPr>
                <w:sz w:val="15"/>
                <w:szCs w:val="15"/>
              </w:rPr>
              <w:t xml:space="preserve">https://www.absa.africa/wp-content/uploads/2026/08/Interim-results-Group-full-SENS-announcement-single-page.pd</w:t>
            </w:r>
          </w:p>
        </w:tc>
      </w:tr>
      <w:tr>
        <w:tc>
          <w:tcPr>
            <w:tcW w:w="1550" w:type="dxa"/>
          </w:tcPr>
          <w:p>
            <w:pPr>
              <w:pStyle w:val="Compact"/>
              <w:jc w:val="left"/>
              <w:spacing w:before="20" w:after="20" w:line="220" w:lineRule="auto"/>
            </w:pPr>
            <w:r>
              <w:rPr>
                <w:sz w:val="15"/>
                <w:szCs w:val="15"/>
              </w:rPr>
              <w:t xml:space="preserve">P1:S04</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Interim results investor presentation</w:t>
            </w:r>
          </w:p>
        </w:tc>
        <w:tc>
          <w:tcPr>
            <w:tcW w:w="1636" w:type="dxa"/>
          </w:tcPr>
          <w:p>
            <w:pPr>
              <w:pStyle w:val="Compact"/>
              <w:jc w:val="left"/>
              <w:spacing w:before="20" w:after="20" w:line="220" w:lineRule="auto"/>
            </w:pPr>
            <w:r>
              <w:rPr>
                <w:sz w:val="15"/>
                <w:szCs w:val="15"/>
              </w:rPr>
              <w:t xml:space="preserve">6 months to 30 Jun 2026</w:t>
            </w:r>
          </w:p>
        </w:tc>
        <w:tc>
          <w:tcPr>
            <w:tcW w:w="2273" w:type="dxa"/>
          </w:tcPr>
          <w:p>
            <w:pPr>
              <w:pStyle w:val="Compact"/>
              <w:jc w:val="left"/>
              <w:spacing w:before="20" w:after="20" w:line="220" w:lineRule="auto"/>
            </w:pPr>
            <w:r>
              <w:rPr>
                <w:sz w:val="15"/>
                <w:szCs w:val="15"/>
              </w:rPr>
              <w:t xml:space="preserve">28</w:t>
            </w:r>
          </w:p>
        </w:tc>
        <w:tc>
          <w:tcPr>
            <w:tcW w:w="3554" w:type="dxa"/>
          </w:tcPr>
          <w:p>
            <w:pPr>
              <w:pStyle w:val="Compact"/>
              <w:jc w:val="left"/>
              <w:spacing w:before="20" w:after="20" w:line="220" w:lineRule="auto"/>
            </w:pPr>
            <w:r>
              <w:rPr>
                <w:sz w:val="15"/>
                <w:szCs w:val="15"/>
              </w:rPr>
              <w:t xml:space="preserve">https://www.absa.africa/wp-content/uploads/2026/08/Interim-results-investor-presentation.pdf</w:t>
            </w:r>
          </w:p>
        </w:tc>
      </w:tr>
      <w:tr>
        <w:tc>
          <w:tcPr>
            <w:tcW w:w="1550" w:type="dxa"/>
          </w:tcPr>
          <w:p>
            <w:pPr>
              <w:pStyle w:val="Compact"/>
              <w:jc w:val="left"/>
              <w:spacing w:before="20" w:after="20" w:line="220" w:lineRule="auto"/>
            </w:pPr>
            <w:r>
              <w:rPr>
                <w:sz w:val="15"/>
                <w:szCs w:val="15"/>
              </w:rPr>
              <w:t xml:space="preserve">P1:S05</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Full year results investor presentation</w:t>
            </w:r>
          </w:p>
        </w:tc>
        <w:tc>
          <w:tcPr>
            <w:tcW w:w="1636" w:type="dxa"/>
          </w:tcPr>
          <w:p>
            <w:pPr>
              <w:pStyle w:val="Compact"/>
              <w:jc w:val="left"/>
              <w:spacing w:before="20" w:after="20" w:line="220" w:lineRule="auto"/>
            </w:pPr>
            <w:r>
              <w:rPr>
                <w:sz w:val="15"/>
                <w:szCs w:val="15"/>
              </w:rPr>
              <w:t xml:space="preserve">FY ended 31 Dec 2025</w:t>
            </w:r>
          </w:p>
        </w:tc>
        <w:tc>
          <w:tcPr>
            <w:tcW w:w="2273" w:type="dxa"/>
          </w:tcPr>
          <w:p>
            <w:pPr>
              <w:pStyle w:val="Compact"/>
              <w:jc w:val="left"/>
              <w:spacing w:before="20" w:after="20" w:line="220" w:lineRule="auto"/>
            </w:pPr>
            <w:r>
              <w:rPr>
                <w:sz w:val="15"/>
                <w:szCs w:val="15"/>
              </w:rPr>
              <w:t xml:space="preserve">23</w:t>
            </w:r>
          </w:p>
        </w:tc>
        <w:tc>
          <w:tcPr>
            <w:tcW w:w="3554" w:type="dxa"/>
          </w:tcPr>
          <w:p>
            <w:pPr>
              <w:pStyle w:val="Compact"/>
              <w:jc w:val="left"/>
              <w:spacing w:before="20" w:after="20" w:line="220" w:lineRule="auto"/>
            </w:pPr>
            <w:r>
              <w:rPr>
                <w:sz w:val="15"/>
                <w:szCs w:val="15"/>
              </w:rPr>
              <w:t xml:space="preserve">https://www.absa.africa/wp-content/uploads/2026/03/Full-year-results-investor-presentation.pdf</w:t>
            </w:r>
          </w:p>
        </w:tc>
      </w:tr>
      <w:tr>
        <w:tc>
          <w:tcPr>
            <w:tcW w:w="1550" w:type="dxa"/>
          </w:tcPr>
          <w:p>
            <w:pPr>
              <w:pStyle w:val="Compact"/>
              <w:jc w:val="left"/>
              <w:spacing w:before="20" w:after="20" w:line="220" w:lineRule="auto"/>
            </w:pPr>
            <w:r>
              <w:rPr>
                <w:sz w:val="15"/>
                <w:szCs w:val="15"/>
              </w:rPr>
              <w:t xml:space="preserve">P1:S06</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Interim results full SENS announcement (single page)</w:t>
            </w:r>
          </w:p>
        </w:tc>
        <w:tc>
          <w:tcPr>
            <w:tcW w:w="1636" w:type="dxa"/>
          </w:tcPr>
          <w:p>
            <w:pPr>
              <w:pStyle w:val="Compact"/>
              <w:jc w:val="left"/>
              <w:spacing w:before="20" w:after="20" w:line="220" w:lineRule="auto"/>
            </w:pPr>
            <w:r>
              <w:rPr>
                <w:sz w:val="15"/>
                <w:szCs w:val="15"/>
              </w:rPr>
              <w:t xml:space="preserve">6 months to 30 Jun 2025</w:t>
            </w:r>
          </w:p>
        </w:tc>
        <w:tc>
          <w:tcPr>
            <w:tcW w:w="2273" w:type="dxa"/>
          </w:tcPr>
          <w:p>
            <w:pPr>
              <w:pStyle w:val="Compact"/>
              <w:jc w:val="left"/>
              <w:spacing w:before="20" w:after="20" w:line="220" w:lineRule="auto"/>
            </w:pPr>
            <w:r>
              <w:rPr>
                <w:sz w:val="15"/>
                <w:szCs w:val="15"/>
              </w:rPr>
              <w:t xml:space="preserve">4, 5</w:t>
            </w:r>
          </w:p>
        </w:tc>
        <w:tc>
          <w:tcPr>
            <w:tcW w:w="3554" w:type="dxa"/>
          </w:tcPr>
          <w:p>
            <w:pPr>
              <w:pStyle w:val="Compact"/>
              <w:jc w:val="left"/>
              <w:spacing w:before="20" w:after="20" w:line="220" w:lineRule="auto"/>
            </w:pPr>
            <w:r>
              <w:rPr>
                <w:sz w:val="15"/>
                <w:szCs w:val="15"/>
              </w:rPr>
              <w:t xml:space="preserve">https://www.absa.africa/wp-content/uploads/2025/08/Interim-results-Group-full-SENS-announcement-single-page.pd</w:t>
            </w:r>
          </w:p>
        </w:tc>
      </w:tr>
      <w:tr>
        <w:tc>
          <w:tcPr>
            <w:tcW w:w="1550" w:type="dxa"/>
          </w:tcPr>
          <w:p>
            <w:pPr>
              <w:pStyle w:val="Compact"/>
              <w:jc w:val="left"/>
              <w:spacing w:before="20" w:after="20" w:line="220" w:lineRule="auto"/>
            </w:pPr>
            <w:r>
              <w:rPr>
                <w:sz w:val="15"/>
                <w:szCs w:val="15"/>
              </w:rPr>
              <w:t xml:space="preserve">P1:S07</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1H25 results presentation</w:t>
            </w:r>
          </w:p>
        </w:tc>
        <w:tc>
          <w:tcPr>
            <w:tcW w:w="1636" w:type="dxa"/>
          </w:tcPr>
          <w:p>
            <w:pPr>
              <w:pStyle w:val="Compact"/>
              <w:jc w:val="left"/>
              <w:spacing w:before="20" w:after="20" w:line="220" w:lineRule="auto"/>
            </w:pPr>
            <w:r>
              <w:rPr>
                <w:sz w:val="15"/>
                <w:szCs w:val="15"/>
              </w:rPr>
              <w:t xml:space="preserve">6 months to 30 Jun 2025</w:t>
            </w:r>
          </w:p>
        </w:tc>
        <w:tc>
          <w:tcPr>
            <w:tcW w:w="2273" w:type="dxa"/>
          </w:tcPr>
          <w:p>
            <w:pPr>
              <w:pStyle w:val="Compact"/>
              <w:jc w:val="left"/>
              <w:spacing w:before="20" w:after="20" w:line="220" w:lineRule="auto"/>
            </w:pPr>
            <w:r>
              <w:rPr>
                <w:sz w:val="15"/>
                <w:szCs w:val="15"/>
              </w:rPr>
              <w:t xml:space="preserve">9, 30</w:t>
            </w:r>
          </w:p>
        </w:tc>
        <w:tc>
          <w:tcPr>
            <w:tcW w:w="3554" w:type="dxa"/>
          </w:tcPr>
          <w:p>
            <w:pPr>
              <w:pStyle w:val="Compact"/>
              <w:jc w:val="left"/>
              <w:spacing w:before="20" w:after="20" w:line="220" w:lineRule="auto"/>
            </w:pPr>
            <w:r>
              <w:rPr>
                <w:sz w:val="15"/>
                <w:szCs w:val="15"/>
              </w:rPr>
              <w:t xml:space="preserve">https://www.absa.africa/wp-content/uploads/2025/08/Absa-Group-1H25-results-presentation.pdf</w:t>
            </w:r>
          </w:p>
        </w:tc>
      </w:tr>
      <w:tr>
        <w:tc>
          <w:tcPr>
            <w:tcW w:w="1550" w:type="dxa"/>
          </w:tcPr>
          <w:p>
            <w:pPr>
              <w:pStyle w:val="Compact"/>
              <w:jc w:val="left"/>
              <w:spacing w:before="20" w:after="20" w:line="220" w:lineRule="auto"/>
            </w:pPr>
            <w:r>
              <w:rPr>
                <w:sz w:val="15"/>
                <w:szCs w:val="15"/>
              </w:rPr>
              <w:t xml:space="preserve">P1:S08</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Full year results short form SENS announcement</w:t>
            </w:r>
          </w:p>
        </w:tc>
        <w:tc>
          <w:tcPr>
            <w:tcW w:w="1636" w:type="dxa"/>
          </w:tcPr>
          <w:p>
            <w:pPr>
              <w:pStyle w:val="Compact"/>
              <w:jc w:val="left"/>
              <w:spacing w:before="20" w:after="20" w:line="220" w:lineRule="auto"/>
            </w:pPr>
            <w:r>
              <w:rPr>
                <w:sz w:val="15"/>
                <w:szCs w:val="15"/>
              </w:rPr>
              <w:t xml:space="preserve">FY ended 31 Dec 2025</w:t>
            </w:r>
          </w:p>
        </w:tc>
        <w:tc>
          <w:tcPr>
            <w:tcW w:w="2273" w:type="dxa"/>
          </w:tcPr>
          <w:p>
            <w:pPr>
              <w:pStyle w:val="Compact"/>
              <w:jc w:val="left"/>
              <w:spacing w:before="20" w:after="20" w:line="220" w:lineRule="auto"/>
            </w:pPr>
            <w:r>
              <w:rPr>
                <w:sz w:val="15"/>
                <w:szCs w:val="15"/>
              </w:rPr>
              <w:t xml:space="preserve">1-2</w:t>
            </w:r>
          </w:p>
        </w:tc>
        <w:tc>
          <w:tcPr>
            <w:tcW w:w="3554" w:type="dxa"/>
          </w:tcPr>
          <w:p>
            <w:pPr>
              <w:pStyle w:val="Compact"/>
              <w:jc w:val="left"/>
              <w:spacing w:before="20" w:after="20" w:line="220" w:lineRule="auto"/>
            </w:pPr>
            <w:r>
              <w:rPr>
                <w:sz w:val="15"/>
                <w:szCs w:val="15"/>
              </w:rPr>
              <w:t xml:space="preserve">https://www.absa.africa/wp-content/uploads/2026/03/Full-year-results-Group-short-form-SENS-announcement.pdf</w:t>
            </w:r>
          </w:p>
        </w:tc>
      </w:tr>
      <w:tr>
        <w:tc>
          <w:tcPr>
            <w:tcW w:w="1550" w:type="dxa"/>
          </w:tcPr>
          <w:p>
            <w:pPr>
              <w:pStyle w:val="Compact"/>
              <w:jc w:val="left"/>
              <w:spacing w:before="20" w:after="20" w:line="220" w:lineRule="auto"/>
            </w:pPr>
            <w:r>
              <w:rPr>
                <w:sz w:val="15"/>
                <w:szCs w:val="15"/>
              </w:rPr>
              <w:t xml:space="preserve">P1:S09</w:t>
            </w:r>
          </w:p>
        </w:tc>
        <w:tc>
          <w:tcPr>
            <w:tcW w:w="2001" w:type="dxa"/>
          </w:tcPr>
          <w:p>
            <w:pPr>
              <w:pStyle w:val="Compact"/>
              <w:jc w:val="left"/>
              <w:spacing w:before="20" w:after="20" w:line="220" w:lineRule="auto"/>
            </w:pPr>
            <w:r>
              <w:rPr>
                <w:sz w:val="15"/>
                <w:szCs w:val="15"/>
              </w:rPr>
              <w:t xml:space="preserve">Prudential Authority (SARB)</w:t>
            </w:r>
          </w:p>
        </w:tc>
        <w:tc>
          <w:tcPr>
            <w:tcW w:w="3554" w:type="dxa"/>
          </w:tcPr>
          <w:p>
            <w:pPr>
              <w:pStyle w:val="Compact"/>
              <w:jc w:val="left"/>
              <w:spacing w:before="20" w:after="20" w:line="220" w:lineRule="auto"/>
            </w:pPr>
            <w:r>
              <w:rPr>
                <w:sz w:val="15"/>
                <w:szCs w:val="15"/>
              </w:rPr>
              <w:t xml:space="preserve">List of entities designated as part of Absa Financial Services Insurance Group</w:t>
            </w:r>
          </w:p>
        </w:tc>
        <w:tc>
          <w:tcPr>
            <w:tcW w:w="1636" w:type="dxa"/>
          </w:tcPr>
          <w:p>
            <w:pPr>
              <w:pStyle w:val="Compact"/>
              <w:jc w:val="left"/>
              <w:spacing w:before="20" w:after="20" w:line="220" w:lineRule="auto"/>
            </w:pPr>
            <w:r>
              <w:rPr>
                <w:sz w:val="15"/>
                <w:szCs w:val="15"/>
              </w:rPr>
              <w:t xml:space="preserve">Designation 30 Jan 2019</w:t>
            </w:r>
          </w:p>
        </w:tc>
        <w:tc>
          <w:tcPr>
            <w:tcW w:w="2273" w:type="dxa"/>
          </w:tcPr>
          <w:p>
            <w:pPr>
              <w:pStyle w:val="Compact"/>
              <w:jc w:val="left"/>
              <w:spacing w:before="20" w:after="20" w:line="220" w:lineRule="auto"/>
            </w:pPr>
            <w:r>
              <w:rPr>
                <w:sz w:val="15"/>
                <w:szCs w:val="15"/>
              </w:rPr>
              <w:t xml:space="preserve">1</w:t>
            </w:r>
          </w:p>
        </w:tc>
        <w:tc>
          <w:tcPr>
            <w:tcW w:w="3554" w:type="dxa"/>
          </w:tcPr>
          <w:p>
            <w:pPr>
              <w:pStyle w:val="Compact"/>
              <w:jc w:val="left"/>
              <w:spacing w:before="20" w:after="20" w:line="220" w:lineRule="auto"/>
            </w:pPr>
            <w:r>
              <w:rPr>
                <w:sz w:val="15"/>
                <w:szCs w:val="15"/>
              </w:rPr>
              <w:t xml:space="preserve">https://www.resbank.co.za/content/dam/sarb/what-we-do/prudential-regulation/pa-designated-entities/insurance/A</w:t>
            </w:r>
          </w:p>
        </w:tc>
      </w:tr>
      <w:tr>
        <w:tc>
          <w:tcPr>
            <w:tcW w:w="1550" w:type="dxa"/>
          </w:tcPr>
          <w:p>
            <w:pPr>
              <w:pStyle w:val="Compact"/>
              <w:jc w:val="left"/>
              <w:spacing w:before="20" w:after="20" w:line="220" w:lineRule="auto"/>
            </w:pPr>
            <w:r>
              <w:rPr>
                <w:sz w:val="15"/>
                <w:szCs w:val="15"/>
              </w:rPr>
              <w:t xml:space="preserve">P1:S10</w:t>
            </w:r>
          </w:p>
        </w:tc>
        <w:tc>
          <w:tcPr>
            <w:tcW w:w="2001" w:type="dxa"/>
          </w:tcPr>
          <w:p>
            <w:pPr>
              <w:pStyle w:val="Compact"/>
              <w:jc w:val="left"/>
              <w:spacing w:before="20" w:after="20" w:line="220" w:lineRule="auto"/>
            </w:pPr>
            <w:r>
              <w:rPr>
                <w:sz w:val="15"/>
                <w:szCs w:val="15"/>
              </w:rPr>
              <w:t xml:space="preserve">Prudential Authority (SARB)</w:t>
            </w:r>
          </w:p>
        </w:tc>
        <w:tc>
          <w:tcPr>
            <w:tcW w:w="3554" w:type="dxa"/>
          </w:tcPr>
          <w:p>
            <w:pPr>
              <w:pStyle w:val="Compact"/>
              <w:jc w:val="left"/>
              <w:spacing w:before="20" w:after="20" w:line="220" w:lineRule="auto"/>
            </w:pPr>
            <w:r>
              <w:rPr>
                <w:sz w:val="15"/>
                <w:szCs w:val="15"/>
              </w:rPr>
              <w:t xml:space="preserve">Administrative penalty order: Absa Insurance Company Limited</w:t>
            </w:r>
          </w:p>
        </w:tc>
        <w:tc>
          <w:tcPr>
            <w:tcW w:w="1636" w:type="dxa"/>
          </w:tcPr>
          <w:p>
            <w:pPr>
              <w:pStyle w:val="Compact"/>
              <w:jc w:val="left"/>
              <w:spacing w:before="20" w:after="20" w:line="220" w:lineRule="auto"/>
            </w:pPr>
            <w:r>
              <w:rPr>
                <w:sz w:val="15"/>
                <w:szCs w:val="15"/>
              </w:rPr>
              <w:t xml:space="preserve">Dated 31 Oct 2025</w:t>
            </w:r>
          </w:p>
        </w:tc>
        <w:tc>
          <w:tcPr>
            <w:tcW w:w="2273" w:type="dxa"/>
          </w:tcPr>
          <w:p>
            <w:pPr>
              <w:pStyle w:val="Compact"/>
              <w:jc w:val="left"/>
              <w:spacing w:before="20" w:after="20" w:line="220" w:lineRule="auto"/>
            </w:pPr>
            <w:r>
              <w:rPr>
                <w:sz w:val="15"/>
                <w:szCs w:val="15"/>
              </w:rPr>
              <w:t xml:space="preserve">1</w:t>
            </w:r>
          </w:p>
        </w:tc>
        <w:tc>
          <w:tcPr>
            <w:tcW w:w="3554" w:type="dxa"/>
          </w:tcPr>
          <w:p>
            <w:pPr>
              <w:pStyle w:val="Compact"/>
              <w:jc w:val="left"/>
              <w:spacing w:before="20" w:after="20" w:line="220" w:lineRule="auto"/>
            </w:pPr>
            <w:r>
              <w:rPr>
                <w:sz w:val="15"/>
                <w:szCs w:val="15"/>
              </w:rPr>
              <w:t xml:space="preserve">https://www.resbank.co.za/content/dam/sarb/what-we-do/prudential-regulation/financial-sector-regulation/2026/A</w:t>
            </w:r>
          </w:p>
        </w:tc>
      </w:tr>
      <w:tr>
        <w:tc>
          <w:tcPr>
            <w:tcW w:w="1550" w:type="dxa"/>
          </w:tcPr>
          <w:p>
            <w:pPr>
              <w:pStyle w:val="Compact"/>
              <w:jc w:val="left"/>
              <w:spacing w:before="20" w:after="20" w:line="220" w:lineRule="auto"/>
            </w:pPr>
            <w:r>
              <w:rPr>
                <w:sz w:val="15"/>
                <w:szCs w:val="15"/>
              </w:rPr>
              <w:t xml:space="preserve">P1:S11</w:t>
            </w:r>
          </w:p>
        </w:tc>
        <w:tc>
          <w:tcPr>
            <w:tcW w:w="2001" w:type="dxa"/>
          </w:tcPr>
          <w:p>
            <w:pPr>
              <w:pStyle w:val="Compact"/>
              <w:jc w:val="left"/>
              <w:spacing w:before="20" w:after="20" w:line="220" w:lineRule="auto"/>
            </w:pPr>
            <w:r>
              <w:rPr>
                <w:sz w:val="15"/>
                <w:szCs w:val="15"/>
              </w:rPr>
              <w:t xml:space="preserve">Prudential Authority (SARB)</w:t>
            </w:r>
          </w:p>
        </w:tc>
        <w:tc>
          <w:tcPr>
            <w:tcW w:w="3554" w:type="dxa"/>
          </w:tcPr>
          <w:p>
            <w:pPr>
              <w:pStyle w:val="Compact"/>
              <w:jc w:val="left"/>
              <w:spacing w:before="20" w:after="20" w:line="220" w:lineRule="auto"/>
            </w:pPr>
            <w:r>
              <w:rPr>
                <w:sz w:val="15"/>
                <w:szCs w:val="15"/>
              </w:rPr>
              <w:t xml:space="preserve">Certificate of licensing: ABSA Life Limited (IN0013) with Annexure A classes</w:t>
            </w:r>
          </w:p>
        </w:tc>
        <w:tc>
          <w:tcPr>
            <w:tcW w:w="1636" w:type="dxa"/>
          </w:tcPr>
          <w:p>
            <w:pPr>
              <w:pStyle w:val="Compact"/>
              <w:jc w:val="left"/>
              <w:spacing w:before="20" w:after="20" w:line="220" w:lineRule="auto"/>
            </w:pPr>
            <w:r>
              <w:rPr>
                <w:sz w:val="15"/>
                <w:szCs w:val="15"/>
              </w:rPr>
              <w:t xml:space="preserve">Issued 1 Oct 2020</w:t>
            </w:r>
          </w:p>
        </w:tc>
        <w:tc>
          <w:tcPr>
            <w:tcW w:w="2273" w:type="dxa"/>
          </w:tcPr>
          <w:p>
            <w:pPr>
              <w:pStyle w:val="Compact"/>
              <w:jc w:val="left"/>
              <w:spacing w:before="20" w:after="20" w:line="220" w:lineRule="auto"/>
            </w:pPr>
            <w:r>
              <w:rPr>
                <w:sz w:val="15"/>
                <w:szCs w:val="15"/>
              </w:rPr>
              <w:t xml:space="preserve">1-2</w:t>
            </w:r>
          </w:p>
        </w:tc>
        <w:tc>
          <w:tcPr>
            <w:tcW w:w="3554" w:type="dxa"/>
          </w:tcPr>
          <w:p>
            <w:pPr>
              <w:pStyle w:val="Compact"/>
              <w:jc w:val="left"/>
              <w:spacing w:before="20" w:after="20" w:line="220" w:lineRule="auto"/>
            </w:pPr>
            <w:r>
              <w:rPr>
                <w:sz w:val="15"/>
                <w:szCs w:val="15"/>
              </w:rPr>
              <w:t xml:space="preserve">https://www.resbank.co.za/content/dam/sarb/publications/prudential-authority/pa-insurers/pa-post-insurance/act</w:t>
            </w:r>
          </w:p>
        </w:tc>
      </w:tr>
      <w:tr>
        <w:tc>
          <w:tcPr>
            <w:tcW w:w="1550" w:type="dxa"/>
          </w:tcPr>
          <w:p>
            <w:pPr>
              <w:pStyle w:val="Compact"/>
              <w:jc w:val="left"/>
              <w:spacing w:before="20" w:after="20" w:line="220" w:lineRule="auto"/>
            </w:pPr>
            <w:r>
              <w:rPr>
                <w:sz w:val="15"/>
                <w:szCs w:val="15"/>
              </w:rPr>
              <w:t xml:space="preserve">P1:S12</w:t>
            </w:r>
          </w:p>
        </w:tc>
        <w:tc>
          <w:tcPr>
            <w:tcW w:w="2001" w:type="dxa"/>
          </w:tcPr>
          <w:p>
            <w:pPr>
              <w:pStyle w:val="Compact"/>
              <w:jc w:val="left"/>
              <w:spacing w:before="20" w:after="20" w:line="220" w:lineRule="auto"/>
            </w:pPr>
            <w:r>
              <w:rPr>
                <w:sz w:val="15"/>
                <w:szCs w:val="15"/>
              </w:rPr>
              <w:t xml:space="preserve">Prudential Authority (SARB)</w:t>
            </w:r>
          </w:p>
        </w:tc>
        <w:tc>
          <w:tcPr>
            <w:tcW w:w="3554" w:type="dxa"/>
          </w:tcPr>
          <w:p>
            <w:pPr>
              <w:pStyle w:val="Compact"/>
              <w:jc w:val="left"/>
              <w:spacing w:before="20" w:after="20" w:line="220" w:lineRule="auto"/>
            </w:pPr>
            <w:r>
              <w:rPr>
                <w:sz w:val="15"/>
                <w:szCs w:val="15"/>
              </w:rPr>
              <w:t xml:space="preserve">Notice: licensing of ABSA Risk Transfer Insurance Company Limited as a cell captive insure</w:t>
            </w:r>
          </w:p>
        </w:tc>
        <w:tc>
          <w:tcPr>
            <w:tcW w:w="1636" w:type="dxa"/>
          </w:tcPr>
          <w:p>
            <w:pPr>
              <w:pStyle w:val="Compact"/>
              <w:jc w:val="left"/>
              <w:spacing w:before="20" w:after="20" w:line="220" w:lineRule="auto"/>
            </w:pPr>
            <w:r>
              <w:rPr>
                <w:sz w:val="15"/>
                <w:szCs w:val="15"/>
              </w:rPr>
              <w:t xml:space="preserve">Effective 18 Jan 2024; notice</w:t>
            </w:r>
          </w:p>
        </w:tc>
        <w:tc>
          <w:tcPr>
            <w:tcW w:w="2273" w:type="dxa"/>
          </w:tcPr>
          <w:p>
            <w:pPr>
              <w:pStyle w:val="Compact"/>
              <w:jc w:val="left"/>
              <w:spacing w:before="20" w:after="20" w:line="220" w:lineRule="auto"/>
            </w:pPr>
            <w:r>
              <w:rPr>
                <w:sz w:val="15"/>
                <w:szCs w:val="15"/>
              </w:rPr>
              <w:t xml:space="preserve">1-2</w:t>
            </w:r>
          </w:p>
        </w:tc>
        <w:tc>
          <w:tcPr>
            <w:tcW w:w="3554" w:type="dxa"/>
          </w:tcPr>
          <w:p>
            <w:pPr>
              <w:pStyle w:val="Compact"/>
              <w:jc w:val="left"/>
              <w:spacing w:before="20" w:after="20" w:line="220" w:lineRule="auto"/>
            </w:pPr>
            <w:r>
              <w:rPr>
                <w:sz w:val="15"/>
                <w:szCs w:val="15"/>
              </w:rPr>
              <w:t xml:space="preserve">https://www.resbank.co.za/content/dam/sarb/publications/prudential-authority/pa-insurers/pa-post-insurance/act</w:t>
            </w:r>
          </w:p>
        </w:tc>
      </w:tr>
      <w:tr>
        <w:tc>
          <w:tcPr>
            <w:tcW w:w="1550" w:type="dxa"/>
          </w:tcPr>
          <w:p>
            <w:pPr>
              <w:pStyle w:val="Compact"/>
              <w:jc w:val="left"/>
              <w:spacing w:before="20" w:after="20" w:line="220" w:lineRule="auto"/>
            </w:pPr>
            <w:r>
              <w:rPr>
                <w:sz w:val="15"/>
                <w:szCs w:val="15"/>
              </w:rPr>
              <w:t xml:space="preserve">P1:S13</w:t>
            </w:r>
          </w:p>
        </w:tc>
        <w:tc>
          <w:tcPr>
            <w:tcW w:w="2001" w:type="dxa"/>
          </w:tcPr>
          <w:p>
            <w:pPr>
              <w:pStyle w:val="Compact"/>
              <w:jc w:val="left"/>
              <w:spacing w:before="20" w:after="20" w:line="220" w:lineRule="auto"/>
            </w:pPr>
            <w:r>
              <w:rPr>
                <w:sz w:val="15"/>
                <w:szCs w:val="15"/>
              </w:rPr>
              <w:t xml:space="preserve">Prudential Authority (SARB)</w:t>
            </w:r>
          </w:p>
        </w:tc>
        <w:tc>
          <w:tcPr>
            <w:tcW w:w="3554" w:type="dxa"/>
          </w:tcPr>
          <w:p>
            <w:pPr>
              <w:pStyle w:val="Compact"/>
              <w:jc w:val="left"/>
              <w:spacing w:before="20" w:after="20" w:line="220" w:lineRule="auto"/>
            </w:pPr>
            <w:r>
              <w:rPr>
                <w:sz w:val="15"/>
                <w:szCs w:val="15"/>
              </w:rPr>
              <w:t xml:space="preserve">Selected South African insurance sector data</w:t>
            </w:r>
          </w:p>
        </w:tc>
        <w:tc>
          <w:tcPr>
            <w:tcW w:w="1636" w:type="dxa"/>
          </w:tcPr>
          <w:p>
            <w:pPr>
              <w:pStyle w:val="Compact"/>
              <w:jc w:val="left"/>
              <w:spacing w:before="20" w:after="20" w:line="220" w:lineRule="auto"/>
            </w:pPr>
            <w:r>
              <w:rPr>
                <w:sz w:val="15"/>
                <w:szCs w:val="15"/>
              </w:rPr>
              <w:t xml:space="preserve">December 2025</w:t>
            </w:r>
          </w:p>
        </w:tc>
        <w:tc>
          <w:tcPr>
            <w:tcW w:w="2273" w:type="dxa"/>
          </w:tcPr>
          <w:p>
            <w:pPr>
              <w:pStyle w:val="Compact"/>
              <w:jc w:val="left"/>
              <w:spacing w:before="20" w:after="20" w:line="220" w:lineRule="auto"/>
            </w:pPr>
            <w:r>
              <w:rPr>
                <w:sz w:val="15"/>
                <w:szCs w:val="15"/>
              </w:rPr>
              <w:t xml:space="preserve">3-4</w:t>
            </w:r>
          </w:p>
        </w:tc>
        <w:tc>
          <w:tcPr>
            <w:tcW w:w="3554" w:type="dxa"/>
          </w:tcPr>
          <w:p>
            <w:pPr>
              <w:pStyle w:val="Compact"/>
              <w:jc w:val="left"/>
              <w:spacing w:before="20" w:after="20" w:line="220" w:lineRule="auto"/>
            </w:pPr>
            <w:r>
              <w:rPr>
                <w:sz w:val="15"/>
                <w:szCs w:val="15"/>
              </w:rPr>
              <w:t xml:space="preserve">https://www.resbank.co.za/content/dam/sarb/publications/prudential-authority/pa-selected-south-african-insuran</w:t>
            </w:r>
          </w:p>
        </w:tc>
      </w:tr>
      <w:tr>
        <w:tc>
          <w:tcPr>
            <w:tcW w:w="1550" w:type="dxa"/>
          </w:tcPr>
          <w:p>
            <w:pPr>
              <w:pStyle w:val="Compact"/>
              <w:jc w:val="left"/>
              <w:spacing w:before="20" w:after="20" w:line="220" w:lineRule="auto"/>
            </w:pPr>
            <w:r>
              <w:rPr>
                <w:sz w:val="15"/>
                <w:szCs w:val="15"/>
              </w:rPr>
              <w:t xml:space="preserve">P1:S14</w:t>
            </w:r>
          </w:p>
        </w:tc>
        <w:tc>
          <w:tcPr>
            <w:tcW w:w="2001" w:type="dxa"/>
          </w:tcPr>
          <w:p>
            <w:pPr>
              <w:pStyle w:val="Compact"/>
              <w:jc w:val="left"/>
              <w:spacing w:before="20" w:after="20" w:line="220" w:lineRule="auto"/>
            </w:pPr>
            <w:r>
              <w:rPr>
                <w:sz w:val="15"/>
                <w:szCs w:val="15"/>
              </w:rPr>
              <w:t xml:space="preserve">Absa Bank Limited</w:t>
            </w:r>
          </w:p>
        </w:tc>
        <w:tc>
          <w:tcPr>
            <w:tcW w:w="3554" w:type="dxa"/>
          </w:tcPr>
          <w:p>
            <w:pPr>
              <w:pStyle w:val="Compact"/>
              <w:jc w:val="left"/>
              <w:spacing w:before="20" w:after="20" w:line="220" w:lineRule="auto"/>
            </w:pPr>
            <w:r>
              <w:rPr>
                <w:sz w:val="15"/>
                <w:szCs w:val="15"/>
              </w:rPr>
              <w:t xml:space="preserve">Absa Life Limited product page (licence and FSP numbers)</w:t>
            </w:r>
          </w:p>
        </w:tc>
        <w:tc>
          <w:tcPr>
            <w:tcW w:w="1636" w:type="dxa"/>
          </w:tcPr>
          <w:p>
            <w:pPr>
              <w:pStyle w:val="Compact"/>
              <w:jc w:val="left"/>
              <w:spacing w:before="20" w:after="20" w:line="220" w:lineRule="auto"/>
            </w:pPr>
            <w:r>
              <w:rPr>
                <w:sz w:val="15"/>
                <w:szCs w:val="15"/>
              </w:rPr>
              <w:t xml:space="preserve">Accessed 2026</w:t>
            </w:r>
          </w:p>
        </w:tc>
        <w:tc>
          <w:tcPr>
            <w:tcW w:w="2273" w:type="dxa"/>
          </w:tcPr>
          <w:p>
            <w:pPr>
              <w:pStyle w:val="Compact"/>
              <w:jc w:val="left"/>
              <w:spacing w:before="20" w:after="20" w:line="220" w:lineRule="auto"/>
            </w:pPr>
            <w:r>
              <w:rPr>
                <w:sz w:val="15"/>
                <w:szCs w:val="15"/>
              </w:rPr>
              <w:t xml:space="preserve">web page</w:t>
            </w:r>
          </w:p>
        </w:tc>
        <w:tc>
          <w:tcPr>
            <w:tcW w:w="3554" w:type="dxa"/>
          </w:tcPr>
          <w:p>
            <w:pPr>
              <w:pStyle w:val="Compact"/>
              <w:jc w:val="left"/>
              <w:spacing w:before="20" w:after="20" w:line="220" w:lineRule="auto"/>
            </w:pPr>
            <w:r>
              <w:rPr>
                <w:sz w:val="15"/>
                <w:szCs w:val="15"/>
              </w:rPr>
              <w:t xml:space="preserve">https://www.absa.co.za/personal/insure/my-life/absa-life-limited/</w:t>
            </w:r>
          </w:p>
        </w:tc>
      </w:tr>
      <w:tr>
        <w:tc>
          <w:tcPr>
            <w:tcW w:w="1550" w:type="dxa"/>
          </w:tcPr>
          <w:p>
            <w:pPr>
              <w:pStyle w:val="Compact"/>
              <w:jc w:val="left"/>
              <w:spacing w:before="20" w:after="20" w:line="220" w:lineRule="auto"/>
            </w:pPr>
            <w:r>
              <w:rPr>
                <w:sz w:val="15"/>
                <w:szCs w:val="15"/>
              </w:rPr>
              <w:t xml:space="preserve">P1:S15</w:t>
            </w:r>
          </w:p>
        </w:tc>
        <w:tc>
          <w:tcPr>
            <w:tcW w:w="2001" w:type="dxa"/>
          </w:tcPr>
          <w:p>
            <w:pPr>
              <w:pStyle w:val="Compact"/>
              <w:jc w:val="left"/>
              <w:spacing w:before="20" w:after="20" w:line="220" w:lineRule="auto"/>
            </w:pPr>
            <w:r>
              <w:rPr>
                <w:sz w:val="15"/>
                <w:szCs w:val="15"/>
              </w:rPr>
              <w:t xml:space="preserve">Absa Bank Limited</w:t>
            </w:r>
          </w:p>
        </w:tc>
        <w:tc>
          <w:tcPr>
            <w:tcW w:w="3554" w:type="dxa"/>
          </w:tcPr>
          <w:p>
            <w:pPr>
              <w:pStyle w:val="Compact"/>
              <w:jc w:val="left"/>
              <w:spacing w:before="20" w:after="20" w:line="220" w:lineRule="auto"/>
            </w:pPr>
            <w:r>
              <w:rPr>
                <w:sz w:val="15"/>
                <w:szCs w:val="15"/>
              </w:rPr>
              <w:t xml:space="preserve">Instant Life product page</w:t>
            </w:r>
          </w:p>
        </w:tc>
        <w:tc>
          <w:tcPr>
            <w:tcW w:w="1636" w:type="dxa"/>
          </w:tcPr>
          <w:p>
            <w:pPr>
              <w:pStyle w:val="Compact"/>
              <w:jc w:val="left"/>
              <w:spacing w:before="20" w:after="20" w:line="220" w:lineRule="auto"/>
            </w:pPr>
            <w:r>
              <w:rPr>
                <w:sz w:val="15"/>
                <w:szCs w:val="15"/>
              </w:rPr>
              <w:t xml:space="preserve">Accessed 2026</w:t>
            </w:r>
          </w:p>
        </w:tc>
        <w:tc>
          <w:tcPr>
            <w:tcW w:w="2273" w:type="dxa"/>
          </w:tcPr>
          <w:p>
            <w:pPr>
              <w:pStyle w:val="Compact"/>
              <w:jc w:val="left"/>
              <w:spacing w:before="20" w:after="20" w:line="220" w:lineRule="auto"/>
            </w:pPr>
            <w:r>
              <w:rPr>
                <w:sz w:val="15"/>
                <w:szCs w:val="15"/>
              </w:rPr>
              <w:t xml:space="preserve">web page</w:t>
            </w:r>
          </w:p>
        </w:tc>
        <w:tc>
          <w:tcPr>
            <w:tcW w:w="3554" w:type="dxa"/>
          </w:tcPr>
          <w:p>
            <w:pPr>
              <w:pStyle w:val="Compact"/>
              <w:jc w:val="left"/>
              <w:spacing w:before="20" w:after="20" w:line="220" w:lineRule="auto"/>
            </w:pPr>
            <w:r>
              <w:rPr>
                <w:sz w:val="15"/>
                <w:szCs w:val="15"/>
              </w:rPr>
              <w:t xml:space="preserve">https://www.absa.co.za/personal/insure/my-life/instant-life/</w:t>
            </w:r>
          </w:p>
        </w:tc>
      </w:tr>
      <w:tr>
        <w:tc>
          <w:tcPr>
            <w:tcW w:w="1550" w:type="dxa"/>
          </w:tcPr>
          <w:p>
            <w:pPr>
              <w:pStyle w:val="Compact"/>
              <w:jc w:val="left"/>
              <w:spacing w:before="20" w:after="20" w:line="220" w:lineRule="auto"/>
            </w:pPr>
            <w:r>
              <w:rPr>
                <w:sz w:val="15"/>
                <w:szCs w:val="15"/>
              </w:rPr>
              <w:t xml:space="preserve">P1:S16</w:t>
            </w:r>
          </w:p>
        </w:tc>
        <w:tc>
          <w:tcPr>
            <w:tcW w:w="2001" w:type="dxa"/>
          </w:tcPr>
          <w:p>
            <w:pPr>
              <w:pStyle w:val="Compact"/>
              <w:jc w:val="left"/>
              <w:spacing w:before="20" w:after="20" w:line="220" w:lineRule="auto"/>
            </w:pPr>
            <w:r>
              <w:rPr>
                <w:sz w:val="15"/>
                <w:szCs w:val="15"/>
              </w:rPr>
              <w:t xml:space="preserve">Absa Bank Limited</w:t>
            </w:r>
          </w:p>
        </w:tc>
        <w:tc>
          <w:tcPr>
            <w:tcW w:w="3554" w:type="dxa"/>
          </w:tcPr>
          <w:p>
            <w:pPr>
              <w:pStyle w:val="Compact"/>
              <w:jc w:val="left"/>
              <w:spacing w:before="20" w:after="20" w:line="220" w:lineRule="auto"/>
            </w:pPr>
            <w:r>
              <w:rPr>
                <w:sz w:val="15"/>
                <w:szCs w:val="15"/>
              </w:rPr>
              <w:t xml:space="preserve">Financial advisers page</w:t>
            </w:r>
          </w:p>
        </w:tc>
        <w:tc>
          <w:tcPr>
            <w:tcW w:w="1636" w:type="dxa"/>
          </w:tcPr>
          <w:p>
            <w:pPr>
              <w:pStyle w:val="Compact"/>
              <w:jc w:val="left"/>
              <w:spacing w:before="20" w:after="20" w:line="220" w:lineRule="auto"/>
            </w:pPr>
            <w:r>
              <w:rPr>
                <w:sz w:val="15"/>
                <w:szCs w:val="15"/>
              </w:rPr>
              <w:t xml:space="preserve">Accessed 2026</w:t>
            </w:r>
          </w:p>
        </w:tc>
        <w:tc>
          <w:tcPr>
            <w:tcW w:w="2273" w:type="dxa"/>
          </w:tcPr>
          <w:p>
            <w:pPr>
              <w:pStyle w:val="Compact"/>
              <w:jc w:val="left"/>
              <w:spacing w:before="20" w:after="20" w:line="220" w:lineRule="auto"/>
            </w:pPr>
            <w:r>
              <w:rPr>
                <w:sz w:val="15"/>
                <w:szCs w:val="15"/>
              </w:rPr>
              <w:t xml:space="preserve">web page</w:t>
            </w:r>
          </w:p>
        </w:tc>
        <w:tc>
          <w:tcPr>
            <w:tcW w:w="3554" w:type="dxa"/>
          </w:tcPr>
          <w:p>
            <w:pPr>
              <w:pStyle w:val="Compact"/>
              <w:jc w:val="left"/>
              <w:spacing w:before="20" w:after="20" w:line="220" w:lineRule="auto"/>
            </w:pPr>
            <w:r>
              <w:rPr>
                <w:sz w:val="15"/>
                <w:szCs w:val="15"/>
              </w:rPr>
              <w:t xml:space="preserve">https://absa.co.za/personal/financial-advisers</w:t>
            </w:r>
          </w:p>
        </w:tc>
      </w:tr>
      <w:tr>
        <w:tc>
          <w:tcPr>
            <w:tcW w:w="1550" w:type="dxa"/>
          </w:tcPr>
          <w:p>
            <w:pPr>
              <w:pStyle w:val="Compact"/>
              <w:jc w:val="left"/>
              <w:spacing w:before="20" w:after="20" w:line="220" w:lineRule="auto"/>
            </w:pPr>
            <w:r>
              <w:rPr>
                <w:sz w:val="15"/>
                <w:szCs w:val="15"/>
              </w:rPr>
              <w:t xml:space="preserve">P1:S17</w:t>
            </w:r>
          </w:p>
        </w:tc>
        <w:tc>
          <w:tcPr>
            <w:tcW w:w="2001" w:type="dxa"/>
          </w:tcPr>
          <w:p>
            <w:pPr>
              <w:pStyle w:val="Compact"/>
              <w:jc w:val="left"/>
              <w:spacing w:before="20" w:after="20" w:line="220" w:lineRule="auto"/>
            </w:pPr>
            <w:r>
              <w:rPr>
                <w:sz w:val="15"/>
                <w:szCs w:val="15"/>
              </w:rPr>
              <w:t xml:space="preserve">Absa Investment Management Services</w:t>
            </w:r>
          </w:p>
        </w:tc>
        <w:tc>
          <w:tcPr>
            <w:tcW w:w="3554" w:type="dxa"/>
          </w:tcPr>
          <w:p>
            <w:pPr>
              <w:pStyle w:val="Compact"/>
              <w:jc w:val="left"/>
              <w:spacing w:before="20" w:after="20" w:line="220" w:lineRule="auto"/>
            </w:pPr>
            <w:r>
              <w:rPr>
                <w:sz w:val="15"/>
                <w:szCs w:val="15"/>
              </w:rPr>
              <w:t xml:space="preserve">Application form footer (FSP 524; registration 1980/002425/07)</w:t>
            </w:r>
          </w:p>
        </w:tc>
        <w:tc>
          <w:tcPr>
            <w:tcW w:w="1636" w:type="dxa"/>
          </w:tcPr>
          <w:p>
            <w:pPr>
              <w:pStyle w:val="Compact"/>
              <w:jc w:val="left"/>
              <w:spacing w:before="20" w:after="20" w:line="220" w:lineRule="auto"/>
            </w:pPr>
            <w:r>
              <w:rPr>
                <w:sz w:val="15"/>
                <w:szCs w:val="15"/>
              </w:rPr>
              <w:t xml:space="preserve">Undated</w:t>
            </w:r>
          </w:p>
        </w:tc>
        <w:tc>
          <w:tcPr>
            <w:tcW w:w="2273" w:type="dxa"/>
          </w:tcPr>
          <w:p>
            <w:pPr>
              <w:pStyle w:val="Compact"/>
              <w:jc w:val="left"/>
              <w:spacing w:before="20" w:after="20" w:line="220" w:lineRule="auto"/>
            </w:pPr>
            <w:r>
              <w:rPr>
                <w:sz w:val="15"/>
                <w:szCs w:val="15"/>
              </w:rPr>
              <w:t xml:space="preserve">footer</w:t>
            </w:r>
          </w:p>
        </w:tc>
        <w:tc>
          <w:tcPr>
            <w:tcW w:w="3554" w:type="dxa"/>
          </w:tcPr>
          <w:p>
            <w:pPr>
              <w:pStyle w:val="Compact"/>
              <w:jc w:val="left"/>
              <w:spacing w:before="20" w:after="20" w:line="220" w:lineRule="auto"/>
            </w:pPr>
            <w:r>
              <w:rPr>
                <w:sz w:val="15"/>
                <w:szCs w:val="15"/>
              </w:rPr>
              <w:t xml:space="preserve">https://ss.absa.co.za/assets/calendar-docs/0506acba-a35e-11e9-99f6-0242ac110004_sep_App%20Form%20Absa-5313.pdf</w:t>
            </w:r>
          </w:p>
        </w:tc>
      </w:tr>
      <w:tr>
        <w:tc>
          <w:tcPr>
            <w:tcW w:w="1550" w:type="dxa"/>
          </w:tcPr>
          <w:p>
            <w:pPr>
              <w:pStyle w:val="Compact"/>
              <w:jc w:val="left"/>
              <w:spacing w:before="20" w:after="20" w:line="220" w:lineRule="auto"/>
            </w:pPr>
            <w:r>
              <w:rPr>
                <w:sz w:val="15"/>
                <w:szCs w:val="15"/>
              </w:rPr>
              <w:t xml:space="preserve">P1:S18</w:t>
            </w:r>
          </w:p>
        </w:tc>
        <w:tc>
          <w:tcPr>
            <w:tcW w:w="2001" w:type="dxa"/>
          </w:tcPr>
          <w:p>
            <w:pPr>
              <w:pStyle w:val="Compact"/>
              <w:jc w:val="left"/>
              <w:spacing w:before="20" w:after="20" w:line="220" w:lineRule="auto"/>
            </w:pPr>
            <w:r>
              <w:rPr>
                <w:sz w:val="15"/>
                <w:szCs w:val="15"/>
              </w:rPr>
              <w:t xml:space="preserve">Profile Media</w:t>
            </w:r>
          </w:p>
        </w:tc>
        <w:tc>
          <w:tcPr>
            <w:tcW w:w="3554" w:type="dxa"/>
          </w:tcPr>
          <w:p>
            <w:pPr>
              <w:pStyle w:val="Compact"/>
              <w:jc w:val="left"/>
              <w:spacing w:before="20" w:after="20" w:line="220" w:lineRule="auto"/>
            </w:pPr>
            <w:r>
              <w:rPr>
                <w:sz w:val="15"/>
                <w:szCs w:val="15"/>
              </w:rPr>
              <w:t xml:space="preserve">Profile’s Stock Exchange Handbook (JSE members)</w:t>
            </w:r>
          </w:p>
        </w:tc>
        <w:tc>
          <w:tcPr>
            <w:tcW w:w="1636" w:type="dxa"/>
          </w:tcPr>
          <w:p>
            <w:pPr>
              <w:pStyle w:val="Compact"/>
              <w:jc w:val="left"/>
              <w:spacing w:before="20" w:after="20" w:line="220" w:lineRule="auto"/>
            </w:pPr>
            <w:r>
              <w:rPr>
                <w:sz w:val="15"/>
                <w:szCs w:val="15"/>
              </w:rPr>
              <w:t xml:space="preserve">2020-2022 issues</w:t>
            </w:r>
          </w:p>
        </w:tc>
        <w:tc>
          <w:tcPr>
            <w:tcW w:w="2273" w:type="dxa"/>
          </w:tcPr>
          <w:p>
            <w:pPr>
              <w:pStyle w:val="Compact"/>
              <w:jc w:val="left"/>
              <w:spacing w:before="20" w:after="20" w:line="220" w:lineRule="auto"/>
            </w:pPr>
            <w:r>
              <w:rPr>
                <w:sz w:val="15"/>
                <w:szCs w:val="15"/>
              </w:rPr>
              <w:t xml:space="preserve">page 9</w:t>
            </w:r>
          </w:p>
        </w:tc>
        <w:tc>
          <w:tcPr>
            <w:tcW w:w="3554" w:type="dxa"/>
          </w:tcPr>
          <w:p>
            <w:pPr>
              <w:pStyle w:val="Compact"/>
              <w:jc w:val="left"/>
              <w:spacing w:before="20" w:after="20" w:line="220" w:lineRule="auto"/>
            </w:pPr>
            <w:r>
              <w:rPr>
                <w:sz w:val="15"/>
                <w:szCs w:val="15"/>
              </w:rPr>
              <w:t xml:space="preserve">https://profile.co.za/shb/2022-1/files/basic-html/page9.html</w:t>
            </w:r>
          </w:p>
        </w:tc>
      </w:tr>
      <w:tr>
        <w:tc>
          <w:tcPr>
            <w:tcW w:w="1550" w:type="dxa"/>
          </w:tcPr>
          <w:p>
            <w:pPr>
              <w:pStyle w:val="Compact"/>
              <w:jc w:val="left"/>
              <w:spacing w:before="20" w:after="20" w:line="220" w:lineRule="auto"/>
            </w:pPr>
            <w:r>
              <w:rPr>
                <w:sz w:val="15"/>
                <w:szCs w:val="15"/>
              </w:rPr>
              <w:t xml:space="preserve">P1:S19</w:t>
            </w:r>
          </w:p>
        </w:tc>
        <w:tc>
          <w:tcPr>
            <w:tcW w:w="2001" w:type="dxa"/>
          </w:tcPr>
          <w:p>
            <w:pPr>
              <w:pStyle w:val="Compact"/>
              <w:jc w:val="left"/>
              <w:spacing w:before="20" w:after="20" w:line="220" w:lineRule="auto"/>
            </w:pPr>
            <w:r>
              <w:rPr>
                <w:sz w:val="15"/>
                <w:szCs w:val="15"/>
              </w:rPr>
              <w:t xml:space="preserve">JSE / Sanlam / Absa</w:t>
            </w:r>
          </w:p>
        </w:tc>
        <w:tc>
          <w:tcPr>
            <w:tcW w:w="3554" w:type="dxa"/>
          </w:tcPr>
          <w:p>
            <w:pPr>
              <w:pStyle w:val="Compact"/>
              <w:jc w:val="left"/>
              <w:spacing w:before="20" w:after="20" w:line="220" w:lineRule="auto"/>
            </w:pPr>
            <w:r>
              <w:rPr>
                <w:sz w:val="15"/>
                <w:szCs w:val="15"/>
              </w:rPr>
              <w:t xml:space="preserve">SENS: Sanlam and Absa to combine investment management businesses</w:t>
            </w:r>
          </w:p>
        </w:tc>
        <w:tc>
          <w:tcPr>
            <w:tcW w:w="1636" w:type="dxa"/>
          </w:tcPr>
          <w:p>
            <w:pPr>
              <w:pStyle w:val="Compact"/>
              <w:jc w:val="left"/>
              <w:spacing w:before="20" w:after="20" w:line="220" w:lineRule="auto"/>
            </w:pPr>
            <w:r>
              <w:rPr>
                <w:sz w:val="15"/>
                <w:szCs w:val="15"/>
              </w:rPr>
              <w:t xml:space="preserve">5 Oct 2021</w:t>
            </w:r>
          </w:p>
        </w:tc>
        <w:tc>
          <w:tcPr>
            <w:tcW w:w="2273" w:type="dxa"/>
          </w:tcPr>
          <w:p>
            <w:pPr>
              <w:pStyle w:val="Compact"/>
              <w:jc w:val="left"/>
              <w:spacing w:before="20" w:after="20" w:line="220" w:lineRule="auto"/>
            </w:pPr>
            <w:r>
              <w:rPr>
                <w:sz w:val="15"/>
                <w:szCs w:val="15"/>
              </w:rPr>
              <w:t xml:space="preserve">all</w:t>
            </w:r>
          </w:p>
        </w:tc>
        <w:tc>
          <w:tcPr>
            <w:tcW w:w="3554" w:type="dxa"/>
          </w:tcPr>
          <w:p>
            <w:pPr>
              <w:pStyle w:val="Compact"/>
              <w:jc w:val="left"/>
              <w:spacing w:before="20" w:after="20" w:line="220" w:lineRule="auto"/>
            </w:pPr>
            <w:r>
              <w:rPr>
                <w:sz w:val="15"/>
                <w:szCs w:val="15"/>
              </w:rPr>
              <w:t xml:space="preserve">https://senspdf.jse.co.za/documents/SENS_20211005_S452071.pdf</w:t>
            </w:r>
          </w:p>
        </w:tc>
      </w:tr>
      <w:tr>
        <w:tc>
          <w:tcPr>
            <w:tcW w:w="1550" w:type="dxa"/>
          </w:tcPr>
          <w:p>
            <w:pPr>
              <w:pStyle w:val="Compact"/>
              <w:jc w:val="left"/>
              <w:spacing w:before="20" w:after="20" w:line="220" w:lineRule="auto"/>
            </w:pPr>
            <w:r>
              <w:rPr>
                <w:sz w:val="15"/>
                <w:szCs w:val="15"/>
              </w:rPr>
              <w:t xml:space="preserve">P1:S20</w:t>
            </w:r>
          </w:p>
        </w:tc>
        <w:tc>
          <w:tcPr>
            <w:tcW w:w="2001" w:type="dxa"/>
          </w:tcPr>
          <w:p>
            <w:pPr>
              <w:pStyle w:val="Compact"/>
              <w:jc w:val="left"/>
              <w:spacing w:before="20" w:after="20" w:line="220" w:lineRule="auto"/>
            </w:pPr>
            <w:r>
              <w:rPr>
                <w:sz w:val="15"/>
                <w:szCs w:val="15"/>
              </w:rPr>
              <w:t xml:space="preserve">FAnews</w:t>
            </w:r>
          </w:p>
        </w:tc>
        <w:tc>
          <w:tcPr>
            <w:tcW w:w="3554" w:type="dxa"/>
          </w:tcPr>
          <w:p>
            <w:pPr>
              <w:pStyle w:val="Compact"/>
              <w:jc w:val="left"/>
              <w:spacing w:before="20" w:after="20" w:line="220" w:lineRule="auto"/>
            </w:pPr>
            <w:r>
              <w:rPr>
                <w:sz w:val="15"/>
                <w:szCs w:val="15"/>
              </w:rPr>
              <w:t xml:space="preserve">Glacier by Sanlam completes merger with Absa’s market LISP business</w:t>
            </w:r>
          </w:p>
        </w:tc>
        <w:tc>
          <w:tcPr>
            <w:tcW w:w="1636" w:type="dxa"/>
          </w:tcPr>
          <w:p>
            <w:pPr>
              <w:pStyle w:val="Compact"/>
              <w:jc w:val="left"/>
              <w:spacing w:before="20" w:after="20" w:line="220" w:lineRule="auto"/>
            </w:pPr>
            <w:r>
              <w:rPr>
                <w:sz w:val="15"/>
                <w:szCs w:val="15"/>
              </w:rPr>
              <w:t xml:space="preserve">1 Nov 2023</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https://www.fanews.co.za/article/investments/8/general/1133/glacier-by-sanlam-completes-merger-with-the-absa-s</w:t>
            </w:r>
          </w:p>
        </w:tc>
      </w:tr>
      <w:tr>
        <w:tc>
          <w:tcPr>
            <w:tcW w:w="1550" w:type="dxa"/>
          </w:tcPr>
          <w:p>
            <w:pPr>
              <w:pStyle w:val="Compact"/>
              <w:jc w:val="left"/>
              <w:spacing w:before="20" w:after="20" w:line="220" w:lineRule="auto"/>
            </w:pPr>
            <w:r>
              <w:rPr>
                <w:sz w:val="15"/>
                <w:szCs w:val="15"/>
              </w:rPr>
              <w:t xml:space="preserve">P1:S21</w:t>
            </w:r>
          </w:p>
        </w:tc>
        <w:tc>
          <w:tcPr>
            <w:tcW w:w="2001" w:type="dxa"/>
          </w:tcPr>
          <w:p>
            <w:pPr>
              <w:pStyle w:val="Compact"/>
              <w:jc w:val="left"/>
              <w:spacing w:before="20" w:after="20" w:line="220" w:lineRule="auto"/>
            </w:pPr>
            <w:r>
              <w:rPr>
                <w:sz w:val="15"/>
                <w:szCs w:val="15"/>
              </w:rPr>
              <w:t xml:space="preserve">Moonstone</w:t>
            </w:r>
          </w:p>
        </w:tc>
        <w:tc>
          <w:tcPr>
            <w:tcW w:w="3554" w:type="dxa"/>
          </w:tcPr>
          <w:p>
            <w:pPr>
              <w:pStyle w:val="Compact"/>
              <w:jc w:val="left"/>
              <w:spacing w:before="20" w:after="20" w:line="220" w:lineRule="auto"/>
            </w:pPr>
            <w:r>
              <w:rPr>
                <w:sz w:val="15"/>
                <w:szCs w:val="15"/>
              </w:rPr>
              <w:t xml:space="preserve">Absa to sell LISP business to Glacier as part of deal with Sanlam</w:t>
            </w:r>
          </w:p>
        </w:tc>
        <w:tc>
          <w:tcPr>
            <w:tcW w:w="1636" w:type="dxa"/>
          </w:tcPr>
          <w:p>
            <w:pPr>
              <w:pStyle w:val="Compact"/>
              <w:jc w:val="left"/>
              <w:spacing w:before="20" w:after="20" w:line="220" w:lineRule="auto"/>
            </w:pPr>
            <w:r>
              <w:rPr>
                <w:sz w:val="15"/>
                <w:szCs w:val="15"/>
              </w:rPr>
              <w:t xml:space="preserve">11 Oct 2021</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https://www.moonstone.co.za/absa-to-sell-lisp-business-to-glacier-as-part-of-deal-with-sanlam/</w:t>
            </w:r>
          </w:p>
        </w:tc>
      </w:tr>
      <w:tr>
        <w:tc>
          <w:tcPr>
            <w:tcW w:w="1550" w:type="dxa"/>
          </w:tcPr>
          <w:p>
            <w:pPr>
              <w:pStyle w:val="Compact"/>
              <w:jc w:val="left"/>
              <w:spacing w:before="20" w:after="20" w:line="220" w:lineRule="auto"/>
            </w:pPr>
            <w:r>
              <w:rPr>
                <w:sz w:val="15"/>
                <w:szCs w:val="15"/>
              </w:rPr>
              <w:t xml:space="preserve">P1:S22</w:t>
            </w:r>
          </w:p>
        </w:tc>
        <w:tc>
          <w:tcPr>
            <w:tcW w:w="2001" w:type="dxa"/>
          </w:tcPr>
          <w:p>
            <w:pPr>
              <w:pStyle w:val="Compact"/>
              <w:jc w:val="left"/>
              <w:spacing w:before="20" w:after="20" w:line="220" w:lineRule="auto"/>
            </w:pPr>
            <w:r>
              <w:rPr>
                <w:sz w:val="15"/>
                <w:szCs w:val="15"/>
              </w:rPr>
              <w:t xml:space="preserve">The Citizen / Moonstone</w:t>
            </w:r>
          </w:p>
        </w:tc>
        <w:tc>
          <w:tcPr>
            <w:tcW w:w="3554" w:type="dxa"/>
          </w:tcPr>
          <w:p>
            <w:pPr>
              <w:pStyle w:val="Compact"/>
              <w:jc w:val="left"/>
              <w:spacing w:before="20" w:after="20" w:line="220" w:lineRule="auto"/>
            </w:pPr>
            <w:r>
              <w:rPr>
                <w:sz w:val="15"/>
                <w:szCs w:val="15"/>
              </w:rPr>
              <w:t xml:space="preserve">Absa closes R75bn Money Market Fund</w:t>
            </w:r>
          </w:p>
        </w:tc>
        <w:tc>
          <w:tcPr>
            <w:tcW w:w="1636" w:type="dxa"/>
          </w:tcPr>
          <w:p>
            <w:pPr>
              <w:pStyle w:val="Compact"/>
              <w:jc w:val="left"/>
              <w:spacing w:before="20" w:after="20" w:line="220" w:lineRule="auto"/>
            </w:pPr>
            <w:r>
              <w:rPr>
                <w:sz w:val="15"/>
                <w:szCs w:val="15"/>
              </w:rPr>
              <w:t xml:space="preserve">Jul 2021</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https://www.citizen.co.za/business/absa-closes-r75bn-money-market-fund</w:t>
            </w:r>
          </w:p>
        </w:tc>
      </w:tr>
      <w:tr>
        <w:tc>
          <w:tcPr>
            <w:tcW w:w="1550" w:type="dxa"/>
          </w:tcPr>
          <w:p>
            <w:pPr>
              <w:pStyle w:val="Compact"/>
              <w:jc w:val="left"/>
              <w:spacing w:before="20" w:after="20" w:line="220" w:lineRule="auto"/>
            </w:pPr>
            <w:r>
              <w:rPr>
                <w:sz w:val="15"/>
                <w:szCs w:val="15"/>
              </w:rPr>
              <w:t xml:space="preserve">P1:S23</w:t>
            </w:r>
          </w:p>
        </w:tc>
        <w:tc>
          <w:tcPr>
            <w:tcW w:w="2001" w:type="dxa"/>
          </w:tcPr>
          <w:p>
            <w:pPr>
              <w:pStyle w:val="Compact"/>
              <w:jc w:val="left"/>
              <w:spacing w:before="20" w:after="20" w:line="220" w:lineRule="auto"/>
            </w:pPr>
            <w:r>
              <w:rPr>
                <w:sz w:val="15"/>
                <w:szCs w:val="15"/>
              </w:rPr>
              <w:t xml:space="preserve">Hollard</w:t>
            </w:r>
          </w:p>
        </w:tc>
        <w:tc>
          <w:tcPr>
            <w:tcW w:w="3554" w:type="dxa"/>
          </w:tcPr>
          <w:p>
            <w:pPr>
              <w:pStyle w:val="Compact"/>
              <w:jc w:val="left"/>
              <w:spacing w:before="20" w:after="20" w:line="220" w:lineRule="auto"/>
            </w:pPr>
            <w:r>
              <w:rPr>
                <w:sz w:val="15"/>
                <w:szCs w:val="15"/>
              </w:rPr>
              <w:t xml:space="preserve">Hollard to buy Absa’s insurance businesses in Mozambique Botswana and Zambia</w:t>
            </w:r>
          </w:p>
        </w:tc>
        <w:tc>
          <w:tcPr>
            <w:tcW w:w="1636" w:type="dxa"/>
          </w:tcPr>
          <w:p>
            <w:pPr>
              <w:pStyle w:val="Compact"/>
              <w:jc w:val="left"/>
              <w:spacing w:before="20" w:after="20" w:line="220" w:lineRule="auto"/>
            </w:pPr>
            <w:r>
              <w:rPr>
                <w:sz w:val="15"/>
                <w:szCs w:val="15"/>
              </w:rPr>
              <w:t xml:space="preserve">2024-2025</w:t>
            </w:r>
          </w:p>
        </w:tc>
        <w:tc>
          <w:tcPr>
            <w:tcW w:w="2273" w:type="dxa"/>
          </w:tcPr>
          <w:p>
            <w:pPr>
              <w:pStyle w:val="Compact"/>
              <w:jc w:val="left"/>
              <w:spacing w:before="20" w:after="20" w:line="220" w:lineRule="auto"/>
            </w:pPr>
            <w:r>
              <w:rPr>
                <w:sz w:val="15"/>
                <w:szCs w:val="15"/>
              </w:rPr>
              <w:t xml:space="preserve">press release</w:t>
            </w:r>
          </w:p>
        </w:tc>
        <w:tc>
          <w:tcPr>
            <w:tcW w:w="3554" w:type="dxa"/>
          </w:tcPr>
          <w:p>
            <w:pPr>
              <w:pStyle w:val="Compact"/>
              <w:jc w:val="left"/>
              <w:spacing w:before="20" w:after="20" w:line="220" w:lineRule="auto"/>
            </w:pPr>
            <w:r>
              <w:rPr>
                <w:sz w:val="15"/>
                <w:szCs w:val="15"/>
              </w:rPr>
              <w:t xml:space="preserve">https://www.hollard.co.za/media-centre/press-releases/hollard-to-buy-absas-insurance-businesses</w:t>
            </w:r>
          </w:p>
        </w:tc>
      </w:tr>
      <w:tr>
        <w:tc>
          <w:tcPr>
            <w:tcW w:w="1550" w:type="dxa"/>
          </w:tcPr>
          <w:p>
            <w:pPr>
              <w:pStyle w:val="Compact"/>
              <w:jc w:val="left"/>
              <w:spacing w:before="20" w:after="20" w:line="220" w:lineRule="auto"/>
            </w:pPr>
            <w:r>
              <w:rPr>
                <w:sz w:val="15"/>
                <w:szCs w:val="15"/>
              </w:rPr>
              <w:t xml:space="preserve">P1:S24</w:t>
            </w:r>
          </w:p>
        </w:tc>
        <w:tc>
          <w:tcPr>
            <w:tcW w:w="2001" w:type="dxa"/>
          </w:tcPr>
          <w:p>
            <w:pPr>
              <w:pStyle w:val="Compact"/>
              <w:jc w:val="left"/>
              <w:spacing w:before="20" w:after="20" w:line="220" w:lineRule="auto"/>
            </w:pPr>
            <w:r>
              <w:rPr>
                <w:sz w:val="15"/>
                <w:szCs w:val="15"/>
              </w:rPr>
              <w:t xml:space="preserve">Khusoko</w:t>
            </w:r>
          </w:p>
        </w:tc>
        <w:tc>
          <w:tcPr>
            <w:tcW w:w="3554" w:type="dxa"/>
          </w:tcPr>
          <w:p>
            <w:pPr>
              <w:pStyle w:val="Compact"/>
              <w:jc w:val="left"/>
              <w:spacing w:before="20" w:after="20" w:line="220" w:lineRule="auto"/>
            </w:pPr>
            <w:r>
              <w:rPr>
                <w:sz w:val="15"/>
                <w:szCs w:val="15"/>
              </w:rPr>
              <w:t xml:space="preserve">Absa First Assurance Kenya stake sale</w:t>
            </w:r>
          </w:p>
        </w:tc>
        <w:tc>
          <w:tcPr>
            <w:tcW w:w="1636" w:type="dxa"/>
          </w:tcPr>
          <w:p>
            <w:pPr>
              <w:pStyle w:val="Compact"/>
              <w:jc w:val="left"/>
              <w:spacing w:before="20" w:after="20" w:line="220" w:lineRule="auto"/>
            </w:pPr>
            <w:r>
              <w:rPr>
                <w:sz w:val="15"/>
                <w:szCs w:val="15"/>
              </w:rPr>
              <w:t xml:space="preserve">13 Aug 2026</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https://khusoko.com/2026/08/13/absa-first-assurance-kenya-stake-sale/</w:t>
            </w:r>
          </w:p>
        </w:tc>
      </w:tr>
      <w:tr>
        <w:tc>
          <w:tcPr>
            <w:tcW w:w="1550" w:type="dxa"/>
          </w:tcPr>
          <w:p>
            <w:pPr>
              <w:pStyle w:val="Compact"/>
              <w:jc w:val="left"/>
              <w:spacing w:before="20" w:after="20" w:line="220" w:lineRule="auto"/>
            </w:pPr>
            <w:r>
              <w:rPr>
                <w:sz w:val="15"/>
                <w:szCs w:val="15"/>
              </w:rPr>
              <w:t xml:space="preserve">P1:S25</w:t>
            </w:r>
          </w:p>
        </w:tc>
        <w:tc>
          <w:tcPr>
            <w:tcW w:w="2001" w:type="dxa"/>
          </w:tcPr>
          <w:p>
            <w:pPr>
              <w:pStyle w:val="Compact"/>
              <w:jc w:val="left"/>
              <w:spacing w:before="20" w:after="20" w:line="220" w:lineRule="auto"/>
            </w:pPr>
            <w:r>
              <w:rPr>
                <w:sz w:val="15"/>
                <w:szCs w:val="15"/>
              </w:rPr>
              <w:t xml:space="preserve">Business Daily Africa</w:t>
            </w:r>
          </w:p>
        </w:tc>
        <w:tc>
          <w:tcPr>
            <w:tcW w:w="3554" w:type="dxa"/>
          </w:tcPr>
          <w:p>
            <w:pPr>
              <w:pStyle w:val="Compact"/>
              <w:jc w:val="left"/>
              <w:spacing w:before="20" w:after="20" w:line="220" w:lineRule="auto"/>
            </w:pPr>
            <w:r>
              <w:rPr>
                <w:sz w:val="15"/>
                <w:szCs w:val="15"/>
              </w:rPr>
              <w:t xml:space="preserve">Mudavadi group to acquire insurance firms from Absa</w:t>
            </w:r>
          </w:p>
        </w:tc>
        <w:tc>
          <w:tcPr>
            <w:tcW w:w="1636" w:type="dxa"/>
          </w:tcPr>
          <w:p>
            <w:pPr>
              <w:pStyle w:val="Compact"/>
              <w:jc w:val="left"/>
              <w:spacing w:before="20" w:after="20" w:line="220" w:lineRule="auto"/>
            </w:pPr>
            <w:r>
              <w:rPr>
                <w:sz w:val="15"/>
                <w:szCs w:val="15"/>
              </w:rPr>
              <w:t xml:space="preserve">Aug 2026</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https://www.businessdailyafrica.com/bd/corporate/companies/mudavadi-group-to-acquire-insurance-firms-from-absa</w:t>
            </w:r>
          </w:p>
        </w:tc>
      </w:tr>
      <w:tr>
        <w:tc>
          <w:tcPr>
            <w:tcW w:w="1550" w:type="dxa"/>
          </w:tcPr>
          <w:p>
            <w:pPr>
              <w:pStyle w:val="Compact"/>
              <w:jc w:val="left"/>
              <w:spacing w:before="20" w:after="20" w:line="220" w:lineRule="auto"/>
            </w:pPr>
            <w:r>
              <w:rPr>
                <w:sz w:val="15"/>
                <w:szCs w:val="15"/>
              </w:rPr>
              <w:t xml:space="preserve">P1:S26</w:t>
            </w:r>
          </w:p>
        </w:tc>
        <w:tc>
          <w:tcPr>
            <w:tcW w:w="2001" w:type="dxa"/>
          </w:tcPr>
          <w:p>
            <w:pPr>
              <w:pStyle w:val="Compact"/>
              <w:jc w:val="left"/>
              <w:spacing w:before="20" w:after="20" w:line="220" w:lineRule="auto"/>
            </w:pPr>
            <w:r>
              <w:rPr>
                <w:sz w:val="15"/>
                <w:szCs w:val="15"/>
              </w:rPr>
              <w:t xml:space="preserve">Absa Bank Limited</w:t>
            </w:r>
          </w:p>
        </w:tc>
        <w:tc>
          <w:tcPr>
            <w:tcW w:w="3554" w:type="dxa"/>
          </w:tcPr>
          <w:p>
            <w:pPr>
              <w:pStyle w:val="Compact"/>
              <w:jc w:val="left"/>
              <w:spacing w:before="20" w:after="20" w:line="220" w:lineRule="auto"/>
            </w:pPr>
            <w:r>
              <w:rPr>
                <w:sz w:val="15"/>
                <w:szCs w:val="15"/>
              </w:rPr>
              <w:t xml:space="preserve">Notice of transfer of policies from Guardrisk Life to Absa Life</w:t>
            </w:r>
          </w:p>
        </w:tc>
        <w:tc>
          <w:tcPr>
            <w:tcW w:w="1636" w:type="dxa"/>
          </w:tcPr>
          <w:p>
            <w:pPr>
              <w:pStyle w:val="Compact"/>
              <w:jc w:val="left"/>
              <w:spacing w:before="20" w:after="20" w:line="220" w:lineRule="auto"/>
            </w:pPr>
            <w:r>
              <w:rPr>
                <w:sz w:val="15"/>
                <w:szCs w:val="15"/>
              </w:rPr>
              <w:t xml:space="preserve">16 Jan 2020 and 27 Jan 2021</w:t>
            </w:r>
          </w:p>
        </w:tc>
        <w:tc>
          <w:tcPr>
            <w:tcW w:w="2273" w:type="dxa"/>
          </w:tcPr>
          <w:p>
            <w:pPr>
              <w:pStyle w:val="Compact"/>
              <w:jc w:val="left"/>
              <w:spacing w:before="20" w:after="20" w:line="220" w:lineRule="auto"/>
            </w:pPr>
            <w:r>
              <w:rPr>
                <w:sz w:val="15"/>
                <w:szCs w:val="15"/>
              </w:rPr>
              <w:t xml:space="preserve">notice</w:t>
            </w:r>
          </w:p>
        </w:tc>
        <w:tc>
          <w:tcPr>
            <w:tcW w:w="3554" w:type="dxa"/>
          </w:tcPr>
          <w:p>
            <w:pPr>
              <w:pStyle w:val="Compact"/>
              <w:jc w:val="left"/>
              <w:spacing w:before="20" w:after="20" w:line="220" w:lineRule="auto"/>
            </w:pPr>
            <w:r>
              <w:rPr>
                <w:sz w:val="15"/>
                <w:szCs w:val="15"/>
              </w:rPr>
              <w:t xml:space="preserve">https://www.absa.co.za/media-centre/press-statements/2020/absa-notice-of-transfer-of-policies-guardrisk-life-t</w:t>
            </w:r>
          </w:p>
        </w:tc>
      </w:tr>
      <w:tr>
        <w:tc>
          <w:tcPr>
            <w:tcW w:w="1550" w:type="dxa"/>
          </w:tcPr>
          <w:p>
            <w:pPr>
              <w:pStyle w:val="Compact"/>
              <w:jc w:val="left"/>
              <w:spacing w:before="20" w:after="20" w:line="220" w:lineRule="auto"/>
            </w:pPr>
            <w:r>
              <w:rPr>
                <w:sz w:val="15"/>
                <w:szCs w:val="15"/>
              </w:rPr>
              <w:t xml:space="preserve">P1:S27</w:t>
            </w:r>
          </w:p>
        </w:tc>
        <w:tc>
          <w:tcPr>
            <w:tcW w:w="2001" w:type="dxa"/>
          </w:tcPr>
          <w:p>
            <w:pPr>
              <w:pStyle w:val="Compact"/>
              <w:jc w:val="left"/>
              <w:spacing w:before="20" w:after="20" w:line="220" w:lineRule="auto"/>
            </w:pPr>
            <w:r>
              <w:rPr>
                <w:sz w:val="15"/>
                <w:szCs w:val="15"/>
              </w:rPr>
              <w:t xml:space="preserve">KPMG South Africa</w:t>
            </w:r>
          </w:p>
        </w:tc>
        <w:tc>
          <w:tcPr>
            <w:tcW w:w="3554" w:type="dxa"/>
          </w:tcPr>
          <w:p>
            <w:pPr>
              <w:pStyle w:val="Compact"/>
              <w:jc w:val="left"/>
              <w:spacing w:before="20" w:after="20" w:line="220" w:lineRule="auto"/>
            </w:pPr>
            <w:r>
              <w:rPr>
                <w:sz w:val="15"/>
                <w:szCs w:val="15"/>
              </w:rPr>
              <w:t xml:space="preserve">The South African Insurance Industry Survey 2025</w:t>
            </w:r>
          </w:p>
        </w:tc>
        <w:tc>
          <w:tcPr>
            <w:tcW w:w="1636" w:type="dxa"/>
          </w:tcPr>
          <w:p>
            <w:pPr>
              <w:pStyle w:val="Compact"/>
              <w:jc w:val="left"/>
              <w:spacing w:before="20" w:after="20" w:line="220" w:lineRule="auto"/>
            </w:pPr>
            <w:r>
              <w:rPr>
                <w:sz w:val="15"/>
                <w:szCs w:val="15"/>
              </w:rPr>
              <w:t xml:space="preserve">Published 16 Oct 2025</w:t>
            </w:r>
          </w:p>
        </w:tc>
        <w:tc>
          <w:tcPr>
            <w:tcW w:w="2273" w:type="dxa"/>
          </w:tcPr>
          <w:p>
            <w:pPr>
              <w:pStyle w:val="Compact"/>
              <w:jc w:val="left"/>
              <w:spacing w:before="20" w:after="20" w:line="220" w:lineRule="auto"/>
            </w:pPr>
            <w:r>
              <w:rPr>
                <w:sz w:val="15"/>
                <w:szCs w:val="15"/>
              </w:rPr>
              <w:t xml:space="preserve">not yet used</w:t>
            </w:r>
          </w:p>
        </w:tc>
        <w:tc>
          <w:tcPr>
            <w:tcW w:w="3554" w:type="dxa"/>
          </w:tcPr>
          <w:p>
            <w:pPr>
              <w:pStyle w:val="Compact"/>
              <w:jc w:val="left"/>
              <w:spacing w:before="20" w:after="20" w:line="220" w:lineRule="auto"/>
            </w:pPr>
            <w:r>
              <w:rPr>
                <w:sz w:val="15"/>
                <w:szCs w:val="15"/>
              </w:rPr>
              <w:t xml:space="preserve">https://assets.kpmg.com/content/dam/kpmg/za/pdf/2025/Insurance%20Survey%202025_16102025.pdf</w:t>
            </w:r>
          </w:p>
        </w:tc>
      </w:tr>
      <w:tr>
        <w:tc>
          <w:tcPr>
            <w:tcW w:w="1550" w:type="dxa"/>
          </w:tcPr>
          <w:p>
            <w:pPr>
              <w:pStyle w:val="Compact"/>
              <w:jc w:val="left"/>
              <w:spacing w:before="20" w:after="20" w:line="220" w:lineRule="auto"/>
            </w:pPr>
            <w:r>
              <w:rPr>
                <w:sz w:val="15"/>
                <w:szCs w:val="15"/>
              </w:rPr>
              <w:t xml:space="preserve">P1:S28</w:t>
            </w:r>
          </w:p>
        </w:tc>
        <w:tc>
          <w:tcPr>
            <w:tcW w:w="2001" w:type="dxa"/>
          </w:tcPr>
          <w:p>
            <w:pPr>
              <w:pStyle w:val="Compact"/>
              <w:jc w:val="left"/>
              <w:spacing w:before="20" w:after="20" w:line="220" w:lineRule="auto"/>
            </w:pPr>
            <w:r>
              <w:rPr>
                <w:sz w:val="15"/>
                <w:szCs w:val="15"/>
              </w:rPr>
              <w:t xml:space="preserve">ASISA</w:t>
            </w:r>
          </w:p>
        </w:tc>
        <w:tc>
          <w:tcPr>
            <w:tcW w:w="3554" w:type="dxa"/>
          </w:tcPr>
          <w:p>
            <w:pPr>
              <w:pStyle w:val="Compact"/>
              <w:jc w:val="left"/>
              <w:spacing w:before="20" w:after="20" w:line="220" w:lineRule="auto"/>
            </w:pPr>
            <w:r>
              <w:rPr>
                <w:sz w:val="15"/>
                <w:szCs w:val="15"/>
              </w:rPr>
              <w:t xml:space="preserve">Assets managed by SA life insurers exceed R5 trillion (media release)</w:t>
            </w:r>
          </w:p>
        </w:tc>
        <w:tc>
          <w:tcPr>
            <w:tcW w:w="1636" w:type="dxa"/>
          </w:tcPr>
          <w:p>
            <w:pPr>
              <w:pStyle w:val="Compact"/>
              <w:jc w:val="left"/>
              <w:spacing w:before="20" w:after="20" w:line="220" w:lineRule="auto"/>
            </w:pPr>
            <w:r>
              <w:rPr>
                <w:sz w:val="15"/>
                <w:szCs w:val="15"/>
              </w:rPr>
              <w:t xml:space="preserve">31 Mar 2026</w:t>
            </w:r>
          </w:p>
        </w:tc>
        <w:tc>
          <w:tcPr>
            <w:tcW w:w="2273" w:type="dxa"/>
          </w:tcPr>
          <w:p>
            <w:pPr>
              <w:pStyle w:val="Compact"/>
              <w:jc w:val="left"/>
              <w:spacing w:before="20" w:after="20" w:line="220" w:lineRule="auto"/>
            </w:pPr>
            <w:r>
              <w:rPr>
                <w:sz w:val="15"/>
                <w:szCs w:val="15"/>
              </w:rPr>
              <w:t xml:space="preserve">not yet used</w:t>
            </w:r>
          </w:p>
        </w:tc>
        <w:tc>
          <w:tcPr>
            <w:tcW w:w="3554" w:type="dxa"/>
          </w:tcPr>
          <w:p>
            <w:pPr>
              <w:pStyle w:val="Compact"/>
              <w:jc w:val="left"/>
              <w:spacing w:before="20" w:after="20" w:line="220" w:lineRule="auto"/>
            </w:pPr>
            <w:r>
              <w:rPr>
                <w:sz w:val="15"/>
                <w:szCs w:val="15"/>
              </w:rPr>
              <w:t xml:space="preserve">https://www.asisa.org.za/media/4rpl201h/20260331_assets-managed-by-sa-life-insurers-exceed-r5-trillion-for-the</w:t>
            </w:r>
          </w:p>
        </w:tc>
      </w:tr>
      <w:tr>
        <w:tc>
          <w:tcPr>
            <w:tcW w:w="1550" w:type="dxa"/>
          </w:tcPr>
          <w:p>
            <w:pPr>
              <w:pStyle w:val="Compact"/>
              <w:jc w:val="left"/>
              <w:spacing w:before="20" w:after="20" w:line="220" w:lineRule="auto"/>
            </w:pPr>
            <w:r>
              <w:rPr>
                <w:sz w:val="15"/>
                <w:szCs w:val="15"/>
              </w:rPr>
              <w:t xml:space="preserve">P1:S29</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Absa Financial Services Day presentation</w:t>
            </w:r>
          </w:p>
        </w:tc>
        <w:tc>
          <w:tcPr>
            <w:tcW w:w="1636" w:type="dxa"/>
          </w:tcPr>
          <w:p>
            <w:pPr>
              <w:pStyle w:val="Compact"/>
              <w:jc w:val="left"/>
              <w:spacing w:before="20" w:after="20" w:line="220" w:lineRule="auto"/>
            </w:pPr>
            <w:r>
              <w:rPr>
                <w:sz w:val="15"/>
                <w:szCs w:val="15"/>
              </w:rPr>
              <w:t xml:space="preserve">2012 (file dated 2022)</w:t>
            </w:r>
          </w:p>
        </w:tc>
        <w:tc>
          <w:tcPr>
            <w:tcW w:w="2273" w:type="dxa"/>
          </w:tcPr>
          <w:p>
            <w:pPr>
              <w:pStyle w:val="Compact"/>
              <w:jc w:val="left"/>
              <w:spacing w:before="20" w:after="20" w:line="220" w:lineRule="auto"/>
            </w:pPr>
            <w:r>
              <w:rPr>
                <w:sz w:val="15"/>
                <w:szCs w:val="15"/>
              </w:rPr>
              <w:t xml:space="preserve">not used</w:t>
            </w:r>
          </w:p>
        </w:tc>
        <w:tc>
          <w:tcPr>
            <w:tcW w:w="3554" w:type="dxa"/>
          </w:tcPr>
          <w:p>
            <w:pPr>
              <w:pStyle w:val="Compact"/>
              <w:jc w:val="left"/>
              <w:spacing w:before="20" w:after="20" w:line="220" w:lineRule="auto"/>
            </w:pPr>
            <w:r>
              <w:rPr>
                <w:sz w:val="15"/>
                <w:szCs w:val="15"/>
              </w:rPr>
              <w:t xml:space="preserve">https://www.absa.africa/wp-content/uploads/2022/09/absa-financial-services-day.pdf</w:t>
            </w:r>
          </w:p>
        </w:tc>
      </w:tr>
      <w:tr>
        <w:tc>
          <w:tcPr>
            <w:tcW w:w="1550" w:type="dxa"/>
          </w:tcPr>
          <w:p>
            <w:pPr>
              <w:pStyle w:val="Compact"/>
              <w:jc w:val="left"/>
              <w:spacing w:before="20" w:after="20" w:line="220" w:lineRule="auto"/>
            </w:pPr>
            <w:r>
              <w:rPr>
                <w:sz w:val="15"/>
                <w:szCs w:val="15"/>
              </w:rPr>
              <w:t xml:space="preserve">P1:S30</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Annual reports index page</w:t>
            </w:r>
          </w:p>
        </w:tc>
        <w:tc>
          <w:tcPr>
            <w:tcW w:w="1636" w:type="dxa"/>
          </w:tcPr>
          <w:p>
            <w:pPr>
              <w:pStyle w:val="Compact"/>
              <w:jc w:val="left"/>
              <w:spacing w:before="20" w:after="20" w:line="220" w:lineRule="auto"/>
            </w:pPr>
            <w:r>
              <w:rPr>
                <w:sz w:val="15"/>
                <w:szCs w:val="15"/>
              </w:rPr>
              <w:t xml:space="preserve">FY23 to FY25</w:t>
            </w:r>
          </w:p>
        </w:tc>
        <w:tc>
          <w:tcPr>
            <w:tcW w:w="2273" w:type="dxa"/>
          </w:tcPr>
          <w:p>
            <w:pPr>
              <w:pStyle w:val="Compact"/>
              <w:jc w:val="left"/>
              <w:spacing w:before="20" w:after="20" w:line="220" w:lineRule="auto"/>
            </w:pPr>
            <w:r>
              <w:rPr>
                <w:sz w:val="15"/>
                <w:szCs w:val="15"/>
              </w:rPr>
              <w:t xml:space="preserve">index</w:t>
            </w:r>
          </w:p>
        </w:tc>
        <w:tc>
          <w:tcPr>
            <w:tcW w:w="3554" w:type="dxa"/>
          </w:tcPr>
          <w:p>
            <w:pPr>
              <w:pStyle w:val="Compact"/>
              <w:jc w:val="left"/>
              <w:spacing w:before="20" w:after="20" w:line="220" w:lineRule="auto"/>
            </w:pPr>
            <w:r>
              <w:rPr>
                <w:sz w:val="15"/>
                <w:szCs w:val="15"/>
              </w:rPr>
              <w:t xml:space="preserve">https://www.absa.africa/absaafrica/investor-relations/annual-reports/</w:t>
            </w:r>
          </w:p>
        </w:tc>
      </w:tr>
      <w:tr>
        <w:tc>
          <w:tcPr>
            <w:tcW w:w="1550" w:type="dxa"/>
          </w:tcPr>
          <w:p>
            <w:pPr>
              <w:pStyle w:val="Compact"/>
              <w:jc w:val="left"/>
              <w:spacing w:before="20" w:after="20" w:line="220" w:lineRule="auto"/>
            </w:pPr>
            <w:r>
              <w:rPr>
                <w:sz w:val="15"/>
                <w:szCs w:val="15"/>
              </w:rPr>
              <w:t xml:space="preserve">P1:S31</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JSE regulatory announcements page</w:t>
            </w:r>
          </w:p>
        </w:tc>
        <w:tc>
          <w:tcPr>
            <w:tcW w:w="1636" w:type="dxa"/>
          </w:tcPr>
          <w:p>
            <w:pPr>
              <w:pStyle w:val="Compact"/>
              <w:jc w:val="left"/>
              <w:spacing w:before="20" w:after="20" w:line="220" w:lineRule="auto"/>
            </w:pPr>
            <w:r>
              <w:rPr>
                <w:sz w:val="15"/>
                <w:szCs w:val="15"/>
              </w:rPr>
              <w:t xml:space="preserve">2025-2026</w:t>
            </w:r>
          </w:p>
        </w:tc>
        <w:tc>
          <w:tcPr>
            <w:tcW w:w="2273" w:type="dxa"/>
          </w:tcPr>
          <w:p>
            <w:pPr>
              <w:pStyle w:val="Compact"/>
              <w:jc w:val="left"/>
              <w:spacing w:before="20" w:after="20" w:line="220" w:lineRule="auto"/>
            </w:pPr>
            <w:r>
              <w:rPr>
                <w:sz w:val="15"/>
                <w:szCs w:val="15"/>
              </w:rPr>
              <w:t xml:space="preserve">index</w:t>
            </w:r>
          </w:p>
        </w:tc>
        <w:tc>
          <w:tcPr>
            <w:tcW w:w="3554" w:type="dxa"/>
          </w:tcPr>
          <w:p>
            <w:pPr>
              <w:pStyle w:val="Compact"/>
              <w:jc w:val="left"/>
              <w:spacing w:before="20" w:after="20" w:line="220" w:lineRule="auto"/>
            </w:pPr>
            <w:r>
              <w:rPr>
                <w:sz w:val="15"/>
                <w:szCs w:val="15"/>
              </w:rPr>
              <w:t xml:space="preserve">https://www.absa.africa/investor-relations/jse-regulatory-announcements/</w:t>
            </w:r>
          </w:p>
        </w:tc>
      </w:tr>
      <w:tr>
        <w:tc>
          <w:tcPr>
            <w:tcW w:w="1550" w:type="dxa"/>
          </w:tcPr>
          <w:p>
            <w:pPr>
              <w:pStyle w:val="Compact"/>
              <w:jc w:val="left"/>
              <w:spacing w:before="20" w:after="20" w:line="220" w:lineRule="auto"/>
            </w:pPr>
            <w:r>
              <w:rPr>
                <w:sz w:val="15"/>
                <w:szCs w:val="15"/>
              </w:rPr>
              <w:t xml:space="preserve">AFS:S01</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Results booklet for the period ended 31 December 2025 (single page)</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pdf101/print99; pdf12/print10; pdf19/pri</w:t>
            </w:r>
          </w:p>
        </w:tc>
        <w:tc>
          <w:tcPr>
            <w:tcW w:w="3554" w:type="dxa"/>
          </w:tcPr>
          <w:p>
            <w:pPr>
              <w:pStyle w:val="Compact"/>
              <w:jc w:val="left"/>
              <w:spacing w:before="20" w:after="20" w:line="220" w:lineRule="auto"/>
            </w:pPr>
            <w:r>
              <w:rPr>
                <w:sz w:val="15"/>
                <w:szCs w:val="15"/>
              </w:rPr>
              <w:t xml:space="preserve">https://www.absa.africa/wp-content/uploads/2026/03/Results-booklet-for-the-period-ended-31-December-2025-singl</w:t>
            </w:r>
          </w:p>
        </w:tc>
      </w:tr>
      <w:tr>
        <w:tc>
          <w:tcPr>
            <w:tcW w:w="1550" w:type="dxa"/>
          </w:tcPr>
          <w:p>
            <w:pPr>
              <w:pStyle w:val="Compact"/>
              <w:jc w:val="left"/>
              <w:spacing w:before="20" w:after="20" w:line="220" w:lineRule="auto"/>
            </w:pPr>
            <w:r>
              <w:rPr>
                <w:sz w:val="15"/>
                <w:szCs w:val="15"/>
              </w:rPr>
              <w:t xml:space="preserve">AFS:S02</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Results booklet for the period ended 31 December 2024 (single page)</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pdf107/print105; pdf21/print19; pdf35/pr</w:t>
            </w:r>
          </w:p>
        </w:tc>
        <w:tc>
          <w:tcPr>
            <w:tcW w:w="3554" w:type="dxa"/>
          </w:tcPr>
          <w:p>
            <w:pPr>
              <w:pStyle w:val="Compact"/>
              <w:jc w:val="left"/>
              <w:spacing w:before="20" w:after="20" w:line="220" w:lineRule="auto"/>
            </w:pPr>
            <w:r>
              <w:rPr>
                <w:sz w:val="15"/>
                <w:szCs w:val="15"/>
              </w:rPr>
              <w:t xml:space="preserve">https://www.absa.africa/wp-content/uploads/2025/03/Results-booklet-for-the-period-ended-31-December-2024-singl</w:t>
            </w:r>
          </w:p>
        </w:tc>
      </w:tr>
      <w:tr>
        <w:tc>
          <w:tcPr>
            <w:tcW w:w="1550" w:type="dxa"/>
          </w:tcPr>
          <w:p>
            <w:pPr>
              <w:pStyle w:val="Compact"/>
              <w:jc w:val="left"/>
              <w:spacing w:before="20" w:after="20" w:line="220" w:lineRule="auto"/>
            </w:pPr>
            <w:r>
              <w:rPr>
                <w:sz w:val="15"/>
                <w:szCs w:val="15"/>
              </w:rPr>
              <w:t xml:space="preserve">AFS:S03</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Results booklet for the period ended 31 December 2023 (single page)</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pdf38/print36; pdf39/print37; pdf79/prin</w:t>
            </w:r>
          </w:p>
        </w:tc>
        <w:tc>
          <w:tcPr>
            <w:tcW w:w="3554" w:type="dxa"/>
          </w:tcPr>
          <w:p>
            <w:pPr>
              <w:pStyle w:val="Compact"/>
              <w:jc w:val="left"/>
              <w:spacing w:before="20" w:after="20" w:line="220" w:lineRule="auto"/>
            </w:pPr>
            <w:r>
              <w:rPr>
                <w:sz w:val="15"/>
                <w:szCs w:val="15"/>
              </w:rPr>
              <w:t xml:space="preserve">https://www.absa.africa/wp-content/uploads/2024/04/Results-booklet-for-the-period-ended-31-December-2023-singl</w:t>
            </w:r>
          </w:p>
        </w:tc>
      </w:tr>
      <w:tr>
        <w:tc>
          <w:tcPr>
            <w:tcW w:w="1550" w:type="dxa"/>
          </w:tcPr>
          <w:p>
            <w:pPr>
              <w:pStyle w:val="Compact"/>
              <w:jc w:val="left"/>
              <w:spacing w:before="20" w:after="20" w:line="220" w:lineRule="auto"/>
            </w:pPr>
            <w:r>
              <w:rPr>
                <w:sz w:val="15"/>
                <w:szCs w:val="15"/>
              </w:rPr>
              <w:t xml:space="preserve">AFS:S04</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Results booklet for the period ended 30 June 2026 (single page)</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pdf100/print98; pdf101/print99; pdf102/p</w:t>
            </w:r>
          </w:p>
        </w:tc>
        <w:tc>
          <w:tcPr>
            <w:tcW w:w="3554" w:type="dxa"/>
          </w:tcPr>
          <w:p>
            <w:pPr>
              <w:pStyle w:val="Compact"/>
              <w:jc w:val="left"/>
              <w:spacing w:before="20" w:after="20" w:line="220" w:lineRule="auto"/>
            </w:pPr>
            <w:r>
              <w:rPr>
                <w:sz w:val="15"/>
                <w:szCs w:val="15"/>
              </w:rPr>
              <w:t xml:space="preserve">https://www.absa.africa/wp-content/uploads/2026/08/Results-booklet-for-the-period-ended-30-June-2026-single-pa</w:t>
            </w:r>
          </w:p>
        </w:tc>
      </w:tr>
      <w:tr>
        <w:tc>
          <w:tcPr>
            <w:tcW w:w="1550" w:type="dxa"/>
          </w:tcPr>
          <w:p>
            <w:pPr>
              <w:pStyle w:val="Compact"/>
              <w:jc w:val="left"/>
              <w:spacing w:before="20" w:after="20" w:line="220" w:lineRule="auto"/>
            </w:pPr>
            <w:r>
              <w:rPr>
                <w:sz w:val="15"/>
                <w:szCs w:val="15"/>
              </w:rPr>
              <w:t xml:space="preserve">AFS:S05</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Results booklet for the period ended 30 June 2025 (single page)</w:t>
            </w:r>
          </w:p>
        </w:tc>
        <w:tc>
          <w:tcPr>
            <w:tcW w:w="1636" w:type="dxa"/>
          </w:tcPr>
          <w:p>
            <w:pPr>
              <w:pStyle w:val="Compact"/>
              <w:jc w:val="left"/>
              <w:spacing w:before="20" w:after="20" w:line="220" w:lineRule="auto"/>
            </w:pPr>
            <w:r>
              <w:rPr>
                <w:sz w:val="15"/>
                <w:szCs w:val="15"/>
              </w:rPr>
              <w:t xml:space="preserve">1H2025</w:t>
            </w:r>
          </w:p>
        </w:tc>
        <w:tc>
          <w:tcPr>
            <w:tcW w:w="2273" w:type="dxa"/>
          </w:tcPr>
          <w:p>
            <w:pPr>
              <w:pStyle w:val="Compact"/>
              <w:jc w:val="left"/>
              <w:spacing w:before="20" w:after="20" w:line="220" w:lineRule="auto"/>
            </w:pPr>
            <w:r>
              <w:rPr>
                <w:sz w:val="15"/>
                <w:szCs w:val="15"/>
              </w:rPr>
              <w:t xml:space="preserve">pdf100/print98; pdf101/print99; pdf102/p</w:t>
            </w:r>
          </w:p>
        </w:tc>
        <w:tc>
          <w:tcPr>
            <w:tcW w:w="3554" w:type="dxa"/>
          </w:tcPr>
          <w:p>
            <w:pPr>
              <w:pStyle w:val="Compact"/>
              <w:jc w:val="left"/>
              <w:spacing w:before="20" w:after="20" w:line="220" w:lineRule="auto"/>
            </w:pPr>
            <w:r>
              <w:rPr>
                <w:sz w:val="15"/>
                <w:szCs w:val="15"/>
              </w:rPr>
              <w:t xml:space="preserve">https://www.absa.africa/wp-content/uploads/2025/08/Results-booklet-for-the-period-ended-30-June-2025-single-pa</w:t>
            </w:r>
          </w:p>
        </w:tc>
      </w:tr>
      <w:tr>
        <w:tc>
          <w:tcPr>
            <w:tcW w:w="1550" w:type="dxa"/>
          </w:tcPr>
          <w:p>
            <w:pPr>
              <w:pStyle w:val="Compact"/>
              <w:jc w:val="left"/>
              <w:spacing w:before="20" w:after="20" w:line="220" w:lineRule="auto"/>
            </w:pPr>
            <w:r>
              <w:rPr>
                <w:sz w:val="15"/>
                <w:szCs w:val="15"/>
              </w:rPr>
              <w:t xml:space="preserve">AFS:S06</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Results booklet for the period ended 30 June 2024 (single page)</w:t>
            </w:r>
          </w:p>
        </w:tc>
        <w:tc>
          <w:tcPr>
            <w:tcW w:w="1636" w:type="dxa"/>
          </w:tcPr>
          <w:p>
            <w:pPr>
              <w:pStyle w:val="Compact"/>
              <w:jc w:val="left"/>
              <w:spacing w:before="20" w:after="20" w:line="220" w:lineRule="auto"/>
            </w:pPr>
            <w:r>
              <w:rPr>
                <w:sz w:val="15"/>
                <w:szCs w:val="15"/>
              </w:rPr>
              <w:t xml:space="preserve">1H2024</w:t>
            </w:r>
          </w:p>
        </w:tc>
        <w:tc>
          <w:tcPr>
            <w:tcW w:w="2273" w:type="dxa"/>
          </w:tcPr>
          <w:p>
            <w:pPr>
              <w:pStyle w:val="Compact"/>
              <w:jc w:val="left"/>
              <w:spacing w:before="20" w:after="20" w:line="220" w:lineRule="auto"/>
            </w:pPr>
            <w:r>
              <w:rPr>
                <w:sz w:val="15"/>
                <w:szCs w:val="15"/>
              </w:rPr>
              <w:t xml:space="preserve">pdf114/print112; pdf38/print36; pdf39/pr</w:t>
            </w:r>
          </w:p>
        </w:tc>
        <w:tc>
          <w:tcPr>
            <w:tcW w:w="3554" w:type="dxa"/>
          </w:tcPr>
          <w:p>
            <w:pPr>
              <w:pStyle w:val="Compact"/>
              <w:jc w:val="left"/>
              <w:spacing w:before="20" w:after="20" w:line="220" w:lineRule="auto"/>
            </w:pPr>
            <w:r>
              <w:rPr>
                <w:sz w:val="15"/>
                <w:szCs w:val="15"/>
              </w:rPr>
              <w:t xml:space="preserve">https://www.absa.africa/wp-content/uploads/2024/08/Results-booklet-for-the-period-ended-30-June-2024-single-pa</w:t>
            </w:r>
          </w:p>
        </w:tc>
      </w:tr>
      <w:tr>
        <w:tc>
          <w:tcPr>
            <w:tcW w:w="1550" w:type="dxa"/>
          </w:tcPr>
          <w:p>
            <w:pPr>
              <w:pStyle w:val="Compact"/>
              <w:jc w:val="left"/>
              <w:spacing w:before="20" w:after="20" w:line="220" w:lineRule="auto"/>
            </w:pPr>
            <w:r>
              <w:rPr>
                <w:sz w:val="15"/>
                <w:szCs w:val="15"/>
              </w:rPr>
              <w:t xml:space="preserve">AFS:S07</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Annual consolidated and separate financial statements for the reporting period ended 31 De</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pdf119/print117; pdf123/print121; pdf242</w:t>
            </w:r>
          </w:p>
        </w:tc>
        <w:tc>
          <w:tcPr>
            <w:tcW w:w="3554" w:type="dxa"/>
          </w:tcPr>
          <w:p>
            <w:pPr>
              <w:pStyle w:val="Compact"/>
              <w:jc w:val="left"/>
              <w:spacing w:before="20" w:after="20" w:line="220" w:lineRule="auto"/>
            </w:pPr>
            <w:r>
              <w:rPr>
                <w:sz w:val="15"/>
                <w:szCs w:val="15"/>
              </w:rPr>
              <w:t xml:space="preserve">https://www.absa.africa/wp-content/uploads/2026/03/Absa-Group-Annual-Consolidated-and-Separate-Financial-State</w:t>
            </w:r>
          </w:p>
        </w:tc>
      </w:tr>
      <w:tr>
        <w:tc>
          <w:tcPr>
            <w:tcW w:w="1550" w:type="dxa"/>
          </w:tcPr>
          <w:p>
            <w:pPr>
              <w:pStyle w:val="Compact"/>
              <w:jc w:val="left"/>
              <w:spacing w:before="20" w:after="20" w:line="220" w:lineRule="auto"/>
            </w:pPr>
            <w:r>
              <w:rPr>
                <w:sz w:val="15"/>
                <w:szCs w:val="15"/>
              </w:rPr>
              <w:t xml:space="preserve">AFS:S08</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Annual consolidated and separate financial statements for the year ended 31 December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pdf118/print116; pdf24/print22; pdf243/p</w:t>
            </w:r>
          </w:p>
        </w:tc>
        <w:tc>
          <w:tcPr>
            <w:tcW w:w="3554" w:type="dxa"/>
          </w:tcPr>
          <w:p>
            <w:pPr>
              <w:pStyle w:val="Compact"/>
              <w:jc w:val="left"/>
              <w:spacing w:before="20" w:after="20" w:line="220" w:lineRule="auto"/>
            </w:pPr>
            <w:r>
              <w:rPr>
                <w:sz w:val="15"/>
                <w:szCs w:val="15"/>
              </w:rPr>
              <w:t xml:space="preserve">https://www.absa.africa/wp-content/uploads/2025/03/Absa-Group-Annual-Consolidated-and-Separate-Financial-State</w:t>
            </w:r>
          </w:p>
        </w:tc>
      </w:tr>
      <w:tr>
        <w:tc>
          <w:tcPr>
            <w:tcW w:w="1550" w:type="dxa"/>
          </w:tcPr>
          <w:p>
            <w:pPr>
              <w:pStyle w:val="Compact"/>
              <w:jc w:val="left"/>
              <w:spacing w:before="20" w:after="20" w:line="220" w:lineRule="auto"/>
            </w:pPr>
            <w:r>
              <w:rPr>
                <w:sz w:val="15"/>
                <w:szCs w:val="15"/>
              </w:rPr>
              <w:t xml:space="preserve">AFS:S09</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Annual consolidated and separate financial statements for the reporting period ended 31 De</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pdf102/print100; pdf206/print204</w:t>
            </w:r>
          </w:p>
        </w:tc>
        <w:tc>
          <w:tcPr>
            <w:tcW w:w="3554" w:type="dxa"/>
          </w:tcPr>
          <w:p>
            <w:pPr>
              <w:pStyle w:val="Compact"/>
              <w:jc w:val="left"/>
              <w:spacing w:before="20" w:after="20" w:line="220" w:lineRule="auto"/>
            </w:pPr>
            <w:r>
              <w:rPr>
                <w:sz w:val="15"/>
                <w:szCs w:val="15"/>
              </w:rPr>
              <w:t xml:space="preserve">https://www.absa.africa/wp-content/uploads/2024/04/Absa-Group-Annual-Consolidated-and-Separate-Financial-State</w:t>
            </w:r>
          </w:p>
        </w:tc>
      </w:tr>
      <w:tr>
        <w:tc>
          <w:tcPr>
            <w:tcW w:w="1550" w:type="dxa"/>
          </w:tcPr>
          <w:p>
            <w:pPr>
              <w:pStyle w:val="Compact"/>
              <w:jc w:val="left"/>
              <w:spacing w:before="20" w:after="20" w:line="220" w:lineRule="auto"/>
            </w:pPr>
            <w:r>
              <w:rPr>
                <w:sz w:val="15"/>
                <w:szCs w:val="15"/>
              </w:rPr>
              <w:t xml:space="preserve">AFS:S10</w:t>
            </w:r>
          </w:p>
        </w:tc>
        <w:tc>
          <w:tcPr>
            <w:tcW w:w="2001" w:type="dxa"/>
          </w:tcPr>
          <w:p>
            <w:pPr>
              <w:pStyle w:val="Compact"/>
              <w:jc w:val="left"/>
              <w:spacing w:before="20" w:after="20" w:line="220" w:lineRule="auto"/>
            </w:pPr>
            <w:r>
              <w:rPr>
                <w:sz w:val="15"/>
                <w:szCs w:val="15"/>
              </w:rPr>
              <w:t xml:space="preserve">Absa Bank Limited</w:t>
            </w:r>
          </w:p>
        </w:tc>
        <w:tc>
          <w:tcPr>
            <w:tcW w:w="3554" w:type="dxa"/>
          </w:tcPr>
          <w:p>
            <w:pPr>
              <w:pStyle w:val="Compact"/>
              <w:jc w:val="left"/>
              <w:spacing w:before="20" w:after="20" w:line="220" w:lineRule="auto"/>
            </w:pPr>
            <w:r>
              <w:rPr>
                <w:sz w:val="15"/>
                <w:szCs w:val="15"/>
              </w:rPr>
              <w:t xml:space="preserve">Annual consolidated and separate financial statements for the reporting period ended 31 De</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pdf103/print101; pdf120-125/print118-123</w:t>
            </w:r>
          </w:p>
        </w:tc>
        <w:tc>
          <w:tcPr>
            <w:tcW w:w="3554" w:type="dxa"/>
          </w:tcPr>
          <w:p>
            <w:pPr>
              <w:pStyle w:val="Compact"/>
              <w:jc w:val="left"/>
              <w:spacing w:before="20" w:after="20" w:line="220" w:lineRule="auto"/>
            </w:pPr>
            <w:r>
              <w:rPr>
                <w:sz w:val="15"/>
                <w:szCs w:val="15"/>
              </w:rPr>
              <w:t xml:space="preserve">https://www.absa.africa/wp-content/uploads/2026/03/Absa-Bank-Limited-Annual-Consolidated-and-Separate-Financia</w:t>
            </w:r>
          </w:p>
        </w:tc>
      </w:tr>
      <w:tr>
        <w:tc>
          <w:tcPr>
            <w:tcW w:w="1550" w:type="dxa"/>
          </w:tcPr>
          <w:p>
            <w:pPr>
              <w:pStyle w:val="Compact"/>
              <w:jc w:val="left"/>
              <w:spacing w:before="20" w:after="20" w:line="220" w:lineRule="auto"/>
            </w:pPr>
            <w:r>
              <w:rPr>
                <w:sz w:val="15"/>
                <w:szCs w:val="15"/>
              </w:rPr>
              <w:t xml:space="preserve">AFS:S11</w:t>
            </w:r>
          </w:p>
        </w:tc>
        <w:tc>
          <w:tcPr>
            <w:tcW w:w="2001" w:type="dxa"/>
          </w:tcPr>
          <w:p>
            <w:pPr>
              <w:pStyle w:val="Compact"/>
              <w:jc w:val="left"/>
              <w:spacing w:before="20" w:after="20" w:line="220" w:lineRule="auto"/>
            </w:pPr>
            <w:r>
              <w:rPr>
                <w:sz w:val="15"/>
                <w:szCs w:val="15"/>
              </w:rPr>
              <w:t xml:space="preserve">Absa Bank Limited</w:t>
            </w:r>
          </w:p>
        </w:tc>
        <w:tc>
          <w:tcPr>
            <w:tcW w:w="3554" w:type="dxa"/>
          </w:tcPr>
          <w:p>
            <w:pPr>
              <w:pStyle w:val="Compact"/>
              <w:jc w:val="left"/>
              <w:spacing w:before="20" w:after="20" w:line="220" w:lineRule="auto"/>
            </w:pPr>
            <w:r>
              <w:rPr>
                <w:sz w:val="15"/>
                <w:szCs w:val="15"/>
              </w:rPr>
              <w:t xml:space="preserve">Annual consolidated and separate financial statements for the year ended 31 December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pdf112/print110; pdf93/print91</w:t>
            </w:r>
          </w:p>
        </w:tc>
        <w:tc>
          <w:tcPr>
            <w:tcW w:w="3554" w:type="dxa"/>
          </w:tcPr>
          <w:p>
            <w:pPr>
              <w:pStyle w:val="Compact"/>
              <w:jc w:val="left"/>
              <w:spacing w:before="20" w:after="20" w:line="220" w:lineRule="auto"/>
            </w:pPr>
            <w:r>
              <w:rPr>
                <w:sz w:val="15"/>
                <w:szCs w:val="15"/>
              </w:rPr>
              <w:t xml:space="preserve">https://www.absa.africa/wp-content/uploads/2025/03/Absa-Bank-Limited-Annual-Consolidated-and-Separate-Financia</w:t>
            </w:r>
          </w:p>
        </w:tc>
      </w:tr>
      <w:tr>
        <w:tc>
          <w:tcPr>
            <w:tcW w:w="1550" w:type="dxa"/>
          </w:tcPr>
          <w:p>
            <w:pPr>
              <w:pStyle w:val="Compact"/>
              <w:jc w:val="left"/>
              <w:spacing w:before="20" w:after="20" w:line="220" w:lineRule="auto"/>
            </w:pPr>
            <w:r>
              <w:rPr>
                <w:sz w:val="15"/>
                <w:szCs w:val="15"/>
              </w:rPr>
              <w:t xml:space="preserve">AFS:S12</w:t>
            </w:r>
          </w:p>
        </w:tc>
        <w:tc>
          <w:tcPr>
            <w:tcW w:w="2001" w:type="dxa"/>
          </w:tcPr>
          <w:p>
            <w:pPr>
              <w:pStyle w:val="Compact"/>
              <w:jc w:val="left"/>
              <w:spacing w:before="20" w:after="20" w:line="220" w:lineRule="auto"/>
            </w:pPr>
            <w:r>
              <w:rPr>
                <w:sz w:val="15"/>
                <w:szCs w:val="15"/>
              </w:rPr>
              <w:t xml:space="preserve">Absa Bank Limited</w:t>
            </w:r>
          </w:p>
        </w:tc>
        <w:tc>
          <w:tcPr>
            <w:tcW w:w="3554" w:type="dxa"/>
          </w:tcPr>
          <w:p>
            <w:pPr>
              <w:pStyle w:val="Compact"/>
              <w:jc w:val="left"/>
              <w:spacing w:before="20" w:after="20" w:line="220" w:lineRule="auto"/>
            </w:pPr>
            <w:r>
              <w:rPr>
                <w:sz w:val="15"/>
                <w:szCs w:val="15"/>
              </w:rPr>
              <w:t xml:space="preserve">Annual consolidated and separate financial statements for the reporting period ended 31 De</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pdf79/print77; pdf95/print93</w:t>
            </w:r>
          </w:p>
        </w:tc>
        <w:tc>
          <w:tcPr>
            <w:tcW w:w="3554" w:type="dxa"/>
          </w:tcPr>
          <w:p>
            <w:pPr>
              <w:pStyle w:val="Compact"/>
              <w:jc w:val="left"/>
              <w:spacing w:before="20" w:after="20" w:line="220" w:lineRule="auto"/>
            </w:pPr>
            <w:r>
              <w:rPr>
                <w:sz w:val="15"/>
                <w:szCs w:val="15"/>
              </w:rPr>
              <w:t xml:space="preserve">https://www.absa.africa/wp-content/uploads/2024/04/Absa-Bank-Annual-Consolidated-and-Separate-Financial-Statem</w:t>
            </w:r>
          </w:p>
        </w:tc>
      </w:tr>
      <w:tr>
        <w:tc>
          <w:tcPr>
            <w:tcW w:w="1550" w:type="dxa"/>
          </w:tcPr>
          <w:p>
            <w:pPr>
              <w:pStyle w:val="Compact"/>
              <w:jc w:val="left"/>
              <w:spacing w:before="20" w:after="20" w:line="220" w:lineRule="auto"/>
            </w:pPr>
            <w:r>
              <w:rPr>
                <w:sz w:val="15"/>
                <w:szCs w:val="15"/>
              </w:rPr>
              <w:t xml:space="preserve">AFS:S13</w:t>
            </w:r>
          </w:p>
        </w:tc>
        <w:tc>
          <w:tcPr>
            <w:tcW w:w="2001" w:type="dxa"/>
          </w:tcPr>
          <w:p>
            <w:pPr>
              <w:pStyle w:val="Compact"/>
              <w:jc w:val="left"/>
              <w:spacing w:before="20" w:after="20" w:line="220" w:lineRule="auto"/>
            </w:pPr>
            <w:r>
              <w:rPr>
                <w:sz w:val="15"/>
                <w:szCs w:val="15"/>
              </w:rPr>
              <w:t xml:space="preserve">KPMG South Africa</w:t>
            </w:r>
          </w:p>
        </w:tc>
        <w:tc>
          <w:tcPr>
            <w:tcW w:w="3554" w:type="dxa"/>
          </w:tcPr>
          <w:p>
            <w:pPr>
              <w:pStyle w:val="Compact"/>
              <w:jc w:val="left"/>
              <w:spacing w:before="20" w:after="20" w:line="220" w:lineRule="auto"/>
            </w:pPr>
            <w:r>
              <w:rPr>
                <w:sz w:val="15"/>
                <w:szCs w:val="15"/>
              </w:rPr>
              <w:t xml:space="preserve">The South African Insurance Industry Survey 2025 (entity tables, FY2024 with FY2023 restat</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n/a; pdf185/print184; pdf190/print189; p</w:t>
            </w:r>
          </w:p>
        </w:tc>
        <w:tc>
          <w:tcPr>
            <w:tcW w:w="3554" w:type="dxa"/>
          </w:tcPr>
          <w:p>
            <w:pPr>
              <w:pStyle w:val="Compact"/>
              <w:jc w:val="left"/>
              <w:spacing w:before="20" w:after="20" w:line="220" w:lineRule="auto"/>
            </w:pPr>
            <w:r>
              <w:rPr>
                <w:sz w:val="15"/>
                <w:szCs w:val="15"/>
              </w:rPr>
              <w:t xml:space="preserve">https://kpmg.com/content/dam/kpmgsites/za/pdf/2025/Insurance%20Survey%202025%20Final_.pdf</w:t>
            </w:r>
          </w:p>
        </w:tc>
      </w:tr>
      <w:tr>
        <w:tc>
          <w:tcPr>
            <w:tcW w:w="1550" w:type="dxa"/>
          </w:tcPr>
          <w:p>
            <w:pPr>
              <w:pStyle w:val="Compact"/>
              <w:jc w:val="left"/>
              <w:spacing w:before="20" w:after="20" w:line="220" w:lineRule="auto"/>
            </w:pPr>
            <w:r>
              <w:rPr>
                <w:sz w:val="15"/>
                <w:szCs w:val="15"/>
              </w:rPr>
              <w:t xml:space="preserve">AFS:S14</w:t>
            </w:r>
          </w:p>
        </w:tc>
        <w:tc>
          <w:tcPr>
            <w:tcW w:w="2001" w:type="dxa"/>
          </w:tcPr>
          <w:p>
            <w:pPr>
              <w:pStyle w:val="Compact"/>
              <w:jc w:val="left"/>
              <w:spacing w:before="20" w:after="20" w:line="220" w:lineRule="auto"/>
            </w:pPr>
            <w:r>
              <w:rPr>
                <w:sz w:val="15"/>
                <w:szCs w:val="15"/>
              </w:rPr>
              <w:t xml:space="preserve">KPMG South Africa</w:t>
            </w:r>
          </w:p>
        </w:tc>
        <w:tc>
          <w:tcPr>
            <w:tcW w:w="3554" w:type="dxa"/>
          </w:tcPr>
          <w:p>
            <w:pPr>
              <w:pStyle w:val="Compact"/>
              <w:jc w:val="left"/>
              <w:spacing w:before="20" w:after="20" w:line="220" w:lineRule="auto"/>
            </w:pPr>
            <w:r>
              <w:rPr>
                <w:sz w:val="15"/>
                <w:szCs w:val="15"/>
              </w:rPr>
              <w:t xml:space="preserve">The South African Insurance Industry Survey 2024 (entity tables, FY2023 with FY2022 restat</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pdf224/print222; pdf226/print224; pdf242</w:t>
            </w:r>
          </w:p>
        </w:tc>
        <w:tc>
          <w:tcPr>
            <w:tcW w:w="3554" w:type="dxa"/>
          </w:tcPr>
          <w:p>
            <w:pPr>
              <w:pStyle w:val="Compact"/>
              <w:jc w:val="left"/>
              <w:spacing w:before="20" w:after="20" w:line="220" w:lineRule="auto"/>
            </w:pPr>
            <w:r>
              <w:rPr>
                <w:sz w:val="15"/>
                <w:szCs w:val="15"/>
              </w:rPr>
              <w:t xml:space="preserve">https://kpmg.com/content/dam/kpmgsites/za/pdf/2024/Insurance-Survey-2024-Final.pdf</w:t>
            </w:r>
          </w:p>
        </w:tc>
      </w:tr>
      <w:tr>
        <w:tc>
          <w:tcPr>
            <w:tcW w:w="1550" w:type="dxa"/>
          </w:tcPr>
          <w:p>
            <w:pPr>
              <w:pStyle w:val="Compact"/>
              <w:jc w:val="left"/>
              <w:spacing w:before="20" w:after="20" w:line="220" w:lineRule="auto"/>
            </w:pPr>
            <w:r>
              <w:rPr>
                <w:sz w:val="15"/>
                <w:szCs w:val="15"/>
              </w:rPr>
              <w:t xml:space="preserve">AFS:S15</w:t>
            </w:r>
          </w:p>
        </w:tc>
        <w:tc>
          <w:tcPr>
            <w:tcW w:w="2001" w:type="dxa"/>
          </w:tcPr>
          <w:p>
            <w:pPr>
              <w:pStyle w:val="Compact"/>
              <w:jc w:val="left"/>
              <w:spacing w:before="20" w:after="20" w:line="220" w:lineRule="auto"/>
            </w:pPr>
            <w:r>
              <w:rPr>
                <w:sz w:val="15"/>
                <w:szCs w:val="15"/>
              </w:rPr>
              <w:t xml:space="preserve">Insurance Regulatory Authority (Kenya)</w:t>
            </w:r>
          </w:p>
        </w:tc>
        <w:tc>
          <w:tcPr>
            <w:tcW w:w="3554" w:type="dxa"/>
          </w:tcPr>
          <w:p>
            <w:pPr>
              <w:pStyle w:val="Compact"/>
              <w:jc w:val="left"/>
              <w:spacing w:before="20" w:after="20" w:line="220" w:lineRule="auto"/>
            </w:pPr>
            <w:r>
              <w:rPr>
                <w:sz w:val="15"/>
                <w:szCs w:val="15"/>
              </w:rPr>
              <w:t xml:space="preserve">Insurance Industry Annual Report 2024 (scanned, Parliament of Kenya library copy)</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n/a; pdf150-151; pdf150/print129; pdf151</w:t>
            </w:r>
          </w:p>
        </w:tc>
        <w:tc>
          <w:tcPr>
            <w:tcW w:w="3554" w:type="dxa"/>
          </w:tcPr>
          <w:p>
            <w:pPr>
              <w:pStyle w:val="Compact"/>
              <w:jc w:val="left"/>
              <w:spacing w:before="20" w:after="20" w:line="220" w:lineRule="auto"/>
            </w:pPr>
            <w:r>
              <w:rPr>
                <w:sz w:val="15"/>
                <w:szCs w:val="15"/>
              </w:rPr>
              <w:t xml:space="preserve">https://libraryir.parliament.go.ke/bitstreams/ff8504d6-971d-462c-8563-391e4fb02dfe/download</w:t>
            </w:r>
          </w:p>
        </w:tc>
      </w:tr>
      <w:tr>
        <w:tc>
          <w:tcPr>
            <w:tcW w:w="1550" w:type="dxa"/>
          </w:tcPr>
          <w:p>
            <w:pPr>
              <w:pStyle w:val="Compact"/>
              <w:jc w:val="left"/>
              <w:spacing w:before="20" w:after="20" w:line="220" w:lineRule="auto"/>
            </w:pPr>
            <w:r>
              <w:rPr>
                <w:sz w:val="15"/>
                <w:szCs w:val="15"/>
              </w:rPr>
              <w:t xml:space="preserve">AFS:S16</w:t>
            </w:r>
          </w:p>
        </w:tc>
        <w:tc>
          <w:tcPr>
            <w:tcW w:w="2001" w:type="dxa"/>
          </w:tcPr>
          <w:p>
            <w:pPr>
              <w:pStyle w:val="Compact"/>
              <w:jc w:val="left"/>
              <w:spacing w:before="20" w:after="20" w:line="220" w:lineRule="auto"/>
            </w:pPr>
            <w:r>
              <w:rPr>
                <w:sz w:val="15"/>
                <w:szCs w:val="15"/>
              </w:rPr>
              <w:t xml:space="preserve">First Assurance Company Limited (Kenya)</w:t>
            </w:r>
          </w:p>
        </w:tc>
        <w:tc>
          <w:tcPr>
            <w:tcW w:w="3554" w:type="dxa"/>
          </w:tcPr>
          <w:p>
            <w:pPr>
              <w:pStyle w:val="Compact"/>
              <w:jc w:val="left"/>
              <w:spacing w:before="20" w:after="20" w:line="220" w:lineRule="auto"/>
            </w:pPr>
            <w:r>
              <w:rPr>
                <w:sz w:val="15"/>
                <w:szCs w:val="15"/>
              </w:rPr>
              <w:t xml:space="preserve">Annual report and financial statements for the year ended 31 December 2025 (audited, KPMG</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pdf27/print25; pdf74/print72</w:t>
            </w:r>
          </w:p>
        </w:tc>
        <w:tc>
          <w:tcPr>
            <w:tcW w:w="3554" w:type="dxa"/>
          </w:tcPr>
          <w:p>
            <w:pPr>
              <w:pStyle w:val="Compact"/>
              <w:jc w:val="left"/>
              <w:spacing w:before="20" w:after="20" w:line="220" w:lineRule="auto"/>
            </w:pPr>
            <w:r>
              <w:rPr>
                <w:sz w:val="15"/>
                <w:szCs w:val="15"/>
              </w:rPr>
              <w:t xml:space="preserve">https://firstassurance.co.ke/download/facl-audited-financial-statements-2025/?wpdmdl=9363</w:t>
            </w:r>
          </w:p>
        </w:tc>
      </w:tr>
      <w:tr>
        <w:tc>
          <w:tcPr>
            <w:tcW w:w="1550" w:type="dxa"/>
          </w:tcPr>
          <w:p>
            <w:pPr>
              <w:pStyle w:val="Compact"/>
              <w:jc w:val="left"/>
              <w:spacing w:before="20" w:after="20" w:line="220" w:lineRule="auto"/>
            </w:pPr>
            <w:r>
              <w:rPr>
                <w:sz w:val="15"/>
                <w:szCs w:val="15"/>
              </w:rPr>
              <w:t xml:space="preserve">AFS:S17</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Sustainability Data Sheets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pdf8/print8</w:t>
            </w:r>
          </w:p>
        </w:tc>
        <w:tc>
          <w:tcPr>
            <w:tcW w:w="3554" w:type="dxa"/>
          </w:tcPr>
          <w:p>
            <w:pPr>
              <w:pStyle w:val="Compact"/>
              <w:jc w:val="left"/>
              <w:spacing w:before="20" w:after="20" w:line="220" w:lineRule="auto"/>
            </w:pPr>
            <w:r>
              <w:rPr>
                <w:sz w:val="15"/>
                <w:szCs w:val="15"/>
              </w:rPr>
              <w:t xml:space="preserve">https://www.absa.africa/wp-content/uploads/2026/04/Absa-Group-Limited-Sustainability-Data-Sheets.pdf</w:t>
            </w:r>
          </w:p>
        </w:tc>
      </w:tr>
      <w:tr>
        <w:tc>
          <w:tcPr>
            <w:tcW w:w="1550" w:type="dxa"/>
          </w:tcPr>
          <w:p>
            <w:pPr>
              <w:pStyle w:val="Compact"/>
              <w:jc w:val="left"/>
              <w:spacing w:before="20" w:after="20" w:line="220" w:lineRule="auto"/>
            </w:pPr>
            <w:r>
              <w:rPr>
                <w:sz w:val="15"/>
                <w:szCs w:val="15"/>
              </w:rPr>
              <w:t xml:space="preserve">AFS:S18</w:t>
            </w:r>
          </w:p>
        </w:tc>
        <w:tc>
          <w:tcPr>
            <w:tcW w:w="2001" w:type="dxa"/>
          </w:tcPr>
          <w:p>
            <w:pPr>
              <w:pStyle w:val="Compact"/>
              <w:jc w:val="left"/>
              <w:spacing w:before="20" w:after="20" w:line="220" w:lineRule="auto"/>
            </w:pPr>
            <w:r>
              <w:rPr>
                <w:sz w:val="15"/>
                <w:szCs w:val="15"/>
              </w:rPr>
              <w:t xml:space="preserve">Financial Sector Conduct Authority (Sout</w:t>
            </w:r>
          </w:p>
        </w:tc>
        <w:tc>
          <w:tcPr>
            <w:tcW w:w="3554" w:type="dxa"/>
          </w:tcPr>
          <w:p>
            <w:pPr>
              <w:pStyle w:val="Compact"/>
              <w:jc w:val="left"/>
              <w:spacing w:before="20" w:after="20" w:line="220" w:lineRule="auto"/>
            </w:pPr>
            <w:r>
              <w:rPr>
                <w:sz w:val="15"/>
                <w:szCs w:val="15"/>
              </w:rPr>
              <w:t xml:space="preserve">FSP register search (legacy search page www2.fsca.co.za/Fais/Search_FSP.htm, results from</w:t>
            </w:r>
          </w:p>
        </w:tc>
        <w:tc>
          <w:tcPr>
            <w:tcW w:w="1636" w:type="dxa"/>
          </w:tcPr>
          <w:p>
            <w:pPr>
              <w:pStyle w:val="Compact"/>
              <w:jc w:val="left"/>
              <w:spacing w:before="20" w:after="20" w:line="220" w:lineRule="auto"/>
            </w:pPr>
            <w:r>
              <w:rPr>
                <w:sz w:val="15"/>
                <w:szCs w:val="15"/>
              </w:rPr>
              <w:t xml:space="preserve">2026-10-06</w:t>
            </w:r>
          </w:p>
        </w:tc>
        <w:tc>
          <w:tcPr>
            <w:tcW w:w="2273" w:type="dxa"/>
          </w:tcPr>
          <w:p>
            <w:pPr>
              <w:pStyle w:val="Compact"/>
              <w:jc w:val="left"/>
              <w:spacing w:before="20" w:after="20" w:line="220" w:lineRule="auto"/>
            </w:pPr>
            <w:r>
              <w:rPr>
                <w:sz w:val="15"/>
                <w:szCs w:val="15"/>
              </w:rPr>
              <w:t xml:space="preserve">n/a</w:t>
            </w:r>
          </w:p>
        </w:tc>
        <w:tc>
          <w:tcPr>
            <w:tcW w:w="3554" w:type="dxa"/>
          </w:tcPr>
          <w:p>
            <w:pPr>
              <w:pStyle w:val="Compact"/>
              <w:jc w:val="left"/>
              <w:spacing w:before="20" w:after="20" w:line="220" w:lineRule="auto"/>
            </w:pPr>
            <w:r>
              <w:rPr>
                <w:sz w:val="15"/>
                <w:szCs w:val="15"/>
              </w:rPr>
              <w:t xml:space="preserve">https://www2.fsca.co.za/Fais/Search_FSP.htm</w:t>
            </w:r>
          </w:p>
        </w:tc>
      </w:tr>
      <w:tr>
        <w:tc>
          <w:tcPr>
            <w:tcW w:w="1550" w:type="dxa"/>
          </w:tcPr>
          <w:p>
            <w:pPr>
              <w:pStyle w:val="Compact"/>
              <w:jc w:val="left"/>
              <w:spacing w:before="20" w:after="20" w:line="220" w:lineRule="auto"/>
            </w:pPr>
            <w:r>
              <w:rPr>
                <w:sz w:val="15"/>
                <w:szCs w:val="15"/>
              </w:rPr>
              <w:t xml:space="preserve">AFS:S19</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Integrated Report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n/a</w:t>
            </w:r>
          </w:p>
        </w:tc>
        <w:tc>
          <w:tcPr>
            <w:tcW w:w="3554" w:type="dxa"/>
          </w:tcPr>
          <w:p>
            <w:pPr>
              <w:pStyle w:val="Compact"/>
              <w:jc w:val="left"/>
              <w:spacing w:before="20" w:after="20" w:line="220" w:lineRule="auto"/>
            </w:pPr>
            <w:r>
              <w:rPr>
                <w:sz w:val="15"/>
                <w:szCs w:val="15"/>
              </w:rPr>
              <w:t xml:space="preserve">https://www.absa.africa/wp-content/uploads/2026/04/Absa-Group-Limited-Integrated-Report.pdf</w:t>
            </w:r>
          </w:p>
        </w:tc>
      </w:tr>
      <w:tr>
        <w:tc>
          <w:tcPr>
            <w:tcW w:w="1550" w:type="dxa"/>
          </w:tcPr>
          <w:p>
            <w:pPr>
              <w:pStyle w:val="Compact"/>
              <w:jc w:val="left"/>
              <w:spacing w:before="20" w:after="20" w:line="220" w:lineRule="auto"/>
            </w:pPr>
            <w:r>
              <w:rPr>
                <w:sz w:val="15"/>
                <w:szCs w:val="15"/>
              </w:rPr>
              <w:t xml:space="preserve">LB:S01</w:t>
            </w:r>
          </w:p>
        </w:tc>
        <w:tc>
          <w:tcPr>
            <w:tcW w:w="2001" w:type="dxa"/>
          </w:tcPr>
          <w:p>
            <w:pPr>
              <w:pStyle w:val="Compact"/>
              <w:jc w:val="left"/>
              <w:spacing w:before="20" w:after="20" w:line="220" w:lineRule="auto"/>
            </w:pPr>
            <w:r>
              <w:rPr>
                <w:sz w:val="15"/>
                <w:szCs w:val="15"/>
              </w:rPr>
              <w:t xml:space="preserve">Standard Bank Group</w:t>
            </w:r>
          </w:p>
        </w:tc>
        <w:tc>
          <w:tcPr>
            <w:tcW w:w="3554" w:type="dxa"/>
          </w:tcPr>
          <w:p>
            <w:pPr>
              <w:pStyle w:val="Compact"/>
              <w:jc w:val="left"/>
              <w:spacing w:before="20" w:after="20" w:line="220" w:lineRule="auto"/>
            </w:pPr>
            <w:r>
              <w:rPr>
                <w:sz w:val="15"/>
                <w:szCs w:val="15"/>
              </w:rPr>
              <w:t xml:space="preserve">SBG 2024 Annual Results Booklet (double page spreads), analysis of financial results for t</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PDF p17 (printed 31-32), PDF p28-29 (pri</w:t>
            </w:r>
          </w:p>
        </w:tc>
        <w:tc>
          <w:tcPr>
            <w:tcW w:w="3554" w:type="dxa"/>
          </w:tcPr>
          <w:p>
            <w:pPr>
              <w:pStyle w:val="Compact"/>
              <w:jc w:val="left"/>
              <w:spacing w:before="20" w:after="20" w:line="220" w:lineRule="auto"/>
            </w:pPr>
            <w:r>
              <w:rPr>
                <w:sz w:val="15"/>
                <w:szCs w:val="15"/>
              </w:rPr>
              <w:t xml:space="preserve">https://www.standardbank.com/static_file/Investor%20Relations/Documents/Financial-results/Annual-Results/SBG_2</w:t>
            </w:r>
          </w:p>
        </w:tc>
      </w:tr>
      <w:tr>
        <w:tc>
          <w:tcPr>
            <w:tcW w:w="1550" w:type="dxa"/>
          </w:tcPr>
          <w:p>
            <w:pPr>
              <w:pStyle w:val="Compact"/>
              <w:jc w:val="left"/>
              <w:spacing w:before="20" w:after="20" w:line="220" w:lineRule="auto"/>
            </w:pPr>
            <w:r>
              <w:rPr>
                <w:sz w:val="15"/>
                <w:szCs w:val="15"/>
              </w:rPr>
              <w:t xml:space="preserve">LB:S02</w:t>
            </w:r>
          </w:p>
        </w:tc>
        <w:tc>
          <w:tcPr>
            <w:tcW w:w="2001" w:type="dxa"/>
          </w:tcPr>
          <w:p>
            <w:pPr>
              <w:pStyle w:val="Compact"/>
              <w:jc w:val="left"/>
              <w:spacing w:before="20" w:after="20" w:line="220" w:lineRule="auto"/>
            </w:pPr>
            <w:r>
              <w:rPr>
                <w:sz w:val="15"/>
                <w:szCs w:val="15"/>
              </w:rPr>
              <w:t xml:space="preserve">Standard Bank Group</w:t>
            </w:r>
          </w:p>
        </w:tc>
        <w:tc>
          <w:tcPr>
            <w:tcW w:w="3554" w:type="dxa"/>
          </w:tcPr>
          <w:p>
            <w:pPr>
              <w:pStyle w:val="Compact"/>
              <w:jc w:val="left"/>
              <w:spacing w:before="20" w:after="20" w:line="220" w:lineRule="auto"/>
            </w:pPr>
            <w:r>
              <w:rPr>
                <w:sz w:val="15"/>
                <w:szCs w:val="15"/>
              </w:rPr>
              <w:t xml:space="preserve">Standard Bank Group Annual Financial Statements for the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 p21 (income statement), PDF p109-111</w:t>
            </w:r>
          </w:p>
        </w:tc>
        <w:tc>
          <w:tcPr>
            <w:tcW w:w="3554" w:type="dxa"/>
          </w:tcPr>
          <w:p>
            <w:pPr>
              <w:pStyle w:val="Compact"/>
              <w:jc w:val="left"/>
              <w:spacing w:before="20" w:after="20" w:line="220" w:lineRule="auto"/>
            </w:pPr>
            <w:r>
              <w:rPr>
                <w:sz w:val="15"/>
                <w:szCs w:val="15"/>
              </w:rPr>
              <w:t xml:space="preserve">https://www.standardbank.com/static_file/Investor%20Relations/Documents/Financial-results/Annual-Results/SBG-2</w:t>
            </w:r>
          </w:p>
        </w:tc>
      </w:tr>
      <w:tr>
        <w:tc>
          <w:tcPr>
            <w:tcW w:w="1550" w:type="dxa"/>
          </w:tcPr>
          <w:p>
            <w:pPr>
              <w:pStyle w:val="Compact"/>
              <w:jc w:val="left"/>
              <w:spacing w:before="20" w:after="20" w:line="220" w:lineRule="auto"/>
            </w:pPr>
            <w:r>
              <w:rPr>
                <w:sz w:val="15"/>
                <w:szCs w:val="15"/>
              </w:rPr>
              <w:t xml:space="preserve">LB:S03</w:t>
            </w:r>
          </w:p>
        </w:tc>
        <w:tc>
          <w:tcPr>
            <w:tcW w:w="2001" w:type="dxa"/>
          </w:tcPr>
          <w:p>
            <w:pPr>
              <w:pStyle w:val="Compact"/>
              <w:jc w:val="left"/>
              <w:spacing w:before="20" w:after="20" w:line="220" w:lineRule="auto"/>
            </w:pPr>
            <w:r>
              <w:rPr>
                <w:sz w:val="15"/>
                <w:szCs w:val="15"/>
              </w:rPr>
              <w:t xml:space="preserve">Standard Bank Group</w:t>
            </w:r>
          </w:p>
        </w:tc>
        <w:tc>
          <w:tcPr>
            <w:tcW w:w="3554" w:type="dxa"/>
          </w:tcPr>
          <w:p>
            <w:pPr>
              <w:pStyle w:val="Compact"/>
              <w:jc w:val="left"/>
              <w:spacing w:before="20" w:after="20" w:line="220" w:lineRule="auto"/>
            </w:pPr>
            <w:r>
              <w:rPr>
                <w:sz w:val="15"/>
                <w:szCs w:val="15"/>
              </w:rPr>
              <w:t xml:space="preserve">Standard Bank Group Annual Financial Statements for the year ended 31 December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PDF p112-113 (printed 140-141, notes 30-</w:t>
            </w:r>
          </w:p>
        </w:tc>
        <w:tc>
          <w:tcPr>
            <w:tcW w:w="3554" w:type="dxa"/>
          </w:tcPr>
          <w:p>
            <w:pPr>
              <w:pStyle w:val="Compact"/>
              <w:jc w:val="left"/>
              <w:spacing w:before="20" w:after="20" w:line="220" w:lineRule="auto"/>
            </w:pPr>
            <w:r>
              <w:rPr>
                <w:sz w:val="15"/>
                <w:szCs w:val="15"/>
              </w:rPr>
              <w:t xml:space="preserve">https://www.standardbank.com/static_file/Investor%20Relations/Documents/Financial-results/Annual-Results/SBG_2</w:t>
            </w:r>
          </w:p>
        </w:tc>
      </w:tr>
      <w:tr>
        <w:tc>
          <w:tcPr>
            <w:tcW w:w="1550" w:type="dxa"/>
          </w:tcPr>
          <w:p>
            <w:pPr>
              <w:pStyle w:val="Compact"/>
              <w:jc w:val="left"/>
              <w:spacing w:before="20" w:after="20" w:line="220" w:lineRule="auto"/>
            </w:pPr>
            <w:r>
              <w:rPr>
                <w:sz w:val="15"/>
                <w:szCs w:val="15"/>
              </w:rPr>
              <w:t xml:space="preserve">LB:S04</w:t>
            </w:r>
          </w:p>
        </w:tc>
        <w:tc>
          <w:tcPr>
            <w:tcW w:w="2001" w:type="dxa"/>
          </w:tcPr>
          <w:p>
            <w:pPr>
              <w:pStyle w:val="Compact"/>
              <w:jc w:val="left"/>
              <w:spacing w:before="20" w:after="20" w:line="220" w:lineRule="auto"/>
            </w:pPr>
            <w:r>
              <w:rPr>
                <w:sz w:val="15"/>
                <w:szCs w:val="15"/>
              </w:rPr>
              <w:t xml:space="preserve">Standard Bank Group</w:t>
            </w:r>
          </w:p>
        </w:tc>
        <w:tc>
          <w:tcPr>
            <w:tcW w:w="3554" w:type="dxa"/>
          </w:tcPr>
          <w:p>
            <w:pPr>
              <w:pStyle w:val="Compact"/>
              <w:jc w:val="left"/>
              <w:spacing w:before="20" w:after="20" w:line="220" w:lineRule="auto"/>
            </w:pPr>
            <w:r>
              <w:rPr>
                <w:sz w:val="15"/>
                <w:szCs w:val="15"/>
              </w:rPr>
              <w:t xml:space="preserve">Standard Bank Group 2025 Annual Results Presentation, 12 March 2026</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slides 32, 55, 60</w:t>
            </w:r>
          </w:p>
        </w:tc>
        <w:tc>
          <w:tcPr>
            <w:tcW w:w="3554" w:type="dxa"/>
          </w:tcPr>
          <w:p>
            <w:pPr>
              <w:pStyle w:val="Compact"/>
              <w:jc w:val="left"/>
              <w:spacing w:before="20" w:after="20" w:line="220" w:lineRule="auto"/>
            </w:pPr>
            <w:r>
              <w:rPr>
                <w:sz w:val="15"/>
                <w:szCs w:val="15"/>
              </w:rPr>
              <w:t xml:space="preserve">https://www.standardbank.com/static_file/Investor%20Relations/Documents/Financial-results/Annual-Results/SBG_2</w:t>
            </w:r>
          </w:p>
        </w:tc>
      </w:tr>
      <w:tr>
        <w:tc>
          <w:tcPr>
            <w:tcW w:w="1550" w:type="dxa"/>
          </w:tcPr>
          <w:p>
            <w:pPr>
              <w:pStyle w:val="Compact"/>
              <w:jc w:val="left"/>
              <w:spacing w:before="20" w:after="20" w:line="220" w:lineRule="auto"/>
            </w:pPr>
            <w:r>
              <w:rPr>
                <w:sz w:val="15"/>
                <w:szCs w:val="15"/>
              </w:rPr>
              <w:t xml:space="preserve">LB:S05</w:t>
            </w:r>
          </w:p>
        </w:tc>
        <w:tc>
          <w:tcPr>
            <w:tcW w:w="2001" w:type="dxa"/>
          </w:tcPr>
          <w:p>
            <w:pPr>
              <w:pStyle w:val="Compact"/>
              <w:jc w:val="left"/>
              <w:spacing w:before="20" w:after="20" w:line="220" w:lineRule="auto"/>
            </w:pPr>
            <w:r>
              <w:rPr>
                <w:sz w:val="15"/>
                <w:szCs w:val="15"/>
              </w:rPr>
              <w:t xml:space="preserve">Standard Bank Group</w:t>
            </w:r>
          </w:p>
        </w:tc>
        <w:tc>
          <w:tcPr>
            <w:tcW w:w="3554" w:type="dxa"/>
          </w:tcPr>
          <w:p>
            <w:pPr>
              <w:pStyle w:val="Compact"/>
              <w:jc w:val="left"/>
              <w:spacing w:before="20" w:after="20" w:line="220" w:lineRule="auto"/>
            </w:pPr>
            <w:r>
              <w:rPr>
                <w:sz w:val="15"/>
                <w:szCs w:val="15"/>
              </w:rPr>
              <w:t xml:space="preserve">SBG 2026 Interim Results Booklet, analysis of interim financial results for the six months</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PDF p3, p17-18, p29-31 (printed 56-60)</w:t>
            </w:r>
          </w:p>
        </w:tc>
        <w:tc>
          <w:tcPr>
            <w:tcW w:w="3554" w:type="dxa"/>
          </w:tcPr>
          <w:p>
            <w:pPr>
              <w:pStyle w:val="Compact"/>
              <w:jc w:val="left"/>
              <w:spacing w:before="20" w:after="20" w:line="220" w:lineRule="auto"/>
            </w:pPr>
            <w:r>
              <w:rPr>
                <w:sz w:val="15"/>
                <w:szCs w:val="15"/>
              </w:rPr>
              <w:t xml:space="preserve">https://www.standardbank.com/file_source/Investor%20Relations/Documents/Financial-results/Interim-Results/SBG-</w:t>
            </w:r>
          </w:p>
        </w:tc>
      </w:tr>
      <w:tr>
        <w:tc>
          <w:tcPr>
            <w:tcW w:w="1550" w:type="dxa"/>
          </w:tcPr>
          <w:p>
            <w:pPr>
              <w:pStyle w:val="Compact"/>
              <w:jc w:val="left"/>
              <w:spacing w:before="20" w:after="20" w:line="220" w:lineRule="auto"/>
            </w:pPr>
            <w:r>
              <w:rPr>
                <w:sz w:val="15"/>
                <w:szCs w:val="15"/>
              </w:rPr>
              <w:t xml:space="preserve">LB:S06</w:t>
            </w:r>
          </w:p>
        </w:tc>
        <w:tc>
          <w:tcPr>
            <w:tcW w:w="2001" w:type="dxa"/>
          </w:tcPr>
          <w:p>
            <w:pPr>
              <w:pStyle w:val="Compact"/>
              <w:jc w:val="left"/>
              <w:spacing w:before="20" w:after="20" w:line="220" w:lineRule="auto"/>
            </w:pPr>
            <w:r>
              <w:rPr>
                <w:sz w:val="15"/>
                <w:szCs w:val="15"/>
              </w:rPr>
              <w:t xml:space="preserve">Liberty Group Limited</w:t>
            </w:r>
          </w:p>
        </w:tc>
        <w:tc>
          <w:tcPr>
            <w:tcW w:w="3554" w:type="dxa"/>
          </w:tcPr>
          <w:p>
            <w:pPr>
              <w:pStyle w:val="Compact"/>
              <w:jc w:val="left"/>
              <w:spacing w:before="20" w:after="20" w:line="220" w:lineRule="auto"/>
            </w:pPr>
            <w:r>
              <w:rPr>
                <w:sz w:val="15"/>
                <w:szCs w:val="15"/>
              </w:rPr>
              <w:t xml:space="preserve">Liberty Group Limited annual financial statements for the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printed p28 (statement of profit or loss</w:t>
            </w:r>
          </w:p>
        </w:tc>
        <w:tc>
          <w:tcPr>
            <w:tcW w:w="3554" w:type="dxa"/>
          </w:tcPr>
          <w:p>
            <w:pPr>
              <w:pStyle w:val="Compact"/>
              <w:jc w:val="left"/>
              <w:spacing w:before="20" w:after="20" w:line="220" w:lineRule="auto"/>
            </w:pPr>
            <w:r>
              <w:rPr>
                <w:sz w:val="15"/>
                <w:szCs w:val="15"/>
              </w:rPr>
              <w:t xml:space="preserve">https://www.libertyholdings.co.za/Documents/Reports/31122025-liberty-group-limited-afs-2025.pdf</w:t>
            </w:r>
          </w:p>
        </w:tc>
      </w:tr>
      <w:tr>
        <w:tc>
          <w:tcPr>
            <w:tcW w:w="1550" w:type="dxa"/>
          </w:tcPr>
          <w:p>
            <w:pPr>
              <w:pStyle w:val="Compact"/>
              <w:jc w:val="left"/>
              <w:spacing w:before="20" w:after="20" w:line="220" w:lineRule="auto"/>
            </w:pPr>
            <w:r>
              <w:rPr>
                <w:sz w:val="15"/>
                <w:szCs w:val="15"/>
              </w:rPr>
              <w:t xml:space="preserve">LB:S07</w:t>
            </w:r>
          </w:p>
        </w:tc>
        <w:tc>
          <w:tcPr>
            <w:tcW w:w="2001" w:type="dxa"/>
          </w:tcPr>
          <w:p>
            <w:pPr>
              <w:pStyle w:val="Compact"/>
              <w:jc w:val="left"/>
              <w:spacing w:before="20" w:after="20" w:line="220" w:lineRule="auto"/>
            </w:pPr>
            <w:r>
              <w:rPr>
                <w:sz w:val="15"/>
                <w:szCs w:val="15"/>
              </w:rPr>
              <w:t xml:space="preserve">Liberty Group Limited</w:t>
            </w:r>
          </w:p>
        </w:tc>
        <w:tc>
          <w:tcPr>
            <w:tcW w:w="3554" w:type="dxa"/>
          </w:tcPr>
          <w:p>
            <w:pPr>
              <w:pStyle w:val="Compact"/>
              <w:jc w:val="left"/>
              <w:spacing w:before="20" w:after="20" w:line="220" w:lineRule="auto"/>
            </w:pPr>
            <w:r>
              <w:rPr>
                <w:sz w:val="15"/>
                <w:szCs w:val="15"/>
              </w:rPr>
              <w:t xml:space="preserve">Liberty Group Limited annual financial statements for the year ended 31 December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printed p28 (statement of profit or loss</w:t>
            </w:r>
          </w:p>
        </w:tc>
        <w:tc>
          <w:tcPr>
            <w:tcW w:w="3554" w:type="dxa"/>
          </w:tcPr>
          <w:p>
            <w:pPr>
              <w:pStyle w:val="Compact"/>
              <w:jc w:val="left"/>
              <w:spacing w:before="20" w:after="20" w:line="220" w:lineRule="auto"/>
            </w:pPr>
            <w:r>
              <w:rPr>
                <w:sz w:val="15"/>
                <w:szCs w:val="15"/>
              </w:rPr>
              <w:t xml:space="preserve">https://www.libertyholdings.co.za/Documents/Reports/20250320-liberty-group-limited-afs-2024.pdf</w:t>
            </w:r>
          </w:p>
        </w:tc>
      </w:tr>
      <w:tr>
        <w:tc>
          <w:tcPr>
            <w:tcW w:w="1550" w:type="dxa"/>
          </w:tcPr>
          <w:p>
            <w:pPr>
              <w:pStyle w:val="Compact"/>
              <w:jc w:val="left"/>
              <w:spacing w:before="20" w:after="20" w:line="220" w:lineRule="auto"/>
            </w:pPr>
            <w:r>
              <w:rPr>
                <w:sz w:val="15"/>
                <w:szCs w:val="15"/>
              </w:rPr>
              <w:t xml:space="preserve">LB:S08</w:t>
            </w:r>
          </w:p>
        </w:tc>
        <w:tc>
          <w:tcPr>
            <w:tcW w:w="2001" w:type="dxa"/>
          </w:tcPr>
          <w:p>
            <w:pPr>
              <w:pStyle w:val="Compact"/>
              <w:jc w:val="left"/>
              <w:spacing w:before="20" w:after="20" w:line="220" w:lineRule="auto"/>
            </w:pPr>
            <w:r>
              <w:rPr>
                <w:sz w:val="15"/>
                <w:szCs w:val="15"/>
              </w:rPr>
              <w:t xml:space="preserve">FirstRand Limited</w:t>
            </w:r>
          </w:p>
        </w:tc>
        <w:tc>
          <w:tcPr>
            <w:tcW w:w="3554" w:type="dxa"/>
          </w:tcPr>
          <w:p>
            <w:pPr>
              <w:pStyle w:val="Compact"/>
              <w:jc w:val="left"/>
              <w:spacing w:before="20" w:after="20" w:line="220" w:lineRule="auto"/>
            </w:pPr>
            <w:r>
              <w:rPr>
                <w:sz w:val="15"/>
                <w:szCs w:val="15"/>
              </w:rPr>
              <w:t xml:space="preserve">FirstRand analysis of financial results for the year ended 30 June 2025 (single-page print</w:t>
            </w:r>
          </w:p>
        </w:tc>
        <w:tc>
          <w:tcPr>
            <w:tcW w:w="1636" w:type="dxa"/>
          </w:tcPr>
          <w:p>
            <w:pPr>
              <w:pStyle w:val="Compact"/>
              <w:jc w:val="left"/>
              <w:spacing w:before="20" w:after="20" w:line="220" w:lineRule="auto"/>
            </w:pPr>
            <w:r>
              <w:rPr>
                <w:sz w:val="15"/>
                <w:szCs w:val="15"/>
              </w:rPr>
              <w:t xml:space="preserve">FY2025 (June)</w:t>
            </w:r>
          </w:p>
        </w:tc>
        <w:tc>
          <w:tcPr>
            <w:tcW w:w="2273" w:type="dxa"/>
          </w:tcPr>
          <w:p>
            <w:pPr>
              <w:pStyle w:val="Compact"/>
              <w:jc w:val="left"/>
              <w:spacing w:before="20" w:after="20" w:line="220" w:lineRule="auto"/>
            </w:pPr>
            <w:r>
              <w:rPr>
                <w:sz w:val="15"/>
                <w:szCs w:val="15"/>
              </w:rPr>
              <w:t xml:space="preserve">PDF p10, p18, p66-68 (printed 64-66), p1</w:t>
            </w:r>
          </w:p>
        </w:tc>
        <w:tc>
          <w:tcPr>
            <w:tcW w:w="3554" w:type="dxa"/>
          </w:tcPr>
          <w:p>
            <w:pPr>
              <w:pStyle w:val="Compact"/>
              <w:jc w:val="left"/>
              <w:spacing w:before="20" w:after="20" w:line="220" w:lineRule="auto"/>
            </w:pPr>
            <w:r>
              <w:rPr>
                <w:sz w:val="15"/>
                <w:szCs w:val="15"/>
              </w:rPr>
              <w:t xml:space="preserve">https://www.firstrand.co.za/media/investors/reports/fsr-analysis-of-financial-results-June-2025-single-page-pr</w:t>
            </w:r>
          </w:p>
        </w:tc>
      </w:tr>
      <w:tr>
        <w:tc>
          <w:tcPr>
            <w:tcW w:w="1550" w:type="dxa"/>
          </w:tcPr>
          <w:p>
            <w:pPr>
              <w:pStyle w:val="Compact"/>
              <w:jc w:val="left"/>
              <w:spacing w:before="20" w:after="20" w:line="220" w:lineRule="auto"/>
            </w:pPr>
            <w:r>
              <w:rPr>
                <w:sz w:val="15"/>
                <w:szCs w:val="15"/>
              </w:rPr>
              <w:t xml:space="preserve">LB:S09</w:t>
            </w:r>
          </w:p>
        </w:tc>
        <w:tc>
          <w:tcPr>
            <w:tcW w:w="2001" w:type="dxa"/>
          </w:tcPr>
          <w:p>
            <w:pPr>
              <w:pStyle w:val="Compact"/>
              <w:jc w:val="left"/>
              <w:spacing w:before="20" w:after="20" w:line="220" w:lineRule="auto"/>
            </w:pPr>
            <w:r>
              <w:rPr>
                <w:sz w:val="15"/>
                <w:szCs w:val="15"/>
              </w:rPr>
              <w:t xml:space="preserve">FirstRand Limited</w:t>
            </w:r>
          </w:p>
        </w:tc>
        <w:tc>
          <w:tcPr>
            <w:tcW w:w="3554" w:type="dxa"/>
          </w:tcPr>
          <w:p>
            <w:pPr>
              <w:pStyle w:val="Compact"/>
              <w:jc w:val="left"/>
              <w:spacing w:before="20" w:after="20" w:line="220" w:lineRule="auto"/>
            </w:pPr>
            <w:r>
              <w:rPr>
                <w:sz w:val="15"/>
                <w:szCs w:val="15"/>
              </w:rPr>
              <w:t xml:space="preserve">FirstRand analysis of financial results for the six months ended 31 December 2025</w:t>
            </w:r>
          </w:p>
        </w:tc>
        <w:tc>
          <w:tcPr>
            <w:tcW w:w="1636" w:type="dxa"/>
          </w:tcPr>
          <w:p>
            <w:pPr>
              <w:pStyle w:val="Compact"/>
              <w:jc w:val="left"/>
              <w:spacing w:before="20" w:after="20" w:line="220" w:lineRule="auto"/>
            </w:pPr>
            <w:r>
              <w:rPr>
                <w:sz w:val="15"/>
                <w:szCs w:val="15"/>
              </w:rPr>
              <w:t xml:space="preserve">1H FY2026 (Dec 2025)</w:t>
            </w:r>
          </w:p>
        </w:tc>
        <w:tc>
          <w:tcPr>
            <w:tcW w:w="2273" w:type="dxa"/>
          </w:tcPr>
          <w:p>
            <w:pPr>
              <w:pStyle w:val="Compact"/>
              <w:jc w:val="left"/>
              <w:spacing w:before="20" w:after="20" w:line="220" w:lineRule="auto"/>
            </w:pPr>
            <w:r>
              <w:rPr>
                <w:sz w:val="15"/>
                <w:szCs w:val="15"/>
              </w:rPr>
              <w:t xml:space="preserve">PDF p9, p67-69 (printed 65-67), p115 (pr</w:t>
            </w:r>
          </w:p>
        </w:tc>
        <w:tc>
          <w:tcPr>
            <w:tcW w:w="3554" w:type="dxa"/>
          </w:tcPr>
          <w:p>
            <w:pPr>
              <w:pStyle w:val="Compact"/>
              <w:jc w:val="left"/>
              <w:spacing w:before="20" w:after="20" w:line="220" w:lineRule="auto"/>
            </w:pPr>
            <w:r>
              <w:rPr>
                <w:sz w:val="15"/>
                <w:szCs w:val="15"/>
              </w:rPr>
              <w:t xml:space="preserve">https://www.firstrand.co.za/media/investors/reports/fsr-analysis-of-financial-results-dec-2025.pdf</w:t>
            </w:r>
          </w:p>
        </w:tc>
      </w:tr>
      <w:tr>
        <w:tc>
          <w:tcPr>
            <w:tcW w:w="1550" w:type="dxa"/>
          </w:tcPr>
          <w:p>
            <w:pPr>
              <w:pStyle w:val="Compact"/>
              <w:jc w:val="left"/>
              <w:spacing w:before="20" w:after="20" w:line="220" w:lineRule="auto"/>
            </w:pPr>
            <w:r>
              <w:rPr>
                <w:sz w:val="15"/>
                <w:szCs w:val="15"/>
              </w:rPr>
              <w:t xml:space="preserve">LB:S10</w:t>
            </w:r>
          </w:p>
        </w:tc>
        <w:tc>
          <w:tcPr>
            <w:tcW w:w="2001" w:type="dxa"/>
          </w:tcPr>
          <w:p>
            <w:pPr>
              <w:pStyle w:val="Compact"/>
              <w:jc w:val="left"/>
              <w:spacing w:before="20" w:after="20" w:line="220" w:lineRule="auto"/>
            </w:pPr>
            <w:r>
              <w:rPr>
                <w:sz w:val="15"/>
                <w:szCs w:val="15"/>
              </w:rPr>
              <w:t xml:space="preserve">FirstRand Limited</w:t>
            </w:r>
          </w:p>
        </w:tc>
        <w:tc>
          <w:tcPr>
            <w:tcW w:w="3554" w:type="dxa"/>
          </w:tcPr>
          <w:p>
            <w:pPr>
              <w:pStyle w:val="Compact"/>
              <w:jc w:val="left"/>
              <w:spacing w:before="20" w:after="20" w:line="220" w:lineRule="auto"/>
            </w:pPr>
            <w:r>
              <w:rPr>
                <w:sz w:val="15"/>
                <w:szCs w:val="15"/>
              </w:rPr>
              <w:t xml:space="preserve">FirstRand annual financial statements for the year ended 30 June 2025</w:t>
            </w:r>
          </w:p>
        </w:tc>
        <w:tc>
          <w:tcPr>
            <w:tcW w:w="1636" w:type="dxa"/>
          </w:tcPr>
          <w:p>
            <w:pPr>
              <w:pStyle w:val="Compact"/>
              <w:jc w:val="left"/>
              <w:spacing w:before="20" w:after="20" w:line="220" w:lineRule="auto"/>
            </w:pPr>
            <w:r>
              <w:rPr>
                <w:sz w:val="15"/>
                <w:szCs w:val="15"/>
              </w:rPr>
              <w:t xml:space="preserve">FY2025 (June)</w:t>
            </w:r>
          </w:p>
        </w:tc>
        <w:tc>
          <w:tcPr>
            <w:tcW w:w="2273" w:type="dxa"/>
          </w:tcPr>
          <w:p>
            <w:pPr>
              <w:pStyle w:val="Compact"/>
              <w:jc w:val="left"/>
              <w:spacing w:before="20" w:after="20" w:line="220" w:lineRule="auto"/>
            </w:pPr>
            <w:r>
              <w:rPr>
                <w:sz w:val="15"/>
                <w:szCs w:val="15"/>
              </w:rPr>
              <w:t xml:space="preserve">PDF p71 (printed B71, note 2.2), PDF p21</w:t>
            </w:r>
          </w:p>
        </w:tc>
        <w:tc>
          <w:tcPr>
            <w:tcW w:w="3554" w:type="dxa"/>
          </w:tcPr>
          <w:p>
            <w:pPr>
              <w:pStyle w:val="Compact"/>
              <w:jc w:val="left"/>
              <w:spacing w:before="20" w:after="20" w:line="220" w:lineRule="auto"/>
            </w:pPr>
            <w:r>
              <w:rPr>
                <w:sz w:val="15"/>
                <w:szCs w:val="15"/>
              </w:rPr>
              <w:t xml:space="preserve">https://www.firstrand.co.za/media/investors/reports/firstrand-annual-financial-statements-2025.pdf</w:t>
            </w:r>
          </w:p>
        </w:tc>
      </w:tr>
      <w:tr>
        <w:tc>
          <w:tcPr>
            <w:tcW w:w="1550" w:type="dxa"/>
          </w:tcPr>
          <w:p>
            <w:pPr>
              <w:pStyle w:val="Compact"/>
              <w:jc w:val="left"/>
              <w:spacing w:before="20" w:after="20" w:line="220" w:lineRule="auto"/>
            </w:pPr>
            <w:r>
              <w:rPr>
                <w:sz w:val="15"/>
                <w:szCs w:val="15"/>
              </w:rPr>
              <w:t xml:space="preserve">LB:S11</w:t>
            </w:r>
          </w:p>
        </w:tc>
        <w:tc>
          <w:tcPr>
            <w:tcW w:w="2001" w:type="dxa"/>
          </w:tcPr>
          <w:p>
            <w:pPr>
              <w:pStyle w:val="Compact"/>
              <w:jc w:val="left"/>
              <w:spacing w:before="20" w:after="20" w:line="220" w:lineRule="auto"/>
            </w:pPr>
            <w:r>
              <w:rPr>
                <w:sz w:val="15"/>
                <w:szCs w:val="15"/>
              </w:rPr>
              <w:t xml:space="preserve">FirstRand Limited</w:t>
            </w:r>
          </w:p>
        </w:tc>
        <w:tc>
          <w:tcPr>
            <w:tcW w:w="3554" w:type="dxa"/>
          </w:tcPr>
          <w:p>
            <w:pPr>
              <w:pStyle w:val="Compact"/>
              <w:jc w:val="left"/>
              <w:spacing w:before="20" w:after="20" w:line="220" w:lineRule="auto"/>
            </w:pPr>
            <w:r>
              <w:rPr>
                <w:sz w:val="15"/>
                <w:szCs w:val="15"/>
              </w:rPr>
              <w:t xml:space="preserve">FirstRand annual financial statements for the year ended 30 June 2024</w:t>
            </w:r>
          </w:p>
        </w:tc>
        <w:tc>
          <w:tcPr>
            <w:tcW w:w="1636" w:type="dxa"/>
          </w:tcPr>
          <w:p>
            <w:pPr>
              <w:pStyle w:val="Compact"/>
              <w:jc w:val="left"/>
              <w:spacing w:before="20" w:after="20" w:line="220" w:lineRule="auto"/>
            </w:pPr>
            <w:r>
              <w:rPr>
                <w:sz w:val="15"/>
                <w:szCs w:val="15"/>
              </w:rPr>
              <w:t xml:space="preserve">FY2024 (June)</w:t>
            </w:r>
          </w:p>
        </w:tc>
        <w:tc>
          <w:tcPr>
            <w:tcW w:w="2273" w:type="dxa"/>
          </w:tcPr>
          <w:p>
            <w:pPr>
              <w:pStyle w:val="Compact"/>
              <w:jc w:val="left"/>
              <w:spacing w:before="20" w:after="20" w:line="220" w:lineRule="auto"/>
            </w:pPr>
            <w:r>
              <w:rPr>
                <w:sz w:val="15"/>
                <w:szCs w:val="15"/>
              </w:rPr>
              <w:t xml:space="preserve">PDF p63 (note 2.2)</w:t>
            </w:r>
          </w:p>
        </w:tc>
        <w:tc>
          <w:tcPr>
            <w:tcW w:w="3554" w:type="dxa"/>
          </w:tcPr>
          <w:p>
            <w:pPr>
              <w:pStyle w:val="Compact"/>
              <w:jc w:val="left"/>
              <w:spacing w:before="20" w:after="20" w:line="220" w:lineRule="auto"/>
            </w:pPr>
            <w:r>
              <w:rPr>
                <w:sz w:val="15"/>
                <w:szCs w:val="15"/>
              </w:rPr>
              <w:t xml:space="preserve">https://www.firstrand.co.za/media/investors/reports/firstrand-annual-financial-statements-2024.pdf</w:t>
            </w:r>
          </w:p>
        </w:tc>
      </w:tr>
      <w:tr>
        <w:tc>
          <w:tcPr>
            <w:tcW w:w="1550" w:type="dxa"/>
          </w:tcPr>
          <w:p>
            <w:pPr>
              <w:pStyle w:val="Compact"/>
              <w:jc w:val="left"/>
              <w:spacing w:before="20" w:after="20" w:line="220" w:lineRule="auto"/>
            </w:pPr>
            <w:r>
              <w:rPr>
                <w:sz w:val="15"/>
                <w:szCs w:val="15"/>
              </w:rPr>
              <w:t xml:space="preserve">LB:S12</w:t>
            </w:r>
          </w:p>
        </w:tc>
        <w:tc>
          <w:tcPr>
            <w:tcW w:w="2001" w:type="dxa"/>
          </w:tcPr>
          <w:p>
            <w:pPr>
              <w:pStyle w:val="Compact"/>
              <w:jc w:val="left"/>
              <w:spacing w:before="20" w:after="20" w:line="220" w:lineRule="auto"/>
            </w:pPr>
            <w:r>
              <w:rPr>
                <w:sz w:val="15"/>
                <w:szCs w:val="15"/>
              </w:rPr>
              <w:t xml:space="preserve">Nedbank Group</w:t>
            </w:r>
          </w:p>
        </w:tc>
        <w:tc>
          <w:tcPr>
            <w:tcW w:w="3554" w:type="dxa"/>
          </w:tcPr>
          <w:p>
            <w:pPr>
              <w:pStyle w:val="Compact"/>
              <w:jc w:val="left"/>
              <w:spacing w:before="20" w:after="20" w:line="220" w:lineRule="auto"/>
            </w:pPr>
            <w:r>
              <w:rPr>
                <w:sz w:val="15"/>
                <w:szCs w:val="15"/>
              </w:rPr>
              <w:t xml:space="preserve">Nedbank Group Annual Results 2025 booklet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 p43-44 (printed 41-42), PDF p79 (pri</w:t>
            </w:r>
          </w:p>
        </w:tc>
        <w:tc>
          <w:tcPr>
            <w:tcW w:w="3554" w:type="dxa"/>
          </w:tcPr>
          <w:p>
            <w:pPr>
              <w:pStyle w:val="Compact"/>
              <w:jc w:val="left"/>
              <w:spacing w:before="20" w:after="20" w:line="220" w:lineRule="auto"/>
            </w:pPr>
            <w:r>
              <w:rPr>
                <w:sz w:val="15"/>
                <w:szCs w:val="15"/>
              </w:rPr>
              <w:t xml:space="preserve">https://group.nedbank.co.za/content/dam/group/pdf/20_financial-results/2025/annual-results/2025-annual-results</w:t>
            </w:r>
          </w:p>
        </w:tc>
      </w:tr>
      <w:tr>
        <w:tc>
          <w:tcPr>
            <w:tcW w:w="1550" w:type="dxa"/>
          </w:tcPr>
          <w:p>
            <w:pPr>
              <w:pStyle w:val="Compact"/>
              <w:jc w:val="left"/>
              <w:spacing w:before="20" w:after="20" w:line="220" w:lineRule="auto"/>
            </w:pPr>
            <w:r>
              <w:rPr>
                <w:sz w:val="15"/>
                <w:szCs w:val="15"/>
              </w:rPr>
              <w:t xml:space="preserve">LB:S13</w:t>
            </w:r>
          </w:p>
        </w:tc>
        <w:tc>
          <w:tcPr>
            <w:tcW w:w="2001" w:type="dxa"/>
          </w:tcPr>
          <w:p>
            <w:pPr>
              <w:pStyle w:val="Compact"/>
              <w:jc w:val="left"/>
              <w:spacing w:before="20" w:after="20" w:line="220" w:lineRule="auto"/>
            </w:pPr>
            <w:r>
              <w:rPr>
                <w:sz w:val="15"/>
                <w:szCs w:val="15"/>
              </w:rPr>
              <w:t xml:space="preserve">Nedbank Group</w:t>
            </w:r>
          </w:p>
        </w:tc>
        <w:tc>
          <w:tcPr>
            <w:tcW w:w="3554" w:type="dxa"/>
          </w:tcPr>
          <w:p>
            <w:pPr>
              <w:pStyle w:val="Compact"/>
              <w:jc w:val="left"/>
              <w:spacing w:before="20" w:after="20" w:line="220" w:lineRule="auto"/>
            </w:pPr>
            <w:r>
              <w:rPr>
                <w:sz w:val="15"/>
                <w:szCs w:val="15"/>
              </w:rPr>
              <w:t xml:space="preserve">Nedbank Group Annual Results 2024 booklet (year ended 31 December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PDF p49-50, PDF p82 (printed 80), PDF p8</w:t>
            </w:r>
          </w:p>
        </w:tc>
        <w:tc>
          <w:tcPr>
            <w:tcW w:w="3554" w:type="dxa"/>
          </w:tcPr>
          <w:p>
            <w:pPr>
              <w:pStyle w:val="Compact"/>
              <w:jc w:val="left"/>
              <w:spacing w:before="20" w:after="20" w:line="220" w:lineRule="auto"/>
            </w:pPr>
            <w:r>
              <w:rPr>
                <w:sz w:val="15"/>
                <w:szCs w:val="15"/>
              </w:rPr>
              <w:t xml:space="preserve">https://group.nedbank.co.za/content/dam/group/pdf/20_financial-results/2024/annual-results/2024-annual-results</w:t>
            </w:r>
          </w:p>
        </w:tc>
      </w:tr>
      <w:tr>
        <w:tc>
          <w:tcPr>
            <w:tcW w:w="1550" w:type="dxa"/>
          </w:tcPr>
          <w:p>
            <w:pPr>
              <w:pStyle w:val="Compact"/>
              <w:jc w:val="left"/>
              <w:spacing w:before="20" w:after="20" w:line="220" w:lineRule="auto"/>
            </w:pPr>
            <w:r>
              <w:rPr>
                <w:sz w:val="15"/>
                <w:szCs w:val="15"/>
              </w:rPr>
              <w:t xml:space="preserve">LB:S14</w:t>
            </w:r>
          </w:p>
        </w:tc>
        <w:tc>
          <w:tcPr>
            <w:tcW w:w="2001" w:type="dxa"/>
          </w:tcPr>
          <w:p>
            <w:pPr>
              <w:pStyle w:val="Compact"/>
              <w:jc w:val="left"/>
              <w:spacing w:before="20" w:after="20" w:line="220" w:lineRule="auto"/>
            </w:pPr>
            <w:r>
              <w:rPr>
                <w:sz w:val="15"/>
                <w:szCs w:val="15"/>
              </w:rPr>
              <w:t xml:space="preserve">Nedbank Group</w:t>
            </w:r>
          </w:p>
        </w:tc>
        <w:tc>
          <w:tcPr>
            <w:tcW w:w="3554" w:type="dxa"/>
          </w:tcPr>
          <w:p>
            <w:pPr>
              <w:pStyle w:val="Compact"/>
              <w:jc w:val="left"/>
              <w:spacing w:before="20" w:after="20" w:line="220" w:lineRule="auto"/>
            </w:pPr>
            <w:r>
              <w:rPr>
                <w:sz w:val="15"/>
                <w:szCs w:val="15"/>
              </w:rPr>
              <w:t xml:space="preserve">Nedbank Group Interim Results 2026 booklet (six months ended 30 June 2026)</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PDF p22, PDF p39</w:t>
            </w:r>
          </w:p>
        </w:tc>
        <w:tc>
          <w:tcPr>
            <w:tcW w:w="3554" w:type="dxa"/>
          </w:tcPr>
          <w:p>
            <w:pPr>
              <w:pStyle w:val="Compact"/>
              <w:jc w:val="left"/>
              <w:spacing w:before="20" w:after="20" w:line="220" w:lineRule="auto"/>
            </w:pPr>
            <w:r>
              <w:rPr>
                <w:sz w:val="15"/>
                <w:szCs w:val="15"/>
              </w:rPr>
              <w:t xml:space="preserve">https://group.nedbank.co.za/content/dam/group/pdf/20_financial-results/2026/interim-results/2026-interim-resul</w:t>
            </w:r>
          </w:p>
        </w:tc>
      </w:tr>
      <w:tr>
        <w:tc>
          <w:tcPr>
            <w:tcW w:w="1550" w:type="dxa"/>
          </w:tcPr>
          <w:p>
            <w:pPr>
              <w:pStyle w:val="Compact"/>
              <w:jc w:val="left"/>
              <w:spacing w:before="20" w:after="20" w:line="220" w:lineRule="auto"/>
            </w:pPr>
            <w:r>
              <w:rPr>
                <w:sz w:val="15"/>
                <w:szCs w:val="15"/>
              </w:rPr>
              <w:t xml:space="preserve">LB:S15</w:t>
            </w:r>
          </w:p>
        </w:tc>
        <w:tc>
          <w:tcPr>
            <w:tcW w:w="2001" w:type="dxa"/>
          </w:tcPr>
          <w:p>
            <w:pPr>
              <w:pStyle w:val="Compact"/>
              <w:jc w:val="left"/>
              <w:spacing w:before="20" w:after="20" w:line="220" w:lineRule="auto"/>
            </w:pPr>
            <w:r>
              <w:rPr>
                <w:sz w:val="15"/>
                <w:szCs w:val="15"/>
              </w:rPr>
              <w:t xml:space="preserve">Nedbank Group</w:t>
            </w:r>
          </w:p>
        </w:tc>
        <w:tc>
          <w:tcPr>
            <w:tcW w:w="3554" w:type="dxa"/>
          </w:tcPr>
          <w:p>
            <w:pPr>
              <w:pStyle w:val="Compact"/>
              <w:jc w:val="left"/>
              <w:spacing w:before="20" w:after="20" w:line="220" w:lineRule="auto"/>
            </w:pPr>
            <w:r>
              <w:rPr>
                <w:sz w:val="15"/>
                <w:szCs w:val="15"/>
              </w:rPr>
              <w:t xml:space="preserve">Nedbank Group audited consolidated and separate annual financial statements for the year e</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PDF p22 (income statement note B6.2), PD</w:t>
            </w:r>
          </w:p>
        </w:tc>
        <w:tc>
          <w:tcPr>
            <w:tcW w:w="3554" w:type="dxa"/>
          </w:tcPr>
          <w:p>
            <w:pPr>
              <w:pStyle w:val="Compact"/>
              <w:jc w:val="left"/>
              <w:spacing w:before="20" w:after="20" w:line="220" w:lineRule="auto"/>
            </w:pPr>
            <w:r>
              <w:rPr>
                <w:sz w:val="15"/>
                <w:szCs w:val="15"/>
              </w:rPr>
              <w:t xml:space="preserve">https://group.nedbank.co.za/content/dam/group/pdf/20_financial-results/2025/annual-results/2025-annual-financi</w:t>
            </w:r>
          </w:p>
        </w:tc>
      </w:tr>
      <w:tr>
        <w:tc>
          <w:tcPr>
            <w:tcW w:w="1550" w:type="dxa"/>
          </w:tcPr>
          <w:p>
            <w:pPr>
              <w:pStyle w:val="Compact"/>
              <w:jc w:val="left"/>
              <w:spacing w:before="20" w:after="20" w:line="220" w:lineRule="auto"/>
            </w:pPr>
            <w:r>
              <w:rPr>
                <w:sz w:val="15"/>
                <w:szCs w:val="15"/>
              </w:rPr>
              <w:t xml:space="preserve">LB:S16</w:t>
            </w:r>
          </w:p>
        </w:tc>
        <w:tc>
          <w:tcPr>
            <w:tcW w:w="2001" w:type="dxa"/>
          </w:tcPr>
          <w:p>
            <w:pPr>
              <w:pStyle w:val="Compact"/>
              <w:jc w:val="left"/>
              <w:spacing w:before="20" w:after="20" w:line="220" w:lineRule="auto"/>
            </w:pPr>
            <w:r>
              <w:rPr>
                <w:sz w:val="15"/>
                <w:szCs w:val="15"/>
              </w:rPr>
              <w:t xml:space="preserve">Nedbank Group</w:t>
            </w:r>
          </w:p>
        </w:tc>
        <w:tc>
          <w:tcPr>
            <w:tcW w:w="3554" w:type="dxa"/>
          </w:tcPr>
          <w:p>
            <w:pPr>
              <w:pStyle w:val="Compact"/>
              <w:jc w:val="left"/>
              <w:spacing w:before="20" w:after="20" w:line="220" w:lineRule="auto"/>
            </w:pPr>
            <w:r>
              <w:rPr>
                <w:sz w:val="15"/>
                <w:szCs w:val="15"/>
              </w:rPr>
              <w:t xml:space="preserve">Nedbank Group audited consolidated and separate annual financial statements for the year e</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PDF p134-135 (printed 133-134, note D4.1</w:t>
            </w:r>
          </w:p>
        </w:tc>
        <w:tc>
          <w:tcPr>
            <w:tcW w:w="3554" w:type="dxa"/>
          </w:tcPr>
          <w:p>
            <w:pPr>
              <w:pStyle w:val="Compact"/>
              <w:jc w:val="left"/>
              <w:spacing w:before="20" w:after="20" w:line="220" w:lineRule="auto"/>
            </w:pPr>
            <w:r>
              <w:rPr>
                <w:sz w:val="15"/>
                <w:szCs w:val="15"/>
              </w:rPr>
              <w:t xml:space="preserve">https://group.nedbank.co.za/content/dam/group/pdf/20_financial-results/2024/annual-results/2024-annual-financi</w:t>
            </w:r>
          </w:p>
        </w:tc>
      </w:tr>
      <w:tr>
        <w:tc>
          <w:tcPr>
            <w:tcW w:w="1550" w:type="dxa"/>
          </w:tcPr>
          <w:p>
            <w:pPr>
              <w:pStyle w:val="Compact"/>
              <w:jc w:val="left"/>
              <w:spacing w:before="20" w:after="20" w:line="220" w:lineRule="auto"/>
            </w:pPr>
            <w:r>
              <w:rPr>
                <w:sz w:val="15"/>
                <w:szCs w:val="15"/>
              </w:rPr>
              <w:t xml:space="preserve">LB:S17</w:t>
            </w:r>
          </w:p>
        </w:tc>
        <w:tc>
          <w:tcPr>
            <w:tcW w:w="2001" w:type="dxa"/>
          </w:tcPr>
          <w:p>
            <w:pPr>
              <w:pStyle w:val="Compact"/>
              <w:jc w:val="left"/>
              <w:spacing w:before="20" w:after="20" w:line="220" w:lineRule="auto"/>
            </w:pPr>
            <w:r>
              <w:rPr>
                <w:sz w:val="15"/>
                <w:szCs w:val="15"/>
              </w:rPr>
              <w:t xml:space="preserve">Capitec Bank Holdings Limited</w:t>
            </w:r>
          </w:p>
        </w:tc>
        <w:tc>
          <w:tcPr>
            <w:tcW w:w="3554" w:type="dxa"/>
          </w:tcPr>
          <w:p>
            <w:pPr>
              <w:pStyle w:val="Compact"/>
              <w:jc w:val="left"/>
              <w:spacing w:before="20" w:after="20" w:line="220" w:lineRule="auto"/>
            </w:pPr>
            <w:r>
              <w:rPr>
                <w:sz w:val="15"/>
                <w:szCs w:val="15"/>
              </w:rPr>
              <w:t xml:space="preserve">Capitec Bank Holdings Limited integrated annual report for the year ended 28 February 2026</w:t>
            </w:r>
          </w:p>
        </w:tc>
        <w:tc>
          <w:tcPr>
            <w:tcW w:w="1636" w:type="dxa"/>
          </w:tcPr>
          <w:p>
            <w:pPr>
              <w:pStyle w:val="Compact"/>
              <w:jc w:val="left"/>
              <w:spacing w:before="20" w:after="20" w:line="220" w:lineRule="auto"/>
            </w:pPr>
            <w:r>
              <w:rPr>
                <w:sz w:val="15"/>
                <w:szCs w:val="15"/>
              </w:rPr>
              <w:t xml:space="preserve">FY2026 (Feb)</w:t>
            </w:r>
          </w:p>
        </w:tc>
        <w:tc>
          <w:tcPr>
            <w:tcW w:w="2273" w:type="dxa"/>
          </w:tcPr>
          <w:p>
            <w:pPr>
              <w:pStyle w:val="Compact"/>
              <w:jc w:val="left"/>
              <w:spacing w:before="20" w:after="20" w:line="220" w:lineRule="auto"/>
            </w:pPr>
            <w:r>
              <w:rPr>
                <w:sz w:val="15"/>
                <w:szCs w:val="15"/>
              </w:rPr>
              <w:t xml:space="preserve">printed p8 (five years at a glance), p22</w:t>
            </w:r>
          </w:p>
        </w:tc>
        <w:tc>
          <w:tcPr>
            <w:tcW w:w="3554" w:type="dxa"/>
          </w:tcPr>
          <w:p>
            <w:pPr>
              <w:pStyle w:val="Compact"/>
              <w:jc w:val="left"/>
              <w:spacing w:before="20" w:after="20" w:line="220" w:lineRule="auto"/>
            </w:pPr>
            <w:r>
              <w:rPr>
                <w:sz w:val="15"/>
                <w:szCs w:val="15"/>
              </w:rPr>
              <w:t xml:space="preserve">https://senspdf.jse.co.za/documents/2026/JSE/ISSE/CPI/CPIFY26.pdf</w:t>
            </w:r>
          </w:p>
        </w:tc>
      </w:tr>
      <w:tr>
        <w:tc>
          <w:tcPr>
            <w:tcW w:w="1550" w:type="dxa"/>
          </w:tcPr>
          <w:p>
            <w:pPr>
              <w:pStyle w:val="Compact"/>
              <w:jc w:val="left"/>
              <w:spacing w:before="20" w:after="20" w:line="220" w:lineRule="auto"/>
            </w:pPr>
            <w:r>
              <w:rPr>
                <w:sz w:val="15"/>
                <w:szCs w:val="15"/>
              </w:rPr>
              <w:t xml:space="preserve">LB:S18</w:t>
            </w:r>
          </w:p>
        </w:tc>
        <w:tc>
          <w:tcPr>
            <w:tcW w:w="2001" w:type="dxa"/>
          </w:tcPr>
          <w:p>
            <w:pPr>
              <w:pStyle w:val="Compact"/>
              <w:jc w:val="left"/>
              <w:spacing w:before="20" w:after="20" w:line="220" w:lineRule="auto"/>
            </w:pPr>
            <w:r>
              <w:rPr>
                <w:sz w:val="15"/>
                <w:szCs w:val="15"/>
              </w:rPr>
              <w:t xml:space="preserve">Capitec Bank Holdings Limited</w:t>
            </w:r>
          </w:p>
        </w:tc>
        <w:tc>
          <w:tcPr>
            <w:tcW w:w="3554" w:type="dxa"/>
          </w:tcPr>
          <w:p>
            <w:pPr>
              <w:pStyle w:val="Compact"/>
              <w:jc w:val="left"/>
              <w:spacing w:before="20" w:after="20" w:line="220" w:lineRule="auto"/>
            </w:pPr>
            <w:r>
              <w:rPr>
                <w:sz w:val="15"/>
                <w:szCs w:val="15"/>
              </w:rPr>
              <w:t xml:space="preserve">Capitec Bank Holdings Limited unaudited financial results for the six months ended 31 Augu</w:t>
            </w:r>
          </w:p>
        </w:tc>
        <w:tc>
          <w:tcPr>
            <w:tcW w:w="1636" w:type="dxa"/>
          </w:tcPr>
          <w:p>
            <w:pPr>
              <w:pStyle w:val="Compact"/>
              <w:jc w:val="left"/>
              <w:spacing w:before="20" w:after="20" w:line="220" w:lineRule="auto"/>
            </w:pPr>
            <w:r>
              <w:rPr>
                <w:sz w:val="15"/>
                <w:szCs w:val="15"/>
              </w:rPr>
              <w:t xml:space="preserve">1H FY2026 (Aug 2025)</w:t>
            </w:r>
          </w:p>
        </w:tc>
        <w:tc>
          <w:tcPr>
            <w:tcW w:w="2273" w:type="dxa"/>
          </w:tcPr>
          <w:p>
            <w:pPr>
              <w:pStyle w:val="Compact"/>
              <w:jc w:val="left"/>
              <w:spacing w:before="20" w:after="20" w:line="220" w:lineRule="auto"/>
            </w:pPr>
            <w:r>
              <w:rPr>
                <w:sz w:val="15"/>
                <w:szCs w:val="15"/>
              </w:rPr>
              <w:t xml:space="preserve">printed p11-12 (insurance commentary), p</w:t>
            </w:r>
          </w:p>
        </w:tc>
        <w:tc>
          <w:tcPr>
            <w:tcW w:w="3554" w:type="dxa"/>
          </w:tcPr>
          <w:p>
            <w:pPr>
              <w:pStyle w:val="Compact"/>
              <w:jc w:val="left"/>
              <w:spacing w:before="20" w:after="20" w:line="220" w:lineRule="auto"/>
            </w:pPr>
            <w:r>
              <w:rPr>
                <w:sz w:val="15"/>
                <w:szCs w:val="15"/>
              </w:rPr>
              <w:t xml:space="preserve">https://senspdf.jse.co.za/documents/2025/JSE/ISSE/CPI/CPIHY26.pdf</w:t>
            </w:r>
          </w:p>
        </w:tc>
      </w:tr>
      <w:tr>
        <w:tc>
          <w:tcPr>
            <w:tcW w:w="1550" w:type="dxa"/>
          </w:tcPr>
          <w:p>
            <w:pPr>
              <w:pStyle w:val="Compact"/>
              <w:jc w:val="left"/>
              <w:spacing w:before="20" w:after="20" w:line="220" w:lineRule="auto"/>
            </w:pPr>
            <w:r>
              <w:rPr>
                <w:sz w:val="15"/>
                <w:szCs w:val="15"/>
              </w:rPr>
              <w:t xml:space="preserve">LB:S19</w:t>
            </w:r>
          </w:p>
        </w:tc>
        <w:tc>
          <w:tcPr>
            <w:tcW w:w="2001" w:type="dxa"/>
          </w:tcPr>
          <w:p>
            <w:pPr>
              <w:pStyle w:val="Compact"/>
              <w:jc w:val="left"/>
              <w:spacing w:before="20" w:after="20" w:line="220" w:lineRule="auto"/>
            </w:pPr>
            <w:r>
              <w:rPr>
                <w:sz w:val="15"/>
                <w:szCs w:val="15"/>
              </w:rPr>
              <w:t xml:space="preserve">KPMG South Africa</w:t>
            </w:r>
          </w:p>
        </w:tc>
        <w:tc>
          <w:tcPr>
            <w:tcW w:w="3554" w:type="dxa"/>
          </w:tcPr>
          <w:p>
            <w:pPr>
              <w:pStyle w:val="Compact"/>
              <w:jc w:val="left"/>
              <w:spacing w:before="20" w:after="20" w:line="220" w:lineRule="auto"/>
            </w:pPr>
            <w:r>
              <w:rPr>
                <w:sz w:val="15"/>
                <w:szCs w:val="15"/>
              </w:rPr>
              <w:t xml:space="preserve">The South African Insurance Industry Survey 2025 (financial results of 2024)</w:t>
            </w:r>
          </w:p>
        </w:tc>
        <w:tc>
          <w:tcPr>
            <w:tcW w:w="1636" w:type="dxa"/>
          </w:tcPr>
          <w:p>
            <w:pPr>
              <w:pStyle w:val="Compact"/>
              <w:jc w:val="left"/>
              <w:spacing w:before="20" w:after="20" w:line="220" w:lineRule="auto"/>
            </w:pPr>
            <w:r>
              <w:rPr>
                <w:sz w:val="15"/>
                <w:szCs w:val="15"/>
              </w:rPr>
              <w:t xml:space="preserve">FY2024 / FY2023 restated</w:t>
            </w:r>
          </w:p>
        </w:tc>
        <w:tc>
          <w:tcPr>
            <w:tcW w:w="2273" w:type="dxa"/>
          </w:tcPr>
          <w:p>
            <w:pPr>
              <w:pStyle w:val="Compact"/>
              <w:jc w:val="left"/>
              <w:spacing w:before="20" w:after="20" w:line="220" w:lineRule="auto"/>
            </w:pPr>
            <w:r>
              <w:rPr>
                <w:sz w:val="15"/>
                <w:szCs w:val="15"/>
              </w:rPr>
              <w:t xml:space="preserve">PDF p186-187 (printed 185-186, life SOFP</w:t>
            </w:r>
          </w:p>
        </w:tc>
        <w:tc>
          <w:tcPr>
            <w:tcW w:w="3554" w:type="dxa"/>
          </w:tcPr>
          <w:p>
            <w:pPr>
              <w:pStyle w:val="Compact"/>
              <w:jc w:val="left"/>
              <w:spacing w:before="20" w:after="20" w:line="220" w:lineRule="auto"/>
            </w:pPr>
            <w:r>
              <w:rPr>
                <w:sz w:val="15"/>
                <w:szCs w:val="15"/>
              </w:rPr>
              <w:t xml:space="preserve">https://assets.kpmg.com/content/dam/kpmgsites/za/pdf/2025/Insurance%20Survey%202025%20Final_.pdf</w:t>
            </w:r>
          </w:p>
        </w:tc>
      </w:tr>
      <w:tr>
        <w:tc>
          <w:tcPr>
            <w:tcW w:w="1550" w:type="dxa"/>
          </w:tcPr>
          <w:p>
            <w:pPr>
              <w:pStyle w:val="Compact"/>
              <w:jc w:val="left"/>
              <w:spacing w:before="20" w:after="20" w:line="220" w:lineRule="auto"/>
            </w:pPr>
            <w:r>
              <w:rPr>
                <w:sz w:val="15"/>
                <w:szCs w:val="15"/>
              </w:rPr>
              <w:t xml:space="preserve">LB:S20</w:t>
            </w:r>
          </w:p>
        </w:tc>
        <w:tc>
          <w:tcPr>
            <w:tcW w:w="2001" w:type="dxa"/>
          </w:tcPr>
          <w:p>
            <w:pPr>
              <w:pStyle w:val="Compact"/>
              <w:jc w:val="left"/>
              <w:spacing w:before="20" w:after="20" w:line="220" w:lineRule="auto"/>
            </w:pPr>
            <w:r>
              <w:rPr>
                <w:sz w:val="15"/>
                <w:szCs w:val="15"/>
              </w:rPr>
              <w:t xml:space="preserve">KPMG South Africa</w:t>
            </w:r>
          </w:p>
        </w:tc>
        <w:tc>
          <w:tcPr>
            <w:tcW w:w="3554" w:type="dxa"/>
          </w:tcPr>
          <w:p>
            <w:pPr>
              <w:pStyle w:val="Compact"/>
              <w:jc w:val="left"/>
              <w:spacing w:before="20" w:after="20" w:line="220" w:lineRule="auto"/>
            </w:pPr>
            <w:r>
              <w:rPr>
                <w:sz w:val="15"/>
                <w:szCs w:val="15"/>
              </w:rPr>
              <w:t xml:space="preserve">The South African Insurance Industry Survey 2024 (financial results of 2023)</w:t>
            </w:r>
          </w:p>
        </w:tc>
        <w:tc>
          <w:tcPr>
            <w:tcW w:w="1636" w:type="dxa"/>
          </w:tcPr>
          <w:p>
            <w:pPr>
              <w:pStyle w:val="Compact"/>
              <w:jc w:val="left"/>
              <w:spacing w:before="20" w:after="20" w:line="220" w:lineRule="auto"/>
            </w:pPr>
            <w:r>
              <w:rPr>
                <w:sz w:val="15"/>
                <w:szCs w:val="15"/>
              </w:rPr>
              <w:t xml:space="preserve">FY2023 / FY2022 restated</w:t>
            </w:r>
          </w:p>
        </w:tc>
        <w:tc>
          <w:tcPr>
            <w:tcW w:w="2273" w:type="dxa"/>
          </w:tcPr>
          <w:p>
            <w:pPr>
              <w:pStyle w:val="Compact"/>
              <w:jc w:val="left"/>
              <w:spacing w:before="20" w:after="20" w:line="220" w:lineRule="auto"/>
            </w:pPr>
            <w:r>
              <w:rPr>
                <w:sz w:val="15"/>
                <w:szCs w:val="15"/>
              </w:rPr>
              <w:t xml:space="preserve">PDF p224 (printed 222, life SOFP), PDF p</w:t>
            </w:r>
          </w:p>
        </w:tc>
        <w:tc>
          <w:tcPr>
            <w:tcW w:w="3554" w:type="dxa"/>
          </w:tcPr>
          <w:p>
            <w:pPr>
              <w:pStyle w:val="Compact"/>
              <w:jc w:val="left"/>
              <w:spacing w:before="20" w:after="20" w:line="220" w:lineRule="auto"/>
            </w:pPr>
            <w:r>
              <w:rPr>
                <w:sz w:val="15"/>
                <w:szCs w:val="15"/>
              </w:rPr>
              <w:t xml:space="preserve">https://assets.kpmg.com/content/dam/kpmgsites/za/pdf/2024/Insurance-Survey-2024-Final.pdf</w:t>
            </w:r>
          </w:p>
        </w:tc>
      </w:tr>
      <w:tr>
        <w:tc>
          <w:tcPr>
            <w:tcW w:w="1550" w:type="dxa"/>
          </w:tcPr>
          <w:p>
            <w:pPr>
              <w:pStyle w:val="Compact"/>
              <w:jc w:val="left"/>
              <w:spacing w:before="20" w:after="20" w:line="220" w:lineRule="auto"/>
            </w:pPr>
            <w:r>
              <w:rPr>
                <w:sz w:val="15"/>
                <w:szCs w:val="15"/>
              </w:rPr>
              <w:t xml:space="preserve">LN:SLM-AFS25</w:t>
            </w:r>
          </w:p>
        </w:tc>
        <w:tc>
          <w:tcPr>
            <w:tcW w:w="2001" w:type="dxa"/>
          </w:tcPr>
          <w:p>
            <w:pPr>
              <w:pStyle w:val="Compact"/>
              <w:jc w:val="left"/>
              <w:spacing w:before="20" w:after="20" w:line="220" w:lineRule="auto"/>
            </w:pPr>
            <w:r>
              <w:rPr>
                <w:sz w:val="15"/>
                <w:szCs w:val="15"/>
              </w:rPr>
              <w:t xml:space="preserve">Sanlam Limited</w:t>
            </w:r>
          </w:p>
        </w:tc>
        <w:tc>
          <w:tcPr>
            <w:tcW w:w="3554" w:type="dxa"/>
          </w:tcPr>
          <w:p>
            <w:pPr>
              <w:pStyle w:val="Compact"/>
              <w:jc w:val="left"/>
              <w:spacing w:before="20" w:after="20" w:line="220" w:lineRule="auto"/>
            </w:pPr>
            <w:r>
              <w:rPr>
                <w:sz w:val="15"/>
                <w:szCs w:val="15"/>
              </w:rPr>
              <w:t xml:space="preserve">Sanlam Limited Annual Financial Statements 2025 (spreads PDF; page numbers are PDF spread</w:t>
            </w:r>
          </w:p>
        </w:tc>
        <w:tc>
          <w:tcPr>
            <w:tcW w:w="1636" w:type="dxa"/>
          </w:tcPr>
          <w:p>
            <w:pPr>
              <w:pStyle w:val="Compact"/>
              <w:jc w:val="left"/>
              <w:spacing w:before="20" w:after="20" w:line="220" w:lineRule="auto"/>
            </w:pPr>
            <w:r>
              <w:rPr>
                <w:sz w:val="15"/>
                <w:szCs w:val="15"/>
              </w:rPr>
              <w:t xml:space="preserve">FY2025 (31 Dec 2025) with rest</w:t>
            </w:r>
          </w:p>
        </w:tc>
        <w:tc>
          <w:tcPr>
            <w:tcW w:w="2273" w:type="dxa"/>
          </w:tcPr>
          <w:p>
            <w:pPr>
              <w:pStyle w:val="Compact"/>
              <w:jc w:val="left"/>
              <w:spacing w:before="20" w:after="20" w:line="220" w:lineRule="auto"/>
            </w:pPr>
            <w:r>
              <w:rPr>
                <w:sz w:val="15"/>
                <w:szCs w:val="15"/>
              </w:rPr>
              <w:t xml:space="preserve">46;49;78;105</w:t>
            </w:r>
          </w:p>
        </w:tc>
        <w:tc>
          <w:tcPr>
            <w:tcW w:w="3554" w:type="dxa"/>
          </w:tcPr>
          <w:p>
            <w:pPr>
              <w:pStyle w:val="Compact"/>
              <w:jc w:val="left"/>
              <w:spacing w:before="20" w:after="20" w:line="220" w:lineRule="auto"/>
            </w:pPr>
            <w:r>
              <w:rPr>
                <w:sz w:val="15"/>
                <w:szCs w:val="15"/>
              </w:rPr>
              <w:t xml:space="preserve">https://www.sanlam.com/downloads/integrated-report-and-annual-financial-statements/2025/Sanlam-AFS-2025-spread</w:t>
            </w:r>
          </w:p>
        </w:tc>
      </w:tr>
      <w:tr>
        <w:tc>
          <w:tcPr>
            <w:tcW w:w="1550" w:type="dxa"/>
          </w:tcPr>
          <w:p>
            <w:pPr>
              <w:pStyle w:val="Compact"/>
              <w:jc w:val="left"/>
              <w:spacing w:before="20" w:after="20" w:line="220" w:lineRule="auto"/>
            </w:pPr>
            <w:r>
              <w:rPr>
                <w:sz w:val="15"/>
                <w:szCs w:val="15"/>
              </w:rPr>
              <w:t xml:space="preserve">LN:SLM-AFS24</w:t>
            </w:r>
          </w:p>
        </w:tc>
        <w:tc>
          <w:tcPr>
            <w:tcW w:w="2001" w:type="dxa"/>
          </w:tcPr>
          <w:p>
            <w:pPr>
              <w:pStyle w:val="Compact"/>
              <w:jc w:val="left"/>
              <w:spacing w:before="20" w:after="20" w:line="220" w:lineRule="auto"/>
            </w:pPr>
            <w:r>
              <w:rPr>
                <w:sz w:val="15"/>
                <w:szCs w:val="15"/>
              </w:rPr>
              <w:t xml:space="preserve">Sanlam Limited</w:t>
            </w:r>
          </w:p>
        </w:tc>
        <w:tc>
          <w:tcPr>
            <w:tcW w:w="3554" w:type="dxa"/>
          </w:tcPr>
          <w:p>
            <w:pPr>
              <w:pStyle w:val="Compact"/>
              <w:jc w:val="left"/>
              <w:spacing w:before="20" w:after="20" w:line="220" w:lineRule="auto"/>
            </w:pPr>
            <w:r>
              <w:rPr>
                <w:sz w:val="15"/>
                <w:szCs w:val="15"/>
              </w:rPr>
              <w:t xml:space="preserve">Sanlam Limited Annual Financial Statements 2024 (spreads PDF)</w:t>
            </w:r>
          </w:p>
        </w:tc>
        <w:tc>
          <w:tcPr>
            <w:tcW w:w="1636" w:type="dxa"/>
          </w:tcPr>
          <w:p>
            <w:pPr>
              <w:pStyle w:val="Compact"/>
              <w:jc w:val="left"/>
              <w:spacing w:before="20" w:after="20" w:line="220" w:lineRule="auto"/>
            </w:pPr>
            <w:r>
              <w:rPr>
                <w:sz w:val="15"/>
                <w:szCs w:val="15"/>
              </w:rPr>
              <w:t xml:space="preserve">FY2024 with FY2023 comparative</w:t>
            </w:r>
          </w:p>
        </w:tc>
        <w:tc>
          <w:tcPr>
            <w:tcW w:w="2273" w:type="dxa"/>
          </w:tcPr>
          <w:p>
            <w:pPr>
              <w:pStyle w:val="Compact"/>
              <w:jc w:val="left"/>
              <w:spacing w:before="20" w:after="20" w:line="220" w:lineRule="auto"/>
            </w:pPr>
            <w:r>
              <w:rPr>
                <w:sz w:val="15"/>
                <w:szCs w:val="15"/>
              </w:rPr>
              <w:t xml:space="preserve">42;97</w:t>
            </w:r>
          </w:p>
        </w:tc>
        <w:tc>
          <w:tcPr>
            <w:tcW w:w="3554" w:type="dxa"/>
          </w:tcPr>
          <w:p>
            <w:pPr>
              <w:pStyle w:val="Compact"/>
              <w:jc w:val="left"/>
              <w:spacing w:before="20" w:after="20" w:line="220" w:lineRule="auto"/>
            </w:pPr>
            <w:r>
              <w:rPr>
                <w:sz w:val="15"/>
                <w:szCs w:val="15"/>
              </w:rPr>
              <w:t xml:space="preserve">https://www.sanlam.com/downloads/integrated-report-and-annual-financial-statements/2024/Sanlam-AFS-2024-spread</w:t>
            </w:r>
          </w:p>
        </w:tc>
      </w:tr>
      <w:tr>
        <w:tc>
          <w:tcPr>
            <w:tcW w:w="1550" w:type="dxa"/>
          </w:tcPr>
          <w:p>
            <w:pPr>
              <w:pStyle w:val="Compact"/>
              <w:jc w:val="left"/>
              <w:spacing w:before="20" w:after="20" w:line="220" w:lineRule="auto"/>
            </w:pPr>
            <w:r>
              <w:rPr>
                <w:sz w:val="15"/>
                <w:szCs w:val="15"/>
              </w:rPr>
              <w:t xml:space="preserve">LN:SLM-RES25</w:t>
            </w:r>
          </w:p>
        </w:tc>
        <w:tc>
          <w:tcPr>
            <w:tcW w:w="2001" w:type="dxa"/>
          </w:tcPr>
          <w:p>
            <w:pPr>
              <w:pStyle w:val="Compact"/>
              <w:jc w:val="left"/>
              <w:spacing w:before="20" w:after="20" w:line="220" w:lineRule="auto"/>
            </w:pPr>
            <w:r>
              <w:rPr>
                <w:sz w:val="15"/>
                <w:szCs w:val="15"/>
              </w:rPr>
              <w:t xml:space="preserve">Sanlam Limited</w:t>
            </w:r>
          </w:p>
        </w:tc>
        <w:tc>
          <w:tcPr>
            <w:tcW w:w="3554" w:type="dxa"/>
          </w:tcPr>
          <w:p>
            <w:pPr>
              <w:pStyle w:val="Compact"/>
              <w:jc w:val="left"/>
              <w:spacing w:before="20" w:after="20" w:line="220" w:lineRule="auto"/>
            </w:pPr>
            <w:r>
              <w:rPr>
                <w:sz w:val="15"/>
                <w:szCs w:val="15"/>
              </w:rPr>
              <w:t xml:space="preserve">Sanlam Annual Results 2025 booklet (singles)</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0;55;126</w:t>
            </w:r>
          </w:p>
        </w:tc>
        <w:tc>
          <w:tcPr>
            <w:tcW w:w="3554" w:type="dxa"/>
          </w:tcPr>
          <w:p>
            <w:pPr>
              <w:pStyle w:val="Compact"/>
              <w:jc w:val="left"/>
              <w:spacing w:before="20" w:after="20" w:line="220" w:lineRule="auto"/>
            </w:pPr>
            <w:r>
              <w:rPr>
                <w:sz w:val="15"/>
                <w:szCs w:val="15"/>
              </w:rPr>
              <w:t xml:space="preserve">https://www.sanlam.com/downloads/results-announcements/2025/2025-annual-results-singles.pdf</w:t>
            </w:r>
          </w:p>
        </w:tc>
      </w:tr>
      <w:tr>
        <w:tc>
          <w:tcPr>
            <w:tcW w:w="1550" w:type="dxa"/>
          </w:tcPr>
          <w:p>
            <w:pPr>
              <w:pStyle w:val="Compact"/>
              <w:jc w:val="left"/>
              <w:spacing w:before="20" w:after="20" w:line="220" w:lineRule="auto"/>
            </w:pPr>
            <w:r>
              <w:rPr>
                <w:sz w:val="15"/>
                <w:szCs w:val="15"/>
              </w:rPr>
              <w:t xml:space="preserve">LN:SLM-INT26</w:t>
            </w:r>
          </w:p>
        </w:tc>
        <w:tc>
          <w:tcPr>
            <w:tcW w:w="2001" w:type="dxa"/>
          </w:tcPr>
          <w:p>
            <w:pPr>
              <w:pStyle w:val="Compact"/>
              <w:jc w:val="left"/>
              <w:spacing w:before="20" w:after="20" w:line="220" w:lineRule="auto"/>
            </w:pPr>
            <w:r>
              <w:rPr>
                <w:sz w:val="15"/>
                <w:szCs w:val="15"/>
              </w:rPr>
              <w:t xml:space="preserve">Sanlam Limited</w:t>
            </w:r>
          </w:p>
        </w:tc>
        <w:tc>
          <w:tcPr>
            <w:tcW w:w="3554" w:type="dxa"/>
          </w:tcPr>
          <w:p>
            <w:pPr>
              <w:pStyle w:val="Compact"/>
              <w:jc w:val="left"/>
              <w:spacing w:before="20" w:after="20" w:line="220" w:lineRule="auto"/>
            </w:pPr>
            <w:r>
              <w:rPr>
                <w:sz w:val="15"/>
                <w:szCs w:val="15"/>
              </w:rPr>
              <w:t xml:space="preserve">Sanlam Interim Results 2026 booklet (six months to 30 June 2026)</w:t>
            </w:r>
          </w:p>
        </w:tc>
        <w:tc>
          <w:tcPr>
            <w:tcW w:w="1636" w:type="dxa"/>
          </w:tcPr>
          <w:p>
            <w:pPr>
              <w:pStyle w:val="Compact"/>
              <w:jc w:val="left"/>
              <w:spacing w:before="20" w:after="20" w:line="220" w:lineRule="auto"/>
            </w:pPr>
            <w:r>
              <w:rPr>
                <w:sz w:val="15"/>
                <w:szCs w:val="15"/>
              </w:rPr>
              <w:t xml:space="preserve">H1 2026 with H1 2025</w:t>
            </w:r>
          </w:p>
        </w:tc>
        <w:tc>
          <w:tcPr>
            <w:tcW w:w="2273" w:type="dxa"/>
          </w:tcPr>
          <w:p>
            <w:pPr>
              <w:pStyle w:val="Compact"/>
              <w:jc w:val="left"/>
              <w:spacing w:before="20" w:after="20" w:line="220" w:lineRule="auto"/>
            </w:pPr>
            <w:r>
              <w:rPr>
                <w:sz w:val="15"/>
                <w:szCs w:val="15"/>
              </w:rPr>
              <w:t xml:space="preserve">71;76</w:t>
            </w:r>
          </w:p>
        </w:tc>
        <w:tc>
          <w:tcPr>
            <w:tcW w:w="3554" w:type="dxa"/>
          </w:tcPr>
          <w:p>
            <w:pPr>
              <w:pStyle w:val="Compact"/>
              <w:jc w:val="left"/>
              <w:spacing w:before="20" w:after="20" w:line="220" w:lineRule="auto"/>
            </w:pPr>
            <w:r>
              <w:rPr>
                <w:sz w:val="15"/>
                <w:szCs w:val="15"/>
              </w:rPr>
              <w:t xml:space="preserve">https://www.sanlam.com/downloads/results-announcements/2026/2026-interim-results-singles.pdf</w:t>
            </w:r>
          </w:p>
        </w:tc>
      </w:tr>
      <w:tr>
        <w:tc>
          <w:tcPr>
            <w:tcW w:w="1550" w:type="dxa"/>
          </w:tcPr>
          <w:p>
            <w:pPr>
              <w:pStyle w:val="Compact"/>
              <w:jc w:val="left"/>
              <w:spacing w:before="20" w:after="20" w:line="220" w:lineRule="auto"/>
            </w:pPr>
            <w:r>
              <w:rPr>
                <w:sz w:val="15"/>
                <w:szCs w:val="15"/>
              </w:rPr>
              <w:t xml:space="preserve">LN:SNT-AFS25</w:t>
            </w:r>
          </w:p>
        </w:tc>
        <w:tc>
          <w:tcPr>
            <w:tcW w:w="2001" w:type="dxa"/>
          </w:tcPr>
          <w:p>
            <w:pPr>
              <w:pStyle w:val="Compact"/>
              <w:jc w:val="left"/>
              <w:spacing w:before="20" w:after="20" w:line="220" w:lineRule="auto"/>
            </w:pPr>
            <w:r>
              <w:rPr>
                <w:sz w:val="15"/>
                <w:szCs w:val="15"/>
              </w:rPr>
              <w:t xml:space="preserve">Santam Limited</w:t>
            </w:r>
          </w:p>
        </w:tc>
        <w:tc>
          <w:tcPr>
            <w:tcW w:w="3554" w:type="dxa"/>
          </w:tcPr>
          <w:p>
            <w:pPr>
              <w:pStyle w:val="Compact"/>
              <w:jc w:val="left"/>
              <w:spacing w:before="20" w:after="20" w:line="220" w:lineRule="auto"/>
            </w:pPr>
            <w:r>
              <w:rPr>
                <w:sz w:val="15"/>
                <w:szCs w:val="15"/>
              </w:rPr>
              <w:t xml:space="preserve">Santam Annual Financial Statements 2025</w:t>
            </w:r>
          </w:p>
        </w:tc>
        <w:tc>
          <w:tcPr>
            <w:tcW w:w="1636" w:type="dxa"/>
          </w:tcPr>
          <w:p>
            <w:pPr>
              <w:pStyle w:val="Compact"/>
              <w:jc w:val="left"/>
              <w:spacing w:before="20" w:after="20" w:line="220" w:lineRule="auto"/>
            </w:pPr>
            <w:r>
              <w:rPr>
                <w:sz w:val="15"/>
                <w:szCs w:val="15"/>
              </w:rPr>
              <w:t xml:space="preserve">FY2025 with FY2024</w:t>
            </w:r>
          </w:p>
        </w:tc>
        <w:tc>
          <w:tcPr>
            <w:tcW w:w="2273" w:type="dxa"/>
          </w:tcPr>
          <w:p>
            <w:pPr>
              <w:pStyle w:val="Compact"/>
              <w:jc w:val="left"/>
              <w:spacing w:before="20" w:after="20" w:line="220" w:lineRule="auto"/>
            </w:pPr>
            <w:r>
              <w:rPr>
                <w:sz w:val="15"/>
                <w:szCs w:val="15"/>
              </w:rPr>
              <w:t xml:space="preserve">21;28;29;50;144</w:t>
            </w:r>
          </w:p>
        </w:tc>
        <w:tc>
          <w:tcPr>
            <w:tcW w:w="3554" w:type="dxa"/>
          </w:tcPr>
          <w:p>
            <w:pPr>
              <w:pStyle w:val="Compact"/>
              <w:jc w:val="left"/>
              <w:spacing w:before="20" w:after="20" w:line="220" w:lineRule="auto"/>
            </w:pPr>
            <w:r>
              <w:rPr>
                <w:sz w:val="15"/>
                <w:szCs w:val="15"/>
              </w:rPr>
              <w:t xml:space="preserve">https://www.santam.co.za/media/hnunto43/2025-financial-statements.pdf</w:t>
            </w:r>
          </w:p>
        </w:tc>
      </w:tr>
      <w:tr>
        <w:tc>
          <w:tcPr>
            <w:tcW w:w="1550" w:type="dxa"/>
          </w:tcPr>
          <w:p>
            <w:pPr>
              <w:pStyle w:val="Compact"/>
              <w:jc w:val="left"/>
              <w:spacing w:before="20" w:after="20" w:line="220" w:lineRule="auto"/>
            </w:pPr>
            <w:r>
              <w:rPr>
                <w:sz w:val="15"/>
                <w:szCs w:val="15"/>
              </w:rPr>
              <w:t xml:space="preserve">LN:SNT-AFS24</w:t>
            </w:r>
          </w:p>
        </w:tc>
        <w:tc>
          <w:tcPr>
            <w:tcW w:w="2001" w:type="dxa"/>
          </w:tcPr>
          <w:p>
            <w:pPr>
              <w:pStyle w:val="Compact"/>
              <w:jc w:val="left"/>
              <w:spacing w:before="20" w:after="20" w:line="220" w:lineRule="auto"/>
            </w:pPr>
            <w:r>
              <w:rPr>
                <w:sz w:val="15"/>
                <w:szCs w:val="15"/>
              </w:rPr>
              <w:t xml:space="preserve">Santam Limited</w:t>
            </w:r>
          </w:p>
        </w:tc>
        <w:tc>
          <w:tcPr>
            <w:tcW w:w="3554" w:type="dxa"/>
          </w:tcPr>
          <w:p>
            <w:pPr>
              <w:pStyle w:val="Compact"/>
              <w:jc w:val="left"/>
              <w:spacing w:before="20" w:after="20" w:line="220" w:lineRule="auto"/>
            </w:pPr>
            <w:r>
              <w:rPr>
                <w:sz w:val="15"/>
                <w:szCs w:val="15"/>
              </w:rPr>
              <w:t xml:space="preserve">Santam Annual Financial Statements 2024</w:t>
            </w:r>
          </w:p>
        </w:tc>
        <w:tc>
          <w:tcPr>
            <w:tcW w:w="1636" w:type="dxa"/>
          </w:tcPr>
          <w:p>
            <w:pPr>
              <w:pStyle w:val="Compact"/>
              <w:jc w:val="left"/>
              <w:spacing w:before="20" w:after="20" w:line="220" w:lineRule="auto"/>
            </w:pPr>
            <w:r>
              <w:rPr>
                <w:sz w:val="15"/>
                <w:szCs w:val="15"/>
              </w:rPr>
              <w:t xml:space="preserve">FY2024 with FY2023</w:t>
            </w:r>
          </w:p>
        </w:tc>
        <w:tc>
          <w:tcPr>
            <w:tcW w:w="2273" w:type="dxa"/>
          </w:tcPr>
          <w:p>
            <w:pPr>
              <w:pStyle w:val="Compact"/>
              <w:jc w:val="left"/>
              <w:spacing w:before="20" w:after="20" w:line="220" w:lineRule="auto"/>
            </w:pPr>
            <w:r>
              <w:rPr>
                <w:sz w:val="15"/>
                <w:szCs w:val="15"/>
              </w:rPr>
              <w:t xml:space="preserve">23</w:t>
            </w:r>
          </w:p>
        </w:tc>
        <w:tc>
          <w:tcPr>
            <w:tcW w:w="3554" w:type="dxa"/>
          </w:tcPr>
          <w:p>
            <w:pPr>
              <w:pStyle w:val="Compact"/>
              <w:jc w:val="left"/>
              <w:spacing w:before="20" w:after="20" w:line="220" w:lineRule="auto"/>
            </w:pPr>
            <w:r>
              <w:rPr>
                <w:sz w:val="15"/>
                <w:szCs w:val="15"/>
              </w:rPr>
              <w:t xml:space="preserve">https://www.santam.co.za/media/lx3fcvg3/2024-financial-statements.pdf</w:t>
            </w:r>
          </w:p>
        </w:tc>
      </w:tr>
      <w:tr>
        <w:tc>
          <w:tcPr>
            <w:tcW w:w="1550" w:type="dxa"/>
          </w:tcPr>
          <w:p>
            <w:pPr>
              <w:pStyle w:val="Compact"/>
              <w:jc w:val="left"/>
              <w:spacing w:before="20" w:after="20" w:line="220" w:lineRule="auto"/>
            </w:pPr>
            <w:r>
              <w:rPr>
                <w:sz w:val="15"/>
                <w:szCs w:val="15"/>
              </w:rPr>
              <w:t xml:space="preserve">LN:SNT-IAS25</w:t>
            </w:r>
          </w:p>
        </w:tc>
        <w:tc>
          <w:tcPr>
            <w:tcW w:w="2001" w:type="dxa"/>
          </w:tcPr>
          <w:p>
            <w:pPr>
              <w:pStyle w:val="Compact"/>
              <w:jc w:val="left"/>
              <w:spacing w:before="20" w:after="20" w:line="220" w:lineRule="auto"/>
            </w:pPr>
            <w:r>
              <w:rPr>
                <w:sz w:val="15"/>
                <w:szCs w:val="15"/>
              </w:rPr>
              <w:t xml:space="preserve">Santam Limited</w:t>
            </w:r>
          </w:p>
        </w:tc>
        <w:tc>
          <w:tcPr>
            <w:tcW w:w="3554" w:type="dxa"/>
          </w:tcPr>
          <w:p>
            <w:pPr>
              <w:pStyle w:val="Compact"/>
              <w:jc w:val="left"/>
              <w:spacing w:before="20" w:after="20" w:line="220" w:lineRule="auto"/>
            </w:pPr>
            <w:r>
              <w:rPr>
                <w:sz w:val="15"/>
                <w:szCs w:val="15"/>
              </w:rPr>
              <w:t xml:space="preserve">Santam analyst presentation booklet December 2025</w:t>
            </w:r>
          </w:p>
        </w:tc>
        <w:tc>
          <w:tcPr>
            <w:tcW w:w="1636" w:type="dxa"/>
          </w:tcPr>
          <w:p>
            <w:pPr>
              <w:pStyle w:val="Compact"/>
              <w:jc w:val="left"/>
              <w:spacing w:before="20" w:after="20" w:line="220" w:lineRule="auto"/>
            </w:pPr>
            <w:r>
              <w:rPr>
                <w:sz w:val="15"/>
                <w:szCs w:val="15"/>
              </w:rPr>
              <w:t xml:space="preserve">FY2025 with FY2024</w:t>
            </w:r>
          </w:p>
        </w:tc>
        <w:tc>
          <w:tcPr>
            <w:tcW w:w="2273" w:type="dxa"/>
          </w:tcPr>
          <w:p>
            <w:pPr>
              <w:pStyle w:val="Compact"/>
              <w:jc w:val="left"/>
              <w:spacing w:before="20" w:after="20" w:line="220" w:lineRule="auto"/>
            </w:pPr>
            <w:r>
              <w:rPr>
                <w:sz w:val="15"/>
                <w:szCs w:val="15"/>
              </w:rPr>
              <w:t xml:space="preserve">25</w:t>
            </w:r>
          </w:p>
        </w:tc>
        <w:tc>
          <w:tcPr>
            <w:tcW w:w="3554" w:type="dxa"/>
          </w:tcPr>
          <w:p>
            <w:pPr>
              <w:pStyle w:val="Compact"/>
              <w:jc w:val="left"/>
              <w:spacing w:before="20" w:after="20" w:line="220" w:lineRule="auto"/>
            </w:pPr>
            <w:r>
              <w:rPr>
                <w:sz w:val="15"/>
                <w:szCs w:val="15"/>
              </w:rPr>
              <w:t xml:space="preserve">https://www.santam.co.za/media/bjppzjm0/2025-december-ias-booklet.pdf</w:t>
            </w:r>
          </w:p>
        </w:tc>
      </w:tr>
      <w:tr>
        <w:tc>
          <w:tcPr>
            <w:tcW w:w="1550" w:type="dxa"/>
          </w:tcPr>
          <w:p>
            <w:pPr>
              <w:pStyle w:val="Compact"/>
              <w:jc w:val="left"/>
              <w:spacing w:before="20" w:after="20" w:line="220" w:lineRule="auto"/>
            </w:pPr>
            <w:r>
              <w:rPr>
                <w:sz w:val="15"/>
                <w:szCs w:val="15"/>
              </w:rPr>
              <w:t xml:space="preserve">LN:SNT-INT26</w:t>
            </w:r>
          </w:p>
        </w:tc>
        <w:tc>
          <w:tcPr>
            <w:tcW w:w="2001" w:type="dxa"/>
          </w:tcPr>
          <w:p>
            <w:pPr>
              <w:pStyle w:val="Compact"/>
              <w:jc w:val="left"/>
              <w:spacing w:before="20" w:after="20" w:line="220" w:lineRule="auto"/>
            </w:pPr>
            <w:r>
              <w:rPr>
                <w:sz w:val="15"/>
                <w:szCs w:val="15"/>
              </w:rPr>
              <w:t xml:space="preserve">Santam Limited</w:t>
            </w:r>
          </w:p>
        </w:tc>
        <w:tc>
          <w:tcPr>
            <w:tcW w:w="3554" w:type="dxa"/>
          </w:tcPr>
          <w:p>
            <w:pPr>
              <w:pStyle w:val="Compact"/>
              <w:jc w:val="left"/>
              <w:spacing w:before="20" w:after="20" w:line="220" w:lineRule="auto"/>
            </w:pPr>
            <w:r>
              <w:rPr>
                <w:sz w:val="15"/>
                <w:szCs w:val="15"/>
              </w:rPr>
              <w:t xml:space="preserve">Santam interim report June 2026</w:t>
            </w:r>
          </w:p>
        </w:tc>
        <w:tc>
          <w:tcPr>
            <w:tcW w:w="1636" w:type="dxa"/>
          </w:tcPr>
          <w:p>
            <w:pPr>
              <w:pStyle w:val="Compact"/>
              <w:jc w:val="left"/>
              <w:spacing w:before="20" w:after="20" w:line="220" w:lineRule="auto"/>
            </w:pPr>
            <w:r>
              <w:rPr>
                <w:sz w:val="15"/>
                <w:szCs w:val="15"/>
              </w:rPr>
              <w:t xml:space="preserve">H1 2026 with H1 2025</w:t>
            </w:r>
          </w:p>
        </w:tc>
        <w:tc>
          <w:tcPr>
            <w:tcW w:w="2273" w:type="dxa"/>
          </w:tcPr>
          <w:p>
            <w:pPr>
              <w:pStyle w:val="Compact"/>
              <w:jc w:val="left"/>
              <w:spacing w:before="20" w:after="20" w:line="220" w:lineRule="auto"/>
            </w:pPr>
            <w:r>
              <w:rPr>
                <w:sz w:val="15"/>
                <w:szCs w:val="15"/>
              </w:rPr>
              <w:t xml:space="preserve">7;13</w:t>
            </w:r>
          </w:p>
        </w:tc>
        <w:tc>
          <w:tcPr>
            <w:tcW w:w="3554" w:type="dxa"/>
          </w:tcPr>
          <w:p>
            <w:pPr>
              <w:pStyle w:val="Compact"/>
              <w:jc w:val="left"/>
              <w:spacing w:before="20" w:after="20" w:line="220" w:lineRule="auto"/>
            </w:pPr>
            <w:r>
              <w:rPr>
                <w:sz w:val="15"/>
                <w:szCs w:val="15"/>
              </w:rPr>
              <w:t xml:space="preserve">https://www.santam.co.za/media/hh4mvig3/2026-interim-financial-statements.pdf</w:t>
            </w:r>
          </w:p>
        </w:tc>
      </w:tr>
      <w:tr>
        <w:tc>
          <w:tcPr>
            <w:tcW w:w="1550" w:type="dxa"/>
          </w:tcPr>
          <w:p>
            <w:pPr>
              <w:pStyle w:val="Compact"/>
              <w:jc w:val="left"/>
              <w:spacing w:before="20" w:after="20" w:line="220" w:lineRule="auto"/>
            </w:pPr>
            <w:r>
              <w:rPr>
                <w:sz w:val="15"/>
                <w:szCs w:val="15"/>
              </w:rPr>
              <w:t xml:space="preserve">LN:SNT-IR25</w:t>
            </w:r>
          </w:p>
        </w:tc>
        <w:tc>
          <w:tcPr>
            <w:tcW w:w="2001" w:type="dxa"/>
          </w:tcPr>
          <w:p>
            <w:pPr>
              <w:pStyle w:val="Compact"/>
              <w:jc w:val="left"/>
              <w:spacing w:before="20" w:after="20" w:line="220" w:lineRule="auto"/>
            </w:pPr>
            <w:r>
              <w:rPr>
                <w:sz w:val="15"/>
                <w:szCs w:val="15"/>
              </w:rPr>
              <w:t xml:space="preserve">Santam Limited</w:t>
            </w:r>
          </w:p>
        </w:tc>
        <w:tc>
          <w:tcPr>
            <w:tcW w:w="3554" w:type="dxa"/>
          </w:tcPr>
          <w:p>
            <w:pPr>
              <w:pStyle w:val="Compact"/>
              <w:jc w:val="left"/>
              <w:spacing w:before="20" w:after="20" w:line="220" w:lineRule="auto"/>
            </w:pPr>
            <w:r>
              <w:rPr>
                <w:sz w:val="15"/>
                <w:szCs w:val="15"/>
              </w:rPr>
              <w:t xml:space="preserve">Santam Integrated Report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9;11;15</w:t>
            </w:r>
          </w:p>
        </w:tc>
        <w:tc>
          <w:tcPr>
            <w:tcW w:w="3554" w:type="dxa"/>
          </w:tcPr>
          <w:p>
            <w:pPr>
              <w:pStyle w:val="Compact"/>
              <w:jc w:val="left"/>
              <w:spacing w:before="20" w:after="20" w:line="220" w:lineRule="auto"/>
            </w:pPr>
            <w:r>
              <w:rPr>
                <w:sz w:val="15"/>
                <w:szCs w:val="15"/>
              </w:rPr>
              <w:t xml:space="preserve">https://www.santam.co.za/media/stdoaic0/santam_ir_2025.pdf</w:t>
            </w:r>
          </w:p>
        </w:tc>
      </w:tr>
      <w:tr>
        <w:tc>
          <w:tcPr>
            <w:tcW w:w="1550" w:type="dxa"/>
          </w:tcPr>
          <w:p>
            <w:pPr>
              <w:pStyle w:val="Compact"/>
              <w:jc w:val="left"/>
              <w:spacing w:before="20" w:after="20" w:line="220" w:lineRule="auto"/>
            </w:pPr>
            <w:r>
              <w:rPr>
                <w:sz w:val="15"/>
                <w:szCs w:val="15"/>
              </w:rPr>
              <w:t xml:space="preserve">LN:SNT-IR24</w:t>
            </w:r>
          </w:p>
        </w:tc>
        <w:tc>
          <w:tcPr>
            <w:tcW w:w="2001" w:type="dxa"/>
          </w:tcPr>
          <w:p>
            <w:pPr>
              <w:pStyle w:val="Compact"/>
              <w:jc w:val="left"/>
              <w:spacing w:before="20" w:after="20" w:line="220" w:lineRule="auto"/>
            </w:pPr>
            <w:r>
              <w:rPr>
                <w:sz w:val="15"/>
                <w:szCs w:val="15"/>
              </w:rPr>
              <w:t xml:space="preserve">Santam Limited</w:t>
            </w:r>
          </w:p>
        </w:tc>
        <w:tc>
          <w:tcPr>
            <w:tcW w:w="3554" w:type="dxa"/>
          </w:tcPr>
          <w:p>
            <w:pPr>
              <w:pStyle w:val="Compact"/>
              <w:jc w:val="left"/>
              <w:spacing w:before="20" w:after="20" w:line="220" w:lineRule="auto"/>
            </w:pPr>
            <w:r>
              <w:rPr>
                <w:sz w:val="15"/>
                <w:szCs w:val="15"/>
              </w:rPr>
              <w:t xml:space="preserve">Santam Integrated Report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10;31</w:t>
            </w:r>
          </w:p>
        </w:tc>
        <w:tc>
          <w:tcPr>
            <w:tcW w:w="3554" w:type="dxa"/>
          </w:tcPr>
          <w:p>
            <w:pPr>
              <w:pStyle w:val="Compact"/>
              <w:jc w:val="left"/>
              <w:spacing w:before="20" w:after="20" w:line="220" w:lineRule="auto"/>
            </w:pPr>
            <w:r>
              <w:rPr>
                <w:sz w:val="15"/>
                <w:szCs w:val="15"/>
              </w:rPr>
              <w:t xml:space="preserve">https://www.santam.co.za/media/5j2lzpn1/santam_ir_2024.pdf</w:t>
            </w:r>
          </w:p>
        </w:tc>
      </w:tr>
      <w:tr>
        <w:tc>
          <w:tcPr>
            <w:tcW w:w="1550" w:type="dxa"/>
          </w:tcPr>
          <w:p>
            <w:pPr>
              <w:pStyle w:val="Compact"/>
              <w:jc w:val="left"/>
              <w:spacing w:before="20" w:after="20" w:line="220" w:lineRule="auto"/>
            </w:pPr>
            <w:r>
              <w:rPr>
                <w:sz w:val="15"/>
                <w:szCs w:val="15"/>
              </w:rPr>
              <w:t xml:space="preserve">LN:SNT-IR23</w:t>
            </w:r>
          </w:p>
        </w:tc>
        <w:tc>
          <w:tcPr>
            <w:tcW w:w="2001" w:type="dxa"/>
          </w:tcPr>
          <w:p>
            <w:pPr>
              <w:pStyle w:val="Compact"/>
              <w:jc w:val="left"/>
              <w:spacing w:before="20" w:after="20" w:line="220" w:lineRule="auto"/>
            </w:pPr>
            <w:r>
              <w:rPr>
                <w:sz w:val="15"/>
                <w:szCs w:val="15"/>
              </w:rPr>
              <w:t xml:space="preserve">Santam Limited</w:t>
            </w:r>
          </w:p>
        </w:tc>
        <w:tc>
          <w:tcPr>
            <w:tcW w:w="3554" w:type="dxa"/>
          </w:tcPr>
          <w:p>
            <w:pPr>
              <w:pStyle w:val="Compact"/>
              <w:jc w:val="left"/>
              <w:spacing w:before="20" w:after="20" w:line="220" w:lineRule="auto"/>
            </w:pPr>
            <w:r>
              <w:rPr>
                <w:sz w:val="15"/>
                <w:szCs w:val="15"/>
              </w:rPr>
              <w:t xml:space="preserve">Santam Integrated Report 2023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10;28</w:t>
            </w:r>
          </w:p>
        </w:tc>
        <w:tc>
          <w:tcPr>
            <w:tcW w:w="3554" w:type="dxa"/>
          </w:tcPr>
          <w:p>
            <w:pPr>
              <w:pStyle w:val="Compact"/>
              <w:jc w:val="left"/>
              <w:spacing w:before="20" w:after="20" w:line="220" w:lineRule="auto"/>
            </w:pPr>
            <w:r>
              <w:rPr>
                <w:sz w:val="15"/>
                <w:szCs w:val="15"/>
              </w:rPr>
              <w:t xml:space="preserve">https://www.santam.co.za/media/pg5mlwlg/santam_ir_2023.pdf</w:t>
            </w:r>
          </w:p>
        </w:tc>
      </w:tr>
      <w:tr>
        <w:tc>
          <w:tcPr>
            <w:tcW w:w="1550" w:type="dxa"/>
          </w:tcPr>
          <w:p>
            <w:pPr>
              <w:pStyle w:val="Compact"/>
              <w:jc w:val="left"/>
              <w:spacing w:before="20" w:after="20" w:line="220" w:lineRule="auto"/>
            </w:pPr>
            <w:r>
              <w:rPr>
                <w:sz w:val="15"/>
                <w:szCs w:val="15"/>
              </w:rPr>
              <w:t xml:space="preserve">LN:OMU-AFS25</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Old Mutual Limited Annual Financial Statements for the year ended 31 December 2025</w:t>
            </w:r>
          </w:p>
        </w:tc>
        <w:tc>
          <w:tcPr>
            <w:tcW w:w="1636" w:type="dxa"/>
          </w:tcPr>
          <w:p>
            <w:pPr>
              <w:pStyle w:val="Compact"/>
              <w:jc w:val="left"/>
              <w:spacing w:before="20" w:after="20" w:line="220" w:lineRule="auto"/>
            </w:pPr>
            <w:r>
              <w:rPr>
                <w:sz w:val="15"/>
                <w:szCs w:val="15"/>
              </w:rPr>
              <w:t xml:space="preserve">FY2025 with FY2024</w:t>
            </w:r>
          </w:p>
        </w:tc>
        <w:tc>
          <w:tcPr>
            <w:tcW w:w="2273" w:type="dxa"/>
          </w:tcPr>
          <w:p>
            <w:pPr>
              <w:pStyle w:val="Compact"/>
              <w:jc w:val="left"/>
              <w:spacing w:before="20" w:after="20" w:line="220" w:lineRule="auto"/>
            </w:pPr>
            <w:r>
              <w:rPr>
                <w:sz w:val="15"/>
                <w:szCs w:val="15"/>
              </w:rPr>
              <w:t xml:space="preserve">20;36;37;54;55</w:t>
            </w:r>
          </w:p>
        </w:tc>
        <w:tc>
          <w:tcPr>
            <w:tcW w:w="3554" w:type="dxa"/>
          </w:tcPr>
          <w:p>
            <w:pPr>
              <w:pStyle w:val="Compact"/>
              <w:jc w:val="left"/>
              <w:spacing w:before="20" w:after="20" w:line="220" w:lineRule="auto"/>
            </w:pPr>
            <w:r>
              <w:rPr>
                <w:sz w:val="15"/>
                <w:szCs w:val="15"/>
              </w:rPr>
              <w:t xml:space="preserve">https://www.oldmutual.com/om-docs/blt9858a1286d528fe5/Old_Mutual_Limited_Annual_Financial_Statements_for_the_y</w:t>
            </w:r>
          </w:p>
        </w:tc>
      </w:tr>
      <w:tr>
        <w:tc>
          <w:tcPr>
            <w:tcW w:w="1550" w:type="dxa"/>
          </w:tcPr>
          <w:p>
            <w:pPr>
              <w:pStyle w:val="Compact"/>
              <w:jc w:val="left"/>
              <w:spacing w:before="20" w:after="20" w:line="220" w:lineRule="auto"/>
            </w:pPr>
            <w:r>
              <w:rPr>
                <w:sz w:val="15"/>
                <w:szCs w:val="15"/>
              </w:rPr>
              <w:t xml:space="preserve">LN:OMU-RES25</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Old Mutual Group Annual Results booklet FY2025</w:t>
            </w:r>
          </w:p>
        </w:tc>
        <w:tc>
          <w:tcPr>
            <w:tcW w:w="1636" w:type="dxa"/>
          </w:tcPr>
          <w:p>
            <w:pPr>
              <w:pStyle w:val="Compact"/>
              <w:jc w:val="left"/>
              <w:spacing w:before="20" w:after="20" w:line="220" w:lineRule="auto"/>
            </w:pPr>
            <w:r>
              <w:rPr>
                <w:sz w:val="15"/>
                <w:szCs w:val="15"/>
              </w:rPr>
              <w:t xml:space="preserve">FY2025 with FY2024</w:t>
            </w:r>
          </w:p>
        </w:tc>
        <w:tc>
          <w:tcPr>
            <w:tcW w:w="2273" w:type="dxa"/>
          </w:tcPr>
          <w:p>
            <w:pPr>
              <w:pStyle w:val="Compact"/>
              <w:jc w:val="left"/>
              <w:spacing w:before="20" w:after="20" w:line="220" w:lineRule="auto"/>
            </w:pPr>
            <w:r>
              <w:rPr>
                <w:sz w:val="15"/>
                <w:szCs w:val="15"/>
              </w:rPr>
              <w:t xml:space="preserve">3;5;27;39;52;56;58;62;71</w:t>
            </w:r>
          </w:p>
        </w:tc>
        <w:tc>
          <w:tcPr>
            <w:tcW w:w="3554" w:type="dxa"/>
          </w:tcPr>
          <w:p>
            <w:pPr>
              <w:pStyle w:val="Compact"/>
              <w:jc w:val="left"/>
              <w:spacing w:before="20" w:after="20" w:line="220" w:lineRule="auto"/>
            </w:pPr>
            <w:r>
              <w:rPr>
                <w:sz w:val="15"/>
                <w:szCs w:val="15"/>
              </w:rPr>
              <w:t xml:space="preserve">https://www.oldmutual.com/om-docs/blt78d3fbb18a103606/2025_Annual_Results_booklet.pdf</w:t>
            </w:r>
          </w:p>
        </w:tc>
      </w:tr>
      <w:tr>
        <w:tc>
          <w:tcPr>
            <w:tcW w:w="1550" w:type="dxa"/>
          </w:tcPr>
          <w:p>
            <w:pPr>
              <w:pStyle w:val="Compact"/>
              <w:jc w:val="left"/>
              <w:spacing w:before="20" w:after="20" w:line="220" w:lineRule="auto"/>
            </w:pPr>
            <w:r>
              <w:rPr>
                <w:sz w:val="15"/>
                <w:szCs w:val="15"/>
              </w:rPr>
              <w:t xml:space="preserve">LN:OMU-RES24</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Old Mutual Group Annual Results booklet FY2024</w:t>
            </w:r>
          </w:p>
        </w:tc>
        <w:tc>
          <w:tcPr>
            <w:tcW w:w="1636" w:type="dxa"/>
          </w:tcPr>
          <w:p>
            <w:pPr>
              <w:pStyle w:val="Compact"/>
              <w:jc w:val="left"/>
              <w:spacing w:before="20" w:after="20" w:line="220" w:lineRule="auto"/>
            </w:pPr>
            <w:r>
              <w:rPr>
                <w:sz w:val="15"/>
                <w:szCs w:val="15"/>
              </w:rPr>
              <w:t xml:space="preserve">FY2024 with FY2023</w:t>
            </w:r>
          </w:p>
        </w:tc>
        <w:tc>
          <w:tcPr>
            <w:tcW w:w="2273" w:type="dxa"/>
          </w:tcPr>
          <w:p>
            <w:pPr>
              <w:pStyle w:val="Compact"/>
              <w:jc w:val="left"/>
              <w:spacing w:before="20" w:after="20" w:line="220" w:lineRule="auto"/>
            </w:pPr>
            <w:r>
              <w:rPr>
                <w:sz w:val="15"/>
                <w:szCs w:val="15"/>
              </w:rPr>
              <w:t xml:space="preserve">46;53;54</w:t>
            </w:r>
          </w:p>
        </w:tc>
        <w:tc>
          <w:tcPr>
            <w:tcW w:w="3554" w:type="dxa"/>
          </w:tcPr>
          <w:p>
            <w:pPr>
              <w:pStyle w:val="Compact"/>
              <w:jc w:val="left"/>
              <w:spacing w:before="20" w:after="20" w:line="220" w:lineRule="auto"/>
            </w:pPr>
            <w:r>
              <w:rPr>
                <w:sz w:val="15"/>
                <w:szCs w:val="15"/>
              </w:rPr>
              <w:t xml:space="preserve">https://www.oldmutual.com/om-docs/blt734312073da1d4aa/2024_Annual_Results_booklet_Double.pdf</w:t>
            </w:r>
          </w:p>
        </w:tc>
      </w:tr>
      <w:tr>
        <w:tc>
          <w:tcPr>
            <w:tcW w:w="1550" w:type="dxa"/>
          </w:tcPr>
          <w:p>
            <w:pPr>
              <w:pStyle w:val="Compact"/>
              <w:jc w:val="left"/>
              <w:spacing w:before="20" w:after="20" w:line="220" w:lineRule="auto"/>
            </w:pPr>
            <w:r>
              <w:rPr>
                <w:sz w:val="15"/>
                <w:szCs w:val="15"/>
              </w:rPr>
              <w:t xml:space="preserve">LN:OMU-INT26</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Old Mutual Interim Results booklet six months ended 30 June 2026</w:t>
            </w:r>
          </w:p>
        </w:tc>
        <w:tc>
          <w:tcPr>
            <w:tcW w:w="1636" w:type="dxa"/>
          </w:tcPr>
          <w:p>
            <w:pPr>
              <w:pStyle w:val="Compact"/>
              <w:jc w:val="left"/>
              <w:spacing w:before="20" w:after="20" w:line="220" w:lineRule="auto"/>
            </w:pPr>
            <w:r>
              <w:rPr>
                <w:sz w:val="15"/>
                <w:szCs w:val="15"/>
              </w:rPr>
              <w:t xml:space="preserve">H1 2026 with H1 2025</w:t>
            </w:r>
          </w:p>
        </w:tc>
        <w:tc>
          <w:tcPr>
            <w:tcW w:w="2273" w:type="dxa"/>
          </w:tcPr>
          <w:p>
            <w:pPr>
              <w:pStyle w:val="Compact"/>
              <w:jc w:val="left"/>
              <w:spacing w:before="20" w:after="20" w:line="220" w:lineRule="auto"/>
            </w:pPr>
            <w:r>
              <w:rPr>
                <w:sz w:val="15"/>
                <w:szCs w:val="15"/>
              </w:rPr>
              <w:t xml:space="preserve">20;30;50;57</w:t>
            </w:r>
          </w:p>
        </w:tc>
        <w:tc>
          <w:tcPr>
            <w:tcW w:w="3554" w:type="dxa"/>
          </w:tcPr>
          <w:p>
            <w:pPr>
              <w:pStyle w:val="Compact"/>
              <w:jc w:val="left"/>
              <w:spacing w:before="20" w:after="20" w:line="220" w:lineRule="auto"/>
            </w:pPr>
            <w:r>
              <w:rPr>
                <w:sz w:val="15"/>
                <w:szCs w:val="15"/>
              </w:rPr>
              <w:t xml:space="preserve">https://www.oldmutual.com/om-docs/blt81c78ddfb3a5b8da/2026_Interim_Results_Booklet_Double.pdf</w:t>
            </w:r>
          </w:p>
        </w:tc>
      </w:tr>
      <w:tr>
        <w:tc>
          <w:tcPr>
            <w:tcW w:w="1550" w:type="dxa"/>
          </w:tcPr>
          <w:p>
            <w:pPr>
              <w:pStyle w:val="Compact"/>
              <w:jc w:val="left"/>
              <w:spacing w:before="20" w:after="20" w:line="220" w:lineRule="auto"/>
            </w:pPr>
            <w:r>
              <w:rPr>
                <w:sz w:val="15"/>
                <w:szCs w:val="15"/>
              </w:rPr>
              <w:t xml:space="preserve">LN:MTM-AFS26</w:t>
            </w:r>
          </w:p>
        </w:tc>
        <w:tc>
          <w:tcPr>
            <w:tcW w:w="2001" w:type="dxa"/>
          </w:tcPr>
          <w:p>
            <w:pPr>
              <w:pStyle w:val="Compact"/>
              <w:jc w:val="left"/>
              <w:spacing w:before="20" w:after="20" w:line="220" w:lineRule="auto"/>
            </w:pPr>
            <w:r>
              <w:rPr>
                <w:sz w:val="15"/>
                <w:szCs w:val="15"/>
              </w:rPr>
              <w:t xml:space="preserve">Momentum Group Limited</w:t>
            </w:r>
          </w:p>
        </w:tc>
        <w:tc>
          <w:tcPr>
            <w:tcW w:w="3554" w:type="dxa"/>
          </w:tcPr>
          <w:p>
            <w:pPr>
              <w:pStyle w:val="Compact"/>
              <w:jc w:val="left"/>
              <w:spacing w:before="20" w:after="20" w:line="220" w:lineRule="auto"/>
            </w:pPr>
            <w:r>
              <w:rPr>
                <w:sz w:val="15"/>
                <w:szCs w:val="15"/>
              </w:rPr>
              <w:t xml:space="preserve">Momentum Group Annual Financial Statements, audited results for the year ended 30 June 202</w:t>
            </w:r>
          </w:p>
        </w:tc>
        <w:tc>
          <w:tcPr>
            <w:tcW w:w="1636" w:type="dxa"/>
          </w:tcPr>
          <w:p>
            <w:pPr>
              <w:pStyle w:val="Compact"/>
              <w:jc w:val="left"/>
              <w:spacing w:before="20" w:after="20" w:line="220" w:lineRule="auto"/>
            </w:pPr>
            <w:r>
              <w:rPr>
                <w:sz w:val="15"/>
                <w:szCs w:val="15"/>
              </w:rPr>
              <w:t xml:space="preserve">FY2026 with restated FY2025</w:t>
            </w:r>
          </w:p>
        </w:tc>
        <w:tc>
          <w:tcPr>
            <w:tcW w:w="2273" w:type="dxa"/>
          </w:tcPr>
          <w:p>
            <w:pPr>
              <w:pStyle w:val="Compact"/>
              <w:jc w:val="left"/>
              <w:spacing w:before="20" w:after="20" w:line="220" w:lineRule="auto"/>
            </w:pPr>
            <w:r>
              <w:rPr>
                <w:sz w:val="15"/>
                <w:szCs w:val="15"/>
              </w:rPr>
              <w:t xml:space="preserve">40;51;53;64;168;172;173;294</w:t>
            </w:r>
          </w:p>
        </w:tc>
        <w:tc>
          <w:tcPr>
            <w:tcW w:w="3554" w:type="dxa"/>
          </w:tcPr>
          <w:p>
            <w:pPr>
              <w:pStyle w:val="Compact"/>
              <w:jc w:val="left"/>
              <w:spacing w:before="20" w:after="20" w:line="220" w:lineRule="auto"/>
            </w:pPr>
            <w:r>
              <w:rPr>
                <w:sz w:val="15"/>
                <w:szCs w:val="15"/>
              </w:rPr>
              <w:t xml:space="preserve">https://www.sharedata.co.za/v2/Scripts/Glossies.aspx?c=MTM</w:t>
            </w:r>
          </w:p>
        </w:tc>
      </w:tr>
      <w:tr>
        <w:tc>
          <w:tcPr>
            <w:tcW w:w="1550" w:type="dxa"/>
          </w:tcPr>
          <w:p>
            <w:pPr>
              <w:pStyle w:val="Compact"/>
              <w:jc w:val="left"/>
              <w:spacing w:before="20" w:after="20" w:line="220" w:lineRule="auto"/>
            </w:pPr>
            <w:r>
              <w:rPr>
                <w:sz w:val="15"/>
                <w:szCs w:val="15"/>
              </w:rPr>
              <w:t xml:space="preserve">LN:MTM-IR26</w:t>
            </w:r>
          </w:p>
        </w:tc>
        <w:tc>
          <w:tcPr>
            <w:tcW w:w="2001" w:type="dxa"/>
          </w:tcPr>
          <w:p>
            <w:pPr>
              <w:pStyle w:val="Compact"/>
              <w:jc w:val="left"/>
              <w:spacing w:before="20" w:after="20" w:line="220" w:lineRule="auto"/>
            </w:pPr>
            <w:r>
              <w:rPr>
                <w:sz w:val="15"/>
                <w:szCs w:val="15"/>
              </w:rPr>
              <w:t xml:space="preserve">Momentum Group Limited</w:t>
            </w:r>
          </w:p>
        </w:tc>
        <w:tc>
          <w:tcPr>
            <w:tcW w:w="3554" w:type="dxa"/>
          </w:tcPr>
          <w:p>
            <w:pPr>
              <w:pStyle w:val="Compact"/>
              <w:jc w:val="left"/>
              <w:spacing w:before="20" w:after="20" w:line="220" w:lineRule="auto"/>
            </w:pPr>
            <w:r>
              <w:rPr>
                <w:sz w:val="15"/>
                <w:szCs w:val="15"/>
              </w:rPr>
              <w:t xml:space="preserve">Momentum Group Integrated Report 2026 (via ShareData glossies)</w:t>
            </w:r>
          </w:p>
        </w:tc>
        <w:tc>
          <w:tcPr>
            <w:tcW w:w="1636" w:type="dxa"/>
          </w:tcPr>
          <w:p>
            <w:pPr>
              <w:pStyle w:val="Compact"/>
              <w:jc w:val="left"/>
              <w:spacing w:before="20" w:after="20" w:line="220" w:lineRule="auto"/>
            </w:pPr>
            <w:r>
              <w:rPr>
                <w:sz w:val="15"/>
                <w:szCs w:val="15"/>
              </w:rPr>
              <w:t xml:space="preserve">FY2026 with FY2025</w:t>
            </w:r>
          </w:p>
        </w:tc>
        <w:tc>
          <w:tcPr>
            <w:tcW w:w="2273" w:type="dxa"/>
          </w:tcPr>
          <w:p>
            <w:pPr>
              <w:pStyle w:val="Compact"/>
              <w:jc w:val="left"/>
              <w:spacing w:before="20" w:after="20" w:line="220" w:lineRule="auto"/>
            </w:pPr>
            <w:r>
              <w:rPr>
                <w:sz w:val="15"/>
                <w:szCs w:val="15"/>
              </w:rPr>
              <w:t xml:space="preserve">34;56;57;88</w:t>
            </w:r>
          </w:p>
        </w:tc>
        <w:tc>
          <w:tcPr>
            <w:tcW w:w="3554" w:type="dxa"/>
          </w:tcPr>
          <w:p>
            <w:pPr>
              <w:pStyle w:val="Compact"/>
              <w:jc w:val="left"/>
              <w:spacing w:before="20" w:after="20" w:line="220" w:lineRule="auto"/>
            </w:pPr>
            <w:r>
              <w:rPr>
                <w:sz w:val="15"/>
                <w:szCs w:val="15"/>
              </w:rPr>
              <w:t xml:space="preserve">https://www.sharedata.co.za/v2/Scripts/Glossies.aspx?c=MTM</w:t>
            </w:r>
          </w:p>
        </w:tc>
      </w:tr>
      <w:tr>
        <w:tc>
          <w:tcPr>
            <w:tcW w:w="1550" w:type="dxa"/>
          </w:tcPr>
          <w:p>
            <w:pPr>
              <w:pStyle w:val="Compact"/>
              <w:jc w:val="left"/>
              <w:spacing w:before="20" w:after="20" w:line="220" w:lineRule="auto"/>
            </w:pPr>
            <w:r>
              <w:rPr>
                <w:sz w:val="15"/>
                <w:szCs w:val="15"/>
              </w:rPr>
              <w:t xml:space="preserve">LN:MTM-IR25</w:t>
            </w:r>
          </w:p>
        </w:tc>
        <w:tc>
          <w:tcPr>
            <w:tcW w:w="2001" w:type="dxa"/>
          </w:tcPr>
          <w:p>
            <w:pPr>
              <w:pStyle w:val="Compact"/>
              <w:jc w:val="left"/>
              <w:spacing w:before="20" w:after="20" w:line="220" w:lineRule="auto"/>
            </w:pPr>
            <w:r>
              <w:rPr>
                <w:sz w:val="15"/>
                <w:szCs w:val="15"/>
              </w:rPr>
              <w:t xml:space="preserve">Momentum Group Limited</w:t>
            </w:r>
          </w:p>
        </w:tc>
        <w:tc>
          <w:tcPr>
            <w:tcW w:w="3554" w:type="dxa"/>
          </w:tcPr>
          <w:p>
            <w:pPr>
              <w:pStyle w:val="Compact"/>
              <w:jc w:val="left"/>
              <w:spacing w:before="20" w:after="20" w:line="220" w:lineRule="auto"/>
            </w:pPr>
            <w:r>
              <w:rPr>
                <w:sz w:val="15"/>
                <w:szCs w:val="15"/>
              </w:rPr>
              <w:t xml:space="preserve">Momentum Group Integrated Report 2025 (via ShareData glossies)</w:t>
            </w:r>
          </w:p>
        </w:tc>
        <w:tc>
          <w:tcPr>
            <w:tcW w:w="1636" w:type="dxa"/>
          </w:tcPr>
          <w:p>
            <w:pPr>
              <w:pStyle w:val="Compact"/>
              <w:jc w:val="left"/>
              <w:spacing w:before="20" w:after="20" w:line="220" w:lineRule="auto"/>
            </w:pPr>
            <w:r>
              <w:rPr>
                <w:sz w:val="15"/>
                <w:szCs w:val="15"/>
              </w:rPr>
              <w:t xml:space="preserve">FY2025 with FY2024</w:t>
            </w:r>
          </w:p>
        </w:tc>
        <w:tc>
          <w:tcPr>
            <w:tcW w:w="2273" w:type="dxa"/>
          </w:tcPr>
          <w:p>
            <w:pPr>
              <w:pStyle w:val="Compact"/>
              <w:jc w:val="left"/>
              <w:spacing w:before="20" w:after="20" w:line="220" w:lineRule="auto"/>
            </w:pPr>
            <w:r>
              <w:rPr>
                <w:sz w:val="15"/>
                <w:szCs w:val="15"/>
              </w:rPr>
              <w:t xml:space="preserve">29</w:t>
            </w:r>
          </w:p>
        </w:tc>
        <w:tc>
          <w:tcPr>
            <w:tcW w:w="3554" w:type="dxa"/>
          </w:tcPr>
          <w:p>
            <w:pPr>
              <w:pStyle w:val="Compact"/>
              <w:jc w:val="left"/>
              <w:spacing w:before="20" w:after="20" w:line="220" w:lineRule="auto"/>
            </w:pPr>
            <w:r>
              <w:rPr>
                <w:sz w:val="15"/>
                <w:szCs w:val="15"/>
              </w:rPr>
              <w:t xml:space="preserve">https://www.sharedata.co.za/v2/Scripts/Glossies.aspx?c=MTM</w:t>
            </w:r>
          </w:p>
        </w:tc>
      </w:tr>
      <w:tr>
        <w:tc>
          <w:tcPr>
            <w:tcW w:w="1550" w:type="dxa"/>
          </w:tcPr>
          <w:p>
            <w:pPr>
              <w:pStyle w:val="Compact"/>
              <w:jc w:val="left"/>
              <w:spacing w:before="20" w:after="20" w:line="220" w:lineRule="auto"/>
            </w:pPr>
            <w:r>
              <w:rPr>
                <w:sz w:val="15"/>
                <w:szCs w:val="15"/>
              </w:rPr>
              <w:t xml:space="preserve">LN:MTM-SENS-FY25</w:t>
            </w:r>
          </w:p>
        </w:tc>
        <w:tc>
          <w:tcPr>
            <w:tcW w:w="2001" w:type="dxa"/>
          </w:tcPr>
          <w:p>
            <w:pPr>
              <w:pStyle w:val="Compact"/>
              <w:jc w:val="left"/>
              <w:spacing w:before="20" w:after="20" w:line="220" w:lineRule="auto"/>
            </w:pPr>
            <w:r>
              <w:rPr>
                <w:sz w:val="15"/>
                <w:szCs w:val="15"/>
              </w:rPr>
              <w:t xml:space="preserve">Momentum Group Limited</w:t>
            </w:r>
          </w:p>
        </w:tc>
        <w:tc>
          <w:tcPr>
            <w:tcW w:w="3554" w:type="dxa"/>
          </w:tcPr>
          <w:p>
            <w:pPr>
              <w:pStyle w:val="Compact"/>
              <w:jc w:val="left"/>
              <w:spacing w:before="20" w:after="20" w:line="220" w:lineRule="auto"/>
            </w:pPr>
            <w:r>
              <w:rPr>
                <w:sz w:val="15"/>
                <w:szCs w:val="15"/>
              </w:rPr>
              <w:t xml:space="preserve">Momentum Group SENS: audited results for the year ended 30 June 2025 (text via ShareData)</w:t>
            </w:r>
          </w:p>
        </w:tc>
        <w:tc>
          <w:tcPr>
            <w:tcW w:w="1636" w:type="dxa"/>
          </w:tcPr>
          <w:p>
            <w:pPr>
              <w:pStyle w:val="Compact"/>
              <w:jc w:val="left"/>
              <w:spacing w:before="20" w:after="20" w:line="220" w:lineRule="auto"/>
            </w:pPr>
            <w:r>
              <w:rPr>
                <w:sz w:val="15"/>
                <w:szCs w:val="15"/>
              </w:rPr>
              <w:t xml:space="preserve">FY2025 with FY2024</w:t>
            </w:r>
          </w:p>
        </w:tc>
        <w:tc>
          <w:tcPr>
            <w:tcW w:w="2273" w:type="dxa"/>
          </w:tcPr>
          <w:p>
            <w:pPr>
              <w:pStyle w:val="Compact"/>
              <w:jc w:val="left"/>
              <w:spacing w:before="20" w:after="20" w:line="220" w:lineRule="auto"/>
            </w:pPr>
            <w:r>
              <w:rPr>
                <w:sz w:val="15"/>
                <w:szCs w:val="15"/>
              </w:rPr>
              <w:t xml:space="preserve">0</w:t>
            </w:r>
          </w:p>
        </w:tc>
        <w:tc>
          <w:tcPr>
            <w:tcW w:w="3554" w:type="dxa"/>
          </w:tcPr>
          <w:p>
            <w:pPr>
              <w:pStyle w:val="Compact"/>
              <w:jc w:val="left"/>
              <w:spacing w:before="20" w:after="20" w:line="220" w:lineRule="auto"/>
            </w:pPr>
            <w:r>
              <w:rPr>
                <w:sz w:val="15"/>
                <w:szCs w:val="15"/>
              </w:rPr>
              <w:t xml:space="preserve">https://www.sharedata.co.za/v2/Scripts/SENS.aspx?id=525332</w:t>
            </w:r>
          </w:p>
        </w:tc>
      </w:tr>
      <w:tr>
        <w:tc>
          <w:tcPr>
            <w:tcW w:w="1550" w:type="dxa"/>
          </w:tcPr>
          <w:p>
            <w:pPr>
              <w:pStyle w:val="Compact"/>
              <w:jc w:val="left"/>
              <w:spacing w:before="20" w:after="20" w:line="220" w:lineRule="auto"/>
            </w:pPr>
            <w:r>
              <w:rPr>
                <w:sz w:val="15"/>
                <w:szCs w:val="15"/>
              </w:rPr>
              <w:t xml:space="preserve">LN:MTM-SENS-1H26</w:t>
            </w:r>
          </w:p>
        </w:tc>
        <w:tc>
          <w:tcPr>
            <w:tcW w:w="2001" w:type="dxa"/>
          </w:tcPr>
          <w:p>
            <w:pPr>
              <w:pStyle w:val="Compact"/>
              <w:jc w:val="left"/>
              <w:spacing w:before="20" w:after="20" w:line="220" w:lineRule="auto"/>
            </w:pPr>
            <w:r>
              <w:rPr>
                <w:sz w:val="15"/>
                <w:szCs w:val="15"/>
              </w:rPr>
              <w:t xml:space="preserve">Momentum Group Limited</w:t>
            </w:r>
          </w:p>
        </w:tc>
        <w:tc>
          <w:tcPr>
            <w:tcW w:w="3554" w:type="dxa"/>
          </w:tcPr>
          <w:p>
            <w:pPr>
              <w:pStyle w:val="Compact"/>
              <w:jc w:val="left"/>
              <w:spacing w:before="20" w:after="20" w:line="220" w:lineRule="auto"/>
            </w:pPr>
            <w:r>
              <w:rPr>
                <w:sz w:val="15"/>
                <w:szCs w:val="15"/>
              </w:rPr>
              <w:t xml:space="preserve">Momentum Group SENS: unaudited interim results six months ended 31 December 2025 (text via</w:t>
            </w:r>
          </w:p>
        </w:tc>
        <w:tc>
          <w:tcPr>
            <w:tcW w:w="1636" w:type="dxa"/>
          </w:tcPr>
          <w:p>
            <w:pPr>
              <w:pStyle w:val="Compact"/>
              <w:jc w:val="left"/>
              <w:spacing w:before="20" w:after="20" w:line="220" w:lineRule="auto"/>
            </w:pPr>
            <w:r>
              <w:rPr>
                <w:sz w:val="15"/>
                <w:szCs w:val="15"/>
              </w:rPr>
              <w:t xml:space="preserve">H1 FY2026 with H1 FY2025</w:t>
            </w:r>
          </w:p>
        </w:tc>
        <w:tc>
          <w:tcPr>
            <w:tcW w:w="2273" w:type="dxa"/>
          </w:tcPr>
          <w:p>
            <w:pPr>
              <w:pStyle w:val="Compact"/>
              <w:jc w:val="left"/>
              <w:spacing w:before="20" w:after="20" w:line="220" w:lineRule="auto"/>
            </w:pPr>
            <w:r>
              <w:rPr>
                <w:sz w:val="15"/>
                <w:szCs w:val="15"/>
              </w:rPr>
              <w:t xml:space="preserve">0</w:t>
            </w:r>
          </w:p>
        </w:tc>
        <w:tc>
          <w:tcPr>
            <w:tcW w:w="3554" w:type="dxa"/>
          </w:tcPr>
          <w:p>
            <w:pPr>
              <w:pStyle w:val="Compact"/>
              <w:jc w:val="left"/>
              <w:spacing w:before="20" w:after="20" w:line="220" w:lineRule="auto"/>
            </w:pPr>
            <w:r>
              <w:rPr>
                <w:sz w:val="15"/>
                <w:szCs w:val="15"/>
              </w:rPr>
              <w:t xml:space="preserve">https://www.sharedata.co.za/v2/Scripts/SENS.aspx?id=542427</w:t>
            </w:r>
          </w:p>
        </w:tc>
      </w:tr>
      <w:tr>
        <w:tc>
          <w:tcPr>
            <w:tcW w:w="1550" w:type="dxa"/>
          </w:tcPr>
          <w:p>
            <w:pPr>
              <w:pStyle w:val="Compact"/>
              <w:jc w:val="left"/>
              <w:spacing w:before="20" w:after="20" w:line="220" w:lineRule="auto"/>
            </w:pPr>
            <w:r>
              <w:rPr>
                <w:sz w:val="15"/>
                <w:szCs w:val="15"/>
              </w:rPr>
              <w:t xml:space="preserve">LN:DSY-AFS26</w:t>
            </w:r>
          </w:p>
        </w:tc>
        <w:tc>
          <w:tcPr>
            <w:tcW w:w="2001" w:type="dxa"/>
          </w:tcPr>
          <w:p>
            <w:pPr>
              <w:pStyle w:val="Compact"/>
              <w:jc w:val="left"/>
              <w:spacing w:before="20" w:after="20" w:line="220" w:lineRule="auto"/>
            </w:pPr>
            <w:r>
              <w:rPr>
                <w:sz w:val="15"/>
                <w:szCs w:val="15"/>
              </w:rPr>
              <w:t xml:space="preserve">Discovery Limited</w:t>
            </w:r>
          </w:p>
        </w:tc>
        <w:tc>
          <w:tcPr>
            <w:tcW w:w="3554" w:type="dxa"/>
          </w:tcPr>
          <w:p>
            <w:pPr>
              <w:pStyle w:val="Compact"/>
              <w:jc w:val="left"/>
              <w:spacing w:before="20" w:after="20" w:line="220" w:lineRule="auto"/>
            </w:pPr>
            <w:r>
              <w:rPr>
                <w:sz w:val="15"/>
                <w:szCs w:val="15"/>
              </w:rPr>
              <w:t xml:space="preserve">Discovery Annual Financial Statements for the year ended 30 June 2026</w:t>
            </w:r>
          </w:p>
        </w:tc>
        <w:tc>
          <w:tcPr>
            <w:tcW w:w="1636" w:type="dxa"/>
          </w:tcPr>
          <w:p>
            <w:pPr>
              <w:pStyle w:val="Compact"/>
              <w:jc w:val="left"/>
              <w:spacing w:before="20" w:after="20" w:line="220" w:lineRule="auto"/>
            </w:pPr>
            <w:r>
              <w:rPr>
                <w:sz w:val="15"/>
                <w:szCs w:val="15"/>
              </w:rPr>
              <w:t xml:space="preserve">FY2026 with FY2025</w:t>
            </w:r>
          </w:p>
        </w:tc>
        <w:tc>
          <w:tcPr>
            <w:tcW w:w="2273" w:type="dxa"/>
          </w:tcPr>
          <w:p>
            <w:pPr>
              <w:pStyle w:val="Compact"/>
              <w:jc w:val="left"/>
              <w:spacing w:before="20" w:after="20" w:line="220" w:lineRule="auto"/>
            </w:pPr>
            <w:r>
              <w:rPr>
                <w:sz w:val="15"/>
                <w:szCs w:val="15"/>
              </w:rPr>
              <w:t xml:space="preserve">12;17;18;19;106</w:t>
            </w:r>
          </w:p>
        </w:tc>
        <w:tc>
          <w:tcPr>
            <w:tcW w:w="3554" w:type="dxa"/>
          </w:tcPr>
          <w:p>
            <w:pPr>
              <w:pStyle w:val="Compact"/>
              <w:jc w:val="left"/>
              <w:spacing w:before="20" w:after="20" w:line="220" w:lineRule="auto"/>
            </w:pPr>
            <w:r>
              <w:rPr>
                <w:sz w:val="15"/>
                <w:szCs w:val="15"/>
              </w:rPr>
              <w:t xml:space="preserve">https://www.discovery.co.za/assets/discoverycoza/corporate/investor-relations/2026/fy2026-annual-financial-sta</w:t>
            </w:r>
          </w:p>
        </w:tc>
      </w:tr>
      <w:tr>
        <w:tc>
          <w:tcPr>
            <w:tcW w:w="1550" w:type="dxa"/>
          </w:tcPr>
          <w:p>
            <w:pPr>
              <w:pStyle w:val="Compact"/>
              <w:jc w:val="left"/>
              <w:spacing w:before="20" w:after="20" w:line="220" w:lineRule="auto"/>
            </w:pPr>
            <w:r>
              <w:rPr>
                <w:sz w:val="15"/>
                <w:szCs w:val="15"/>
              </w:rPr>
              <w:t xml:space="preserve">LN:DSY-AFS25</w:t>
            </w:r>
          </w:p>
        </w:tc>
        <w:tc>
          <w:tcPr>
            <w:tcW w:w="2001" w:type="dxa"/>
          </w:tcPr>
          <w:p>
            <w:pPr>
              <w:pStyle w:val="Compact"/>
              <w:jc w:val="left"/>
              <w:spacing w:before="20" w:after="20" w:line="220" w:lineRule="auto"/>
            </w:pPr>
            <w:r>
              <w:rPr>
                <w:sz w:val="15"/>
                <w:szCs w:val="15"/>
              </w:rPr>
              <w:t xml:space="preserve">Discovery Limited</w:t>
            </w:r>
          </w:p>
        </w:tc>
        <w:tc>
          <w:tcPr>
            <w:tcW w:w="3554" w:type="dxa"/>
          </w:tcPr>
          <w:p>
            <w:pPr>
              <w:pStyle w:val="Compact"/>
              <w:jc w:val="left"/>
              <w:spacing w:before="20" w:after="20" w:line="220" w:lineRule="auto"/>
            </w:pPr>
            <w:r>
              <w:rPr>
                <w:sz w:val="15"/>
                <w:szCs w:val="15"/>
              </w:rPr>
              <w:t xml:space="preserve">Discovery Annual Financial Statements for the year ended 30 June 2025</w:t>
            </w:r>
          </w:p>
        </w:tc>
        <w:tc>
          <w:tcPr>
            <w:tcW w:w="1636" w:type="dxa"/>
          </w:tcPr>
          <w:p>
            <w:pPr>
              <w:pStyle w:val="Compact"/>
              <w:jc w:val="left"/>
              <w:spacing w:before="20" w:after="20" w:line="220" w:lineRule="auto"/>
            </w:pPr>
            <w:r>
              <w:rPr>
                <w:sz w:val="15"/>
                <w:szCs w:val="15"/>
              </w:rPr>
              <w:t xml:space="preserve">FY2025 with restated FY2024</w:t>
            </w:r>
          </w:p>
        </w:tc>
        <w:tc>
          <w:tcPr>
            <w:tcW w:w="2273" w:type="dxa"/>
          </w:tcPr>
          <w:p>
            <w:pPr>
              <w:pStyle w:val="Compact"/>
              <w:jc w:val="left"/>
              <w:spacing w:before="20" w:after="20" w:line="220" w:lineRule="auto"/>
            </w:pPr>
            <w:r>
              <w:rPr>
                <w:sz w:val="15"/>
                <w:szCs w:val="15"/>
              </w:rPr>
              <w:t xml:space="preserve">12;18</w:t>
            </w:r>
          </w:p>
        </w:tc>
        <w:tc>
          <w:tcPr>
            <w:tcW w:w="3554" w:type="dxa"/>
          </w:tcPr>
          <w:p>
            <w:pPr>
              <w:pStyle w:val="Compact"/>
              <w:jc w:val="left"/>
              <w:spacing w:before="20" w:after="20" w:line="220" w:lineRule="auto"/>
            </w:pPr>
            <w:r>
              <w:rPr>
                <w:sz w:val="15"/>
                <w:szCs w:val="15"/>
              </w:rPr>
              <w:t xml:space="preserve">https://www.discovery.co.za/wcm/discoverycoza/assets/investor-relations/2025/discovery-annual-financial-statem</w:t>
            </w:r>
          </w:p>
        </w:tc>
      </w:tr>
      <w:tr>
        <w:tc>
          <w:tcPr>
            <w:tcW w:w="1550" w:type="dxa"/>
          </w:tcPr>
          <w:p>
            <w:pPr>
              <w:pStyle w:val="Compact"/>
              <w:jc w:val="left"/>
              <w:spacing w:before="20" w:after="20" w:line="220" w:lineRule="auto"/>
            </w:pPr>
            <w:r>
              <w:rPr>
                <w:sz w:val="15"/>
                <w:szCs w:val="15"/>
              </w:rPr>
              <w:t xml:space="preserve">LN:DSY-AFS24</w:t>
            </w:r>
          </w:p>
        </w:tc>
        <w:tc>
          <w:tcPr>
            <w:tcW w:w="2001" w:type="dxa"/>
          </w:tcPr>
          <w:p>
            <w:pPr>
              <w:pStyle w:val="Compact"/>
              <w:jc w:val="left"/>
              <w:spacing w:before="20" w:after="20" w:line="220" w:lineRule="auto"/>
            </w:pPr>
            <w:r>
              <w:rPr>
                <w:sz w:val="15"/>
                <w:szCs w:val="15"/>
              </w:rPr>
              <w:t xml:space="preserve">Discovery Limited</w:t>
            </w:r>
          </w:p>
        </w:tc>
        <w:tc>
          <w:tcPr>
            <w:tcW w:w="3554" w:type="dxa"/>
          </w:tcPr>
          <w:p>
            <w:pPr>
              <w:pStyle w:val="Compact"/>
              <w:jc w:val="left"/>
              <w:spacing w:before="20" w:after="20" w:line="220" w:lineRule="auto"/>
            </w:pPr>
            <w:r>
              <w:rPr>
                <w:sz w:val="15"/>
                <w:szCs w:val="15"/>
              </w:rPr>
              <w:t xml:space="preserve">Discovery Annual Financial Statements for the year ended 30 June 2024</w:t>
            </w:r>
          </w:p>
        </w:tc>
        <w:tc>
          <w:tcPr>
            <w:tcW w:w="1636" w:type="dxa"/>
          </w:tcPr>
          <w:p>
            <w:pPr>
              <w:pStyle w:val="Compact"/>
              <w:jc w:val="left"/>
              <w:spacing w:before="20" w:after="20" w:line="220" w:lineRule="auto"/>
            </w:pPr>
            <w:r>
              <w:rPr>
                <w:sz w:val="15"/>
                <w:szCs w:val="15"/>
              </w:rPr>
              <w:t xml:space="preserve">FY2024 with FY2023</w:t>
            </w:r>
          </w:p>
        </w:tc>
        <w:tc>
          <w:tcPr>
            <w:tcW w:w="2273" w:type="dxa"/>
          </w:tcPr>
          <w:p>
            <w:pPr>
              <w:pStyle w:val="Compact"/>
              <w:jc w:val="left"/>
              <w:spacing w:before="20" w:after="20" w:line="220" w:lineRule="auto"/>
            </w:pPr>
            <w:r>
              <w:rPr>
                <w:sz w:val="15"/>
                <w:szCs w:val="15"/>
              </w:rPr>
              <w:t xml:space="preserve">11</w:t>
            </w:r>
          </w:p>
        </w:tc>
        <w:tc>
          <w:tcPr>
            <w:tcW w:w="3554" w:type="dxa"/>
          </w:tcPr>
          <w:p>
            <w:pPr>
              <w:pStyle w:val="Compact"/>
              <w:jc w:val="left"/>
              <w:spacing w:before="20" w:after="20" w:line="220" w:lineRule="auto"/>
            </w:pPr>
            <w:r>
              <w:rPr>
                <w:sz w:val="15"/>
                <w:szCs w:val="15"/>
              </w:rPr>
              <w:t xml:space="preserve">https://www.discovery.co.za/assets/discoverycoza/corporate/investor-relations/2024/discovery-annual-financial-</w:t>
            </w:r>
          </w:p>
        </w:tc>
      </w:tr>
      <w:tr>
        <w:tc>
          <w:tcPr>
            <w:tcW w:w="1550" w:type="dxa"/>
          </w:tcPr>
          <w:p>
            <w:pPr>
              <w:pStyle w:val="Compact"/>
              <w:jc w:val="left"/>
              <w:spacing w:before="20" w:after="20" w:line="220" w:lineRule="auto"/>
            </w:pPr>
            <w:r>
              <w:rPr>
                <w:sz w:val="15"/>
                <w:szCs w:val="15"/>
              </w:rPr>
              <w:t xml:space="preserve">LN:DSY-RES26</w:t>
            </w:r>
          </w:p>
        </w:tc>
        <w:tc>
          <w:tcPr>
            <w:tcW w:w="2001" w:type="dxa"/>
          </w:tcPr>
          <w:p>
            <w:pPr>
              <w:pStyle w:val="Compact"/>
              <w:jc w:val="left"/>
              <w:spacing w:before="20" w:after="20" w:line="220" w:lineRule="auto"/>
            </w:pPr>
            <w:r>
              <w:rPr>
                <w:sz w:val="15"/>
                <w:szCs w:val="15"/>
              </w:rPr>
              <w:t xml:space="preserve">Discovery Limited</w:t>
            </w:r>
          </w:p>
        </w:tc>
        <w:tc>
          <w:tcPr>
            <w:tcW w:w="3554" w:type="dxa"/>
          </w:tcPr>
          <w:p>
            <w:pPr>
              <w:pStyle w:val="Compact"/>
              <w:jc w:val="left"/>
              <w:spacing w:before="20" w:after="20" w:line="220" w:lineRule="auto"/>
            </w:pPr>
            <w:r>
              <w:rPr>
                <w:sz w:val="15"/>
                <w:szCs w:val="15"/>
              </w:rPr>
              <w:t xml:space="preserve">Discovery audited annual financial results booklet FY2026</w:t>
            </w:r>
          </w:p>
        </w:tc>
        <w:tc>
          <w:tcPr>
            <w:tcW w:w="1636" w:type="dxa"/>
          </w:tcPr>
          <w:p>
            <w:pPr>
              <w:pStyle w:val="Compact"/>
              <w:jc w:val="left"/>
              <w:spacing w:before="20" w:after="20" w:line="220" w:lineRule="auto"/>
            </w:pPr>
            <w:r>
              <w:rPr>
                <w:sz w:val="15"/>
                <w:szCs w:val="15"/>
              </w:rPr>
              <w:t xml:space="preserve">FY2026 with FY2025</w:t>
            </w:r>
          </w:p>
        </w:tc>
        <w:tc>
          <w:tcPr>
            <w:tcW w:w="2273" w:type="dxa"/>
          </w:tcPr>
          <w:p>
            <w:pPr>
              <w:pStyle w:val="Compact"/>
              <w:jc w:val="left"/>
              <w:spacing w:before="20" w:after="20" w:line="220" w:lineRule="auto"/>
            </w:pPr>
            <w:r>
              <w:rPr>
                <w:sz w:val="15"/>
                <w:szCs w:val="15"/>
              </w:rPr>
              <w:t xml:space="preserve">0;8;30</w:t>
            </w:r>
          </w:p>
        </w:tc>
        <w:tc>
          <w:tcPr>
            <w:tcW w:w="3554" w:type="dxa"/>
          </w:tcPr>
          <w:p>
            <w:pPr>
              <w:pStyle w:val="Compact"/>
              <w:jc w:val="left"/>
              <w:spacing w:before="20" w:after="20" w:line="220" w:lineRule="auto"/>
            </w:pPr>
            <w:r>
              <w:rPr>
                <w:sz w:val="15"/>
                <w:szCs w:val="15"/>
              </w:rPr>
              <w:t xml:space="preserve">https://www.discovery.co.za/assets/discoverycoza/corporate/investor-relations/2026/annual-results.pdf</w:t>
            </w:r>
          </w:p>
        </w:tc>
      </w:tr>
      <w:tr>
        <w:tc>
          <w:tcPr>
            <w:tcW w:w="1550" w:type="dxa"/>
          </w:tcPr>
          <w:p>
            <w:pPr>
              <w:pStyle w:val="Compact"/>
              <w:jc w:val="left"/>
              <w:spacing w:before="20" w:after="20" w:line="220" w:lineRule="auto"/>
            </w:pPr>
            <w:r>
              <w:rPr>
                <w:sz w:val="15"/>
                <w:szCs w:val="15"/>
              </w:rPr>
              <w:t xml:space="preserve">LN:DSY-INT26</w:t>
            </w:r>
          </w:p>
        </w:tc>
        <w:tc>
          <w:tcPr>
            <w:tcW w:w="2001" w:type="dxa"/>
          </w:tcPr>
          <w:p>
            <w:pPr>
              <w:pStyle w:val="Compact"/>
              <w:jc w:val="left"/>
              <w:spacing w:before="20" w:after="20" w:line="220" w:lineRule="auto"/>
            </w:pPr>
            <w:r>
              <w:rPr>
                <w:sz w:val="15"/>
                <w:szCs w:val="15"/>
              </w:rPr>
              <w:t xml:space="preserve">Discovery Limited</w:t>
            </w:r>
          </w:p>
        </w:tc>
        <w:tc>
          <w:tcPr>
            <w:tcW w:w="3554" w:type="dxa"/>
          </w:tcPr>
          <w:p>
            <w:pPr>
              <w:pStyle w:val="Compact"/>
              <w:jc w:val="left"/>
              <w:spacing w:before="20" w:after="20" w:line="220" w:lineRule="auto"/>
            </w:pPr>
            <w:r>
              <w:rPr>
                <w:sz w:val="15"/>
                <w:szCs w:val="15"/>
              </w:rPr>
              <w:t xml:space="preserve">Discovery interim results booklet six months ended 31 December 2025</w:t>
            </w:r>
          </w:p>
        </w:tc>
        <w:tc>
          <w:tcPr>
            <w:tcW w:w="1636" w:type="dxa"/>
          </w:tcPr>
          <w:p>
            <w:pPr>
              <w:pStyle w:val="Compact"/>
              <w:jc w:val="left"/>
              <w:spacing w:before="20" w:after="20" w:line="220" w:lineRule="auto"/>
            </w:pPr>
            <w:r>
              <w:rPr>
                <w:sz w:val="15"/>
                <w:szCs w:val="15"/>
              </w:rPr>
              <w:t xml:space="preserve">H1 FY2026 with H1 FY2025</w:t>
            </w:r>
          </w:p>
        </w:tc>
        <w:tc>
          <w:tcPr>
            <w:tcW w:w="2273" w:type="dxa"/>
          </w:tcPr>
          <w:p>
            <w:pPr>
              <w:pStyle w:val="Compact"/>
              <w:jc w:val="left"/>
              <w:spacing w:before="20" w:after="20" w:line="220" w:lineRule="auto"/>
            </w:pPr>
            <w:r>
              <w:rPr>
                <w:sz w:val="15"/>
                <w:szCs w:val="15"/>
              </w:rPr>
              <w:t xml:space="preserve">13</w:t>
            </w:r>
          </w:p>
        </w:tc>
        <w:tc>
          <w:tcPr>
            <w:tcW w:w="3554" w:type="dxa"/>
          </w:tcPr>
          <w:p>
            <w:pPr>
              <w:pStyle w:val="Compact"/>
              <w:jc w:val="left"/>
              <w:spacing w:before="20" w:after="20" w:line="220" w:lineRule="auto"/>
            </w:pPr>
            <w:r>
              <w:rPr>
                <w:sz w:val="15"/>
                <w:szCs w:val="15"/>
              </w:rPr>
              <w:t xml:space="preserve">https://www.discovery.co.za/assets/discoverycoza/corporate/investor-relations/2026/results-booklet.pdf</w:t>
            </w:r>
          </w:p>
        </w:tc>
      </w:tr>
      <w:tr>
        <w:tc>
          <w:tcPr>
            <w:tcW w:w="1550" w:type="dxa"/>
          </w:tcPr>
          <w:p>
            <w:pPr>
              <w:pStyle w:val="Compact"/>
              <w:jc w:val="left"/>
              <w:spacing w:before="20" w:after="20" w:line="220" w:lineRule="auto"/>
            </w:pPr>
            <w:r>
              <w:rPr>
                <w:sz w:val="15"/>
                <w:szCs w:val="15"/>
              </w:rPr>
              <w:t xml:space="preserve">LN:DSY-IAR25</w:t>
            </w:r>
          </w:p>
        </w:tc>
        <w:tc>
          <w:tcPr>
            <w:tcW w:w="2001" w:type="dxa"/>
          </w:tcPr>
          <w:p>
            <w:pPr>
              <w:pStyle w:val="Compact"/>
              <w:jc w:val="left"/>
              <w:spacing w:before="20" w:after="20" w:line="220" w:lineRule="auto"/>
            </w:pPr>
            <w:r>
              <w:rPr>
                <w:sz w:val="15"/>
                <w:szCs w:val="15"/>
              </w:rPr>
              <w:t xml:space="preserve">Discovery Limited</w:t>
            </w:r>
          </w:p>
        </w:tc>
        <w:tc>
          <w:tcPr>
            <w:tcW w:w="3554" w:type="dxa"/>
          </w:tcPr>
          <w:p>
            <w:pPr>
              <w:pStyle w:val="Compact"/>
              <w:jc w:val="left"/>
              <w:spacing w:before="20" w:after="20" w:line="220" w:lineRule="auto"/>
            </w:pPr>
            <w:r>
              <w:rPr>
                <w:sz w:val="15"/>
                <w:szCs w:val="15"/>
              </w:rPr>
              <w:t xml:space="preserve">Discovery Integrated Annual Report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8;10;13</w:t>
            </w:r>
          </w:p>
        </w:tc>
        <w:tc>
          <w:tcPr>
            <w:tcW w:w="3554" w:type="dxa"/>
          </w:tcPr>
          <w:p>
            <w:pPr>
              <w:pStyle w:val="Compact"/>
              <w:jc w:val="left"/>
              <w:spacing w:before="20" w:after="20" w:line="220" w:lineRule="auto"/>
            </w:pPr>
            <w:r>
              <w:rPr>
                <w:sz w:val="15"/>
                <w:szCs w:val="15"/>
              </w:rPr>
              <w:t xml:space="preserve">https://www.discovery.co.za/wcm/discoverycoza/assets/investor-relations/2025/discovery-integrated-annual-repor</w:t>
            </w:r>
          </w:p>
        </w:tc>
      </w:tr>
      <w:tr>
        <w:tc>
          <w:tcPr>
            <w:tcW w:w="1550" w:type="dxa"/>
          </w:tcPr>
          <w:p>
            <w:pPr>
              <w:pStyle w:val="Compact"/>
              <w:jc w:val="left"/>
              <w:spacing w:before="20" w:after="20" w:line="220" w:lineRule="auto"/>
            </w:pPr>
            <w:r>
              <w:rPr>
                <w:sz w:val="15"/>
                <w:szCs w:val="15"/>
              </w:rPr>
              <w:t xml:space="preserve">LN:OUT-AFS26</w:t>
            </w:r>
          </w:p>
        </w:tc>
        <w:tc>
          <w:tcPr>
            <w:tcW w:w="2001" w:type="dxa"/>
          </w:tcPr>
          <w:p>
            <w:pPr>
              <w:pStyle w:val="Compact"/>
              <w:jc w:val="left"/>
              <w:spacing w:before="20" w:after="20" w:line="220" w:lineRule="auto"/>
            </w:pPr>
            <w:r>
              <w:rPr>
                <w:sz w:val="15"/>
                <w:szCs w:val="15"/>
              </w:rPr>
              <w:t xml:space="preserve">OUTsurance Group Limited</w:t>
            </w:r>
          </w:p>
        </w:tc>
        <w:tc>
          <w:tcPr>
            <w:tcW w:w="3554" w:type="dxa"/>
          </w:tcPr>
          <w:p>
            <w:pPr>
              <w:pStyle w:val="Compact"/>
              <w:jc w:val="left"/>
              <w:spacing w:before="20" w:after="20" w:line="220" w:lineRule="auto"/>
            </w:pPr>
            <w:r>
              <w:rPr>
                <w:sz w:val="15"/>
                <w:szCs w:val="15"/>
              </w:rPr>
              <w:t xml:space="preserve">OUTsurance Group Limited consolidated annual financial statements for the year ended 30 Ju</w:t>
            </w:r>
          </w:p>
        </w:tc>
        <w:tc>
          <w:tcPr>
            <w:tcW w:w="1636" w:type="dxa"/>
          </w:tcPr>
          <w:p>
            <w:pPr>
              <w:pStyle w:val="Compact"/>
              <w:jc w:val="left"/>
              <w:spacing w:before="20" w:after="20" w:line="220" w:lineRule="auto"/>
            </w:pPr>
            <w:r>
              <w:rPr>
                <w:sz w:val="15"/>
                <w:szCs w:val="15"/>
              </w:rPr>
              <w:t xml:space="preserve">FY2026 with FY2025</w:t>
            </w:r>
          </w:p>
        </w:tc>
        <w:tc>
          <w:tcPr>
            <w:tcW w:w="2273" w:type="dxa"/>
          </w:tcPr>
          <w:p>
            <w:pPr>
              <w:pStyle w:val="Compact"/>
              <w:jc w:val="left"/>
              <w:spacing w:before="20" w:after="20" w:line="220" w:lineRule="auto"/>
            </w:pPr>
            <w:r>
              <w:rPr>
                <w:sz w:val="15"/>
                <w:szCs w:val="15"/>
              </w:rPr>
              <w:t xml:space="preserve">19;60;61;62;63;64;65;71</w:t>
            </w:r>
          </w:p>
        </w:tc>
        <w:tc>
          <w:tcPr>
            <w:tcW w:w="3554" w:type="dxa"/>
          </w:tcPr>
          <w:p>
            <w:pPr>
              <w:pStyle w:val="Compact"/>
              <w:jc w:val="left"/>
              <w:spacing w:before="20" w:after="20" w:line="220" w:lineRule="auto"/>
            </w:pPr>
            <w:r>
              <w:rPr>
                <w:sz w:val="15"/>
                <w:szCs w:val="15"/>
              </w:rPr>
              <w:t xml:space="preserve">https://group.outsurance.co.za/globalassets/documents/investor-relations/reports-and-results/2026/ogl-annual-f</w:t>
            </w:r>
          </w:p>
        </w:tc>
      </w:tr>
      <w:tr>
        <w:tc>
          <w:tcPr>
            <w:tcW w:w="1550" w:type="dxa"/>
          </w:tcPr>
          <w:p>
            <w:pPr>
              <w:pStyle w:val="Compact"/>
              <w:jc w:val="left"/>
              <w:spacing w:before="20" w:after="20" w:line="220" w:lineRule="auto"/>
            </w:pPr>
            <w:r>
              <w:rPr>
                <w:sz w:val="15"/>
                <w:szCs w:val="15"/>
              </w:rPr>
              <w:t xml:space="preserve">LN:OUT-AFS25</w:t>
            </w:r>
          </w:p>
        </w:tc>
        <w:tc>
          <w:tcPr>
            <w:tcW w:w="2001" w:type="dxa"/>
          </w:tcPr>
          <w:p>
            <w:pPr>
              <w:pStyle w:val="Compact"/>
              <w:jc w:val="left"/>
              <w:spacing w:before="20" w:after="20" w:line="220" w:lineRule="auto"/>
            </w:pPr>
            <w:r>
              <w:rPr>
                <w:sz w:val="15"/>
                <w:szCs w:val="15"/>
              </w:rPr>
              <w:t xml:space="preserve">OUTsurance Group Limited</w:t>
            </w:r>
          </w:p>
        </w:tc>
        <w:tc>
          <w:tcPr>
            <w:tcW w:w="3554" w:type="dxa"/>
          </w:tcPr>
          <w:p>
            <w:pPr>
              <w:pStyle w:val="Compact"/>
              <w:jc w:val="left"/>
              <w:spacing w:before="20" w:after="20" w:line="220" w:lineRule="auto"/>
            </w:pPr>
            <w:r>
              <w:rPr>
                <w:sz w:val="15"/>
                <w:szCs w:val="15"/>
              </w:rPr>
              <w:t xml:space="preserve">OUTsurance Group Limited consolidated annual financial statements for the year ended 30 Ju</w:t>
            </w:r>
          </w:p>
        </w:tc>
        <w:tc>
          <w:tcPr>
            <w:tcW w:w="1636" w:type="dxa"/>
          </w:tcPr>
          <w:p>
            <w:pPr>
              <w:pStyle w:val="Compact"/>
              <w:jc w:val="left"/>
              <w:spacing w:before="20" w:after="20" w:line="220" w:lineRule="auto"/>
            </w:pPr>
            <w:r>
              <w:rPr>
                <w:sz w:val="15"/>
                <w:szCs w:val="15"/>
              </w:rPr>
              <w:t xml:space="preserve">FY2025 with FY2024</w:t>
            </w:r>
          </w:p>
        </w:tc>
        <w:tc>
          <w:tcPr>
            <w:tcW w:w="2273" w:type="dxa"/>
          </w:tcPr>
          <w:p>
            <w:pPr>
              <w:pStyle w:val="Compact"/>
              <w:jc w:val="left"/>
              <w:spacing w:before="20" w:after="20" w:line="220" w:lineRule="auto"/>
            </w:pPr>
            <w:r>
              <w:rPr>
                <w:sz w:val="15"/>
                <w:szCs w:val="15"/>
              </w:rPr>
              <w:t xml:space="preserve">58;70;81</w:t>
            </w:r>
          </w:p>
        </w:tc>
        <w:tc>
          <w:tcPr>
            <w:tcW w:w="3554" w:type="dxa"/>
          </w:tcPr>
          <w:p>
            <w:pPr>
              <w:pStyle w:val="Compact"/>
              <w:jc w:val="left"/>
              <w:spacing w:before="20" w:after="20" w:line="220" w:lineRule="auto"/>
            </w:pPr>
            <w:r>
              <w:rPr>
                <w:sz w:val="15"/>
                <w:szCs w:val="15"/>
              </w:rPr>
              <w:t xml:space="preserve">https://group.outsurance.co.za/globalassets/documents/investor-relations/reports-and-results/2025/ogl-annual-f</w:t>
            </w:r>
          </w:p>
        </w:tc>
      </w:tr>
      <w:tr>
        <w:tc>
          <w:tcPr>
            <w:tcW w:w="1550" w:type="dxa"/>
          </w:tcPr>
          <w:p>
            <w:pPr>
              <w:pStyle w:val="Compact"/>
              <w:jc w:val="left"/>
              <w:spacing w:before="20" w:after="20" w:line="220" w:lineRule="auto"/>
            </w:pPr>
            <w:r>
              <w:rPr>
                <w:sz w:val="15"/>
                <w:szCs w:val="15"/>
              </w:rPr>
              <w:t xml:space="preserve">LN:OUT-AFS24</w:t>
            </w:r>
          </w:p>
        </w:tc>
        <w:tc>
          <w:tcPr>
            <w:tcW w:w="2001" w:type="dxa"/>
          </w:tcPr>
          <w:p>
            <w:pPr>
              <w:pStyle w:val="Compact"/>
              <w:jc w:val="left"/>
              <w:spacing w:before="20" w:after="20" w:line="220" w:lineRule="auto"/>
            </w:pPr>
            <w:r>
              <w:rPr>
                <w:sz w:val="15"/>
                <w:szCs w:val="15"/>
              </w:rPr>
              <w:t xml:space="preserve">OUTsurance Group Limited</w:t>
            </w:r>
          </w:p>
        </w:tc>
        <w:tc>
          <w:tcPr>
            <w:tcW w:w="3554" w:type="dxa"/>
          </w:tcPr>
          <w:p>
            <w:pPr>
              <w:pStyle w:val="Compact"/>
              <w:jc w:val="left"/>
              <w:spacing w:before="20" w:after="20" w:line="220" w:lineRule="auto"/>
            </w:pPr>
            <w:r>
              <w:rPr>
                <w:sz w:val="15"/>
                <w:szCs w:val="15"/>
              </w:rPr>
              <w:t xml:space="preserve">OUTsurance Group Limited consolidated annual financial statements for the year ended 30 Ju</w:t>
            </w:r>
          </w:p>
        </w:tc>
        <w:tc>
          <w:tcPr>
            <w:tcW w:w="1636" w:type="dxa"/>
          </w:tcPr>
          <w:p>
            <w:pPr>
              <w:pStyle w:val="Compact"/>
              <w:jc w:val="left"/>
              <w:spacing w:before="20" w:after="20" w:line="220" w:lineRule="auto"/>
            </w:pPr>
            <w:r>
              <w:rPr>
                <w:sz w:val="15"/>
                <w:szCs w:val="15"/>
              </w:rPr>
              <w:t xml:space="preserve">FY2024 with FY2023</w:t>
            </w:r>
          </w:p>
        </w:tc>
        <w:tc>
          <w:tcPr>
            <w:tcW w:w="2273" w:type="dxa"/>
          </w:tcPr>
          <w:p>
            <w:pPr>
              <w:pStyle w:val="Compact"/>
              <w:jc w:val="left"/>
              <w:spacing w:before="20" w:after="20" w:line="220" w:lineRule="auto"/>
            </w:pPr>
            <w:r>
              <w:rPr>
                <w:sz w:val="15"/>
                <w:szCs w:val="15"/>
              </w:rPr>
              <w:t xml:space="preserve">59;60;61;63;64;81</w:t>
            </w:r>
          </w:p>
        </w:tc>
        <w:tc>
          <w:tcPr>
            <w:tcW w:w="3554" w:type="dxa"/>
          </w:tcPr>
          <w:p>
            <w:pPr>
              <w:pStyle w:val="Compact"/>
              <w:jc w:val="left"/>
              <w:spacing w:before="20" w:after="20" w:line="220" w:lineRule="auto"/>
            </w:pPr>
            <w:r>
              <w:rPr>
                <w:sz w:val="15"/>
                <w:szCs w:val="15"/>
              </w:rPr>
              <w:t xml:space="preserve">https://group.outsurance.co.za/globalassets/documents/investor-relations/reports-and-results/2024/ogl_annual-f</w:t>
            </w:r>
          </w:p>
        </w:tc>
      </w:tr>
      <w:tr>
        <w:tc>
          <w:tcPr>
            <w:tcW w:w="1550" w:type="dxa"/>
          </w:tcPr>
          <w:p>
            <w:pPr>
              <w:pStyle w:val="Compact"/>
              <w:jc w:val="left"/>
              <w:spacing w:before="20" w:after="20" w:line="220" w:lineRule="auto"/>
            </w:pPr>
            <w:r>
              <w:rPr>
                <w:sz w:val="15"/>
                <w:szCs w:val="15"/>
              </w:rPr>
              <w:t xml:space="preserve">LN:OUT-INT26</w:t>
            </w:r>
          </w:p>
        </w:tc>
        <w:tc>
          <w:tcPr>
            <w:tcW w:w="2001" w:type="dxa"/>
          </w:tcPr>
          <w:p>
            <w:pPr>
              <w:pStyle w:val="Compact"/>
              <w:jc w:val="left"/>
              <w:spacing w:before="20" w:after="20" w:line="220" w:lineRule="auto"/>
            </w:pPr>
            <w:r>
              <w:rPr>
                <w:sz w:val="15"/>
                <w:szCs w:val="15"/>
              </w:rPr>
              <w:t xml:space="preserve">OUTsurance Group Limited</w:t>
            </w:r>
          </w:p>
        </w:tc>
        <w:tc>
          <w:tcPr>
            <w:tcW w:w="3554" w:type="dxa"/>
          </w:tcPr>
          <w:p>
            <w:pPr>
              <w:pStyle w:val="Compact"/>
              <w:jc w:val="left"/>
              <w:spacing w:before="20" w:after="20" w:line="220" w:lineRule="auto"/>
            </w:pPr>
            <w:r>
              <w:rPr>
                <w:sz w:val="15"/>
                <w:szCs w:val="15"/>
              </w:rPr>
              <w:t xml:space="preserve">OUTsurance Group Limited unaudited interim results six months ended 31 December 2025</w:t>
            </w:r>
          </w:p>
        </w:tc>
        <w:tc>
          <w:tcPr>
            <w:tcW w:w="1636" w:type="dxa"/>
          </w:tcPr>
          <w:p>
            <w:pPr>
              <w:pStyle w:val="Compact"/>
              <w:jc w:val="left"/>
              <w:spacing w:before="20" w:after="20" w:line="220" w:lineRule="auto"/>
            </w:pPr>
            <w:r>
              <w:rPr>
                <w:sz w:val="15"/>
                <w:szCs w:val="15"/>
              </w:rPr>
              <w:t xml:space="preserve">H1 FY2026 with H1 FY2025 and F</w:t>
            </w:r>
          </w:p>
        </w:tc>
        <w:tc>
          <w:tcPr>
            <w:tcW w:w="2273" w:type="dxa"/>
          </w:tcPr>
          <w:p>
            <w:pPr>
              <w:pStyle w:val="Compact"/>
              <w:jc w:val="left"/>
              <w:spacing w:before="20" w:after="20" w:line="220" w:lineRule="auto"/>
            </w:pPr>
            <w:r>
              <w:rPr>
                <w:sz w:val="15"/>
                <w:szCs w:val="15"/>
              </w:rPr>
              <w:t xml:space="preserve">8</w:t>
            </w:r>
          </w:p>
        </w:tc>
        <w:tc>
          <w:tcPr>
            <w:tcW w:w="3554" w:type="dxa"/>
          </w:tcPr>
          <w:p>
            <w:pPr>
              <w:pStyle w:val="Compact"/>
              <w:jc w:val="left"/>
              <w:spacing w:before="20" w:after="20" w:line="220" w:lineRule="auto"/>
            </w:pPr>
            <w:r>
              <w:rPr>
                <w:sz w:val="15"/>
                <w:szCs w:val="15"/>
              </w:rPr>
              <w:t xml:space="preserve">https://group.outsurance.co.za/globalassets/documents/investor-relations/reports-and-results/2026/ogl-interim-</w:t>
            </w:r>
          </w:p>
        </w:tc>
      </w:tr>
      <w:tr>
        <w:tc>
          <w:tcPr>
            <w:tcW w:w="1550" w:type="dxa"/>
          </w:tcPr>
          <w:p>
            <w:pPr>
              <w:pStyle w:val="Compact"/>
              <w:jc w:val="left"/>
              <w:spacing w:before="20" w:after="20" w:line="220" w:lineRule="auto"/>
            </w:pPr>
            <w:r>
              <w:rPr>
                <w:sz w:val="15"/>
                <w:szCs w:val="15"/>
              </w:rPr>
              <w:t xml:space="preserve">LN:OUT-IR26</w:t>
            </w:r>
          </w:p>
        </w:tc>
        <w:tc>
          <w:tcPr>
            <w:tcW w:w="2001" w:type="dxa"/>
          </w:tcPr>
          <w:p>
            <w:pPr>
              <w:pStyle w:val="Compact"/>
              <w:jc w:val="left"/>
              <w:spacing w:before="20" w:after="20" w:line="220" w:lineRule="auto"/>
            </w:pPr>
            <w:r>
              <w:rPr>
                <w:sz w:val="15"/>
                <w:szCs w:val="15"/>
              </w:rPr>
              <w:t xml:space="preserve">OUTsurance Group Limited</w:t>
            </w:r>
          </w:p>
        </w:tc>
        <w:tc>
          <w:tcPr>
            <w:tcW w:w="3554" w:type="dxa"/>
          </w:tcPr>
          <w:p>
            <w:pPr>
              <w:pStyle w:val="Compact"/>
              <w:jc w:val="left"/>
              <w:spacing w:before="20" w:after="20" w:line="220" w:lineRule="auto"/>
            </w:pPr>
            <w:r>
              <w:rPr>
                <w:sz w:val="15"/>
                <w:szCs w:val="15"/>
              </w:rPr>
              <w:t xml:space="preserve">OUTsurance Group Integrated Report 2026</w:t>
            </w:r>
          </w:p>
        </w:tc>
        <w:tc>
          <w:tcPr>
            <w:tcW w:w="1636" w:type="dxa"/>
          </w:tcPr>
          <w:p>
            <w:pPr>
              <w:pStyle w:val="Compact"/>
              <w:jc w:val="left"/>
              <w:spacing w:before="20" w:after="20" w:line="220" w:lineRule="auto"/>
            </w:pPr>
            <w:r>
              <w:rPr>
                <w:sz w:val="15"/>
                <w:szCs w:val="15"/>
              </w:rPr>
              <w:t xml:space="preserve">FY2026 with FY2025</w:t>
            </w:r>
          </w:p>
        </w:tc>
        <w:tc>
          <w:tcPr>
            <w:tcW w:w="2273" w:type="dxa"/>
          </w:tcPr>
          <w:p>
            <w:pPr>
              <w:pStyle w:val="Compact"/>
              <w:jc w:val="left"/>
              <w:spacing w:before="20" w:after="20" w:line="220" w:lineRule="auto"/>
            </w:pPr>
            <w:r>
              <w:rPr>
                <w:sz w:val="15"/>
                <w:szCs w:val="15"/>
              </w:rPr>
              <w:t xml:space="preserve">6;20</w:t>
            </w:r>
          </w:p>
        </w:tc>
        <w:tc>
          <w:tcPr>
            <w:tcW w:w="3554" w:type="dxa"/>
          </w:tcPr>
          <w:p>
            <w:pPr>
              <w:pStyle w:val="Compact"/>
              <w:jc w:val="left"/>
              <w:spacing w:before="20" w:after="20" w:line="220" w:lineRule="auto"/>
            </w:pPr>
            <w:r>
              <w:rPr>
                <w:sz w:val="15"/>
                <w:szCs w:val="15"/>
              </w:rPr>
              <w:t xml:space="preserve">https://group.outsurance.co.za/globalassets/documents/investor-relations/reports-and-results/2026/ogl-integrat</w:t>
            </w:r>
          </w:p>
        </w:tc>
      </w:tr>
      <w:tr>
        <w:tc>
          <w:tcPr>
            <w:tcW w:w="1550" w:type="dxa"/>
          </w:tcPr>
          <w:p>
            <w:pPr>
              <w:pStyle w:val="Compact"/>
              <w:jc w:val="left"/>
              <w:spacing w:before="20" w:after="20" w:line="220" w:lineRule="auto"/>
            </w:pPr>
            <w:r>
              <w:rPr>
                <w:sz w:val="15"/>
                <w:szCs w:val="15"/>
              </w:rPr>
              <w:t xml:space="preserve">LN:OUT-IR25</w:t>
            </w:r>
          </w:p>
        </w:tc>
        <w:tc>
          <w:tcPr>
            <w:tcW w:w="2001" w:type="dxa"/>
          </w:tcPr>
          <w:p>
            <w:pPr>
              <w:pStyle w:val="Compact"/>
              <w:jc w:val="left"/>
              <w:spacing w:before="20" w:after="20" w:line="220" w:lineRule="auto"/>
            </w:pPr>
            <w:r>
              <w:rPr>
                <w:sz w:val="15"/>
                <w:szCs w:val="15"/>
              </w:rPr>
              <w:t xml:space="preserve">OUTsurance Group Limited</w:t>
            </w:r>
          </w:p>
        </w:tc>
        <w:tc>
          <w:tcPr>
            <w:tcW w:w="3554" w:type="dxa"/>
          </w:tcPr>
          <w:p>
            <w:pPr>
              <w:pStyle w:val="Compact"/>
              <w:jc w:val="left"/>
              <w:spacing w:before="20" w:after="20" w:line="220" w:lineRule="auto"/>
            </w:pPr>
            <w:r>
              <w:rPr>
                <w:sz w:val="15"/>
                <w:szCs w:val="15"/>
              </w:rPr>
              <w:t xml:space="preserve">OUTsurance Group Integrated Report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6</w:t>
            </w:r>
          </w:p>
        </w:tc>
        <w:tc>
          <w:tcPr>
            <w:tcW w:w="3554" w:type="dxa"/>
          </w:tcPr>
          <w:p>
            <w:pPr>
              <w:pStyle w:val="Compact"/>
              <w:jc w:val="left"/>
              <w:spacing w:before="20" w:after="20" w:line="220" w:lineRule="auto"/>
            </w:pPr>
            <w:r>
              <w:rPr>
                <w:sz w:val="15"/>
                <w:szCs w:val="15"/>
              </w:rPr>
              <w:t xml:space="preserve">https://companiesmarketcap.com/integrated-reports/99054.int.en.2025.pdf</w:t>
            </w:r>
          </w:p>
        </w:tc>
      </w:tr>
      <w:tr>
        <w:tc>
          <w:tcPr>
            <w:tcW w:w="1550" w:type="dxa"/>
          </w:tcPr>
          <w:p>
            <w:pPr>
              <w:pStyle w:val="Compact"/>
              <w:jc w:val="left"/>
              <w:spacing w:before="20" w:after="20" w:line="220" w:lineRule="auto"/>
            </w:pPr>
            <w:r>
              <w:rPr>
                <w:sz w:val="15"/>
                <w:szCs w:val="15"/>
              </w:rPr>
              <w:t xml:space="preserve">LN:HOL-HH23</w:t>
            </w:r>
          </w:p>
        </w:tc>
        <w:tc>
          <w:tcPr>
            <w:tcW w:w="2001" w:type="dxa"/>
          </w:tcPr>
          <w:p>
            <w:pPr>
              <w:pStyle w:val="Compact"/>
              <w:jc w:val="left"/>
              <w:spacing w:before="20" w:after="20" w:line="220" w:lineRule="auto"/>
            </w:pPr>
            <w:r>
              <w:rPr>
                <w:sz w:val="15"/>
                <w:szCs w:val="15"/>
              </w:rPr>
              <w:t xml:space="preserve">Hollard Holdings Proprietary Limited</w:t>
            </w:r>
          </w:p>
        </w:tc>
        <w:tc>
          <w:tcPr>
            <w:tcW w:w="3554" w:type="dxa"/>
          </w:tcPr>
          <w:p>
            <w:pPr>
              <w:pStyle w:val="Compact"/>
              <w:jc w:val="left"/>
              <w:spacing w:before="20" w:after="20" w:line="220" w:lineRule="auto"/>
            </w:pPr>
            <w:r>
              <w:rPr>
                <w:sz w:val="15"/>
                <w:szCs w:val="15"/>
              </w:rPr>
              <w:t xml:space="preserve">Hollard Holdings Proprietary Limited consolidated annual financial statements 30 June 2023</w:t>
            </w:r>
          </w:p>
        </w:tc>
        <w:tc>
          <w:tcPr>
            <w:tcW w:w="1636" w:type="dxa"/>
          </w:tcPr>
          <w:p>
            <w:pPr>
              <w:pStyle w:val="Compact"/>
              <w:jc w:val="left"/>
              <w:spacing w:before="20" w:after="20" w:line="220" w:lineRule="auto"/>
            </w:pPr>
            <w:r>
              <w:rPr>
                <w:sz w:val="15"/>
                <w:szCs w:val="15"/>
              </w:rPr>
              <w:t xml:space="preserve">FY2023 with restated FY2022</w:t>
            </w:r>
          </w:p>
        </w:tc>
        <w:tc>
          <w:tcPr>
            <w:tcW w:w="2273" w:type="dxa"/>
          </w:tcPr>
          <w:p>
            <w:pPr>
              <w:pStyle w:val="Compact"/>
              <w:jc w:val="left"/>
              <w:spacing w:before="20" w:after="20" w:line="220" w:lineRule="auto"/>
            </w:pPr>
            <w:r>
              <w:rPr>
                <w:sz w:val="15"/>
                <w:szCs w:val="15"/>
              </w:rPr>
              <w:t xml:space="preserve">11;47;57</w:t>
            </w:r>
          </w:p>
        </w:tc>
        <w:tc>
          <w:tcPr>
            <w:tcW w:w="3554" w:type="dxa"/>
          </w:tcPr>
          <w:p>
            <w:pPr>
              <w:pStyle w:val="Compact"/>
              <w:jc w:val="left"/>
              <w:spacing w:before="20" w:after="20" w:line="220" w:lineRule="auto"/>
            </w:pPr>
            <w:r>
              <w:rPr>
                <w:sz w:val="15"/>
                <w:szCs w:val="15"/>
              </w:rPr>
              <w:t xml:space="preserve">https://www.hollard.co.za/binaries/content/assets/hollardcoza-headless/pages/about-hollard/company-overview/an</w:t>
            </w:r>
          </w:p>
        </w:tc>
      </w:tr>
      <w:tr>
        <w:tc>
          <w:tcPr>
            <w:tcW w:w="1550" w:type="dxa"/>
          </w:tcPr>
          <w:p>
            <w:pPr>
              <w:pStyle w:val="Compact"/>
              <w:jc w:val="left"/>
              <w:spacing w:before="20" w:after="20" w:line="220" w:lineRule="auto"/>
            </w:pPr>
            <w:r>
              <w:rPr>
                <w:sz w:val="15"/>
                <w:szCs w:val="15"/>
              </w:rPr>
              <w:t xml:space="preserve">LN:HOL-HIC23</w:t>
            </w:r>
          </w:p>
        </w:tc>
        <w:tc>
          <w:tcPr>
            <w:tcW w:w="2001" w:type="dxa"/>
          </w:tcPr>
          <w:p>
            <w:pPr>
              <w:pStyle w:val="Compact"/>
              <w:jc w:val="left"/>
              <w:spacing w:before="20" w:after="20" w:line="220" w:lineRule="auto"/>
            </w:pPr>
            <w:r>
              <w:rPr>
                <w:sz w:val="15"/>
                <w:szCs w:val="15"/>
              </w:rPr>
              <w:t xml:space="preserve">The Hollard Insurance Company Limited</w:t>
            </w:r>
          </w:p>
        </w:tc>
        <w:tc>
          <w:tcPr>
            <w:tcW w:w="3554" w:type="dxa"/>
          </w:tcPr>
          <w:p>
            <w:pPr>
              <w:pStyle w:val="Compact"/>
              <w:jc w:val="left"/>
              <w:spacing w:before="20" w:after="20" w:line="220" w:lineRule="auto"/>
            </w:pPr>
            <w:r>
              <w:rPr>
                <w:sz w:val="15"/>
                <w:szCs w:val="15"/>
              </w:rPr>
              <w:t xml:space="preserve">The Hollard Insurance Company Limited annual financial statements 30 June 2023</w:t>
            </w:r>
          </w:p>
        </w:tc>
        <w:tc>
          <w:tcPr>
            <w:tcW w:w="1636" w:type="dxa"/>
          </w:tcPr>
          <w:p>
            <w:pPr>
              <w:pStyle w:val="Compact"/>
              <w:jc w:val="left"/>
              <w:spacing w:before="20" w:after="20" w:line="220" w:lineRule="auto"/>
            </w:pPr>
            <w:r>
              <w:rPr>
                <w:sz w:val="15"/>
                <w:szCs w:val="15"/>
              </w:rPr>
              <w:t xml:space="preserve">FY2023 with FY2022</w:t>
            </w:r>
          </w:p>
        </w:tc>
        <w:tc>
          <w:tcPr>
            <w:tcW w:w="2273" w:type="dxa"/>
          </w:tcPr>
          <w:p>
            <w:pPr>
              <w:pStyle w:val="Compact"/>
              <w:jc w:val="left"/>
              <w:spacing w:before="20" w:after="20" w:line="220" w:lineRule="auto"/>
            </w:pPr>
            <w:r>
              <w:rPr>
                <w:sz w:val="15"/>
                <w:szCs w:val="15"/>
              </w:rPr>
              <w:t xml:space="preserve">3;13;81;85</w:t>
            </w:r>
          </w:p>
        </w:tc>
        <w:tc>
          <w:tcPr>
            <w:tcW w:w="3554" w:type="dxa"/>
          </w:tcPr>
          <w:p>
            <w:pPr>
              <w:pStyle w:val="Compact"/>
              <w:jc w:val="left"/>
              <w:spacing w:before="20" w:after="20" w:line="220" w:lineRule="auto"/>
            </w:pPr>
            <w:r>
              <w:rPr>
                <w:sz w:val="15"/>
                <w:szCs w:val="15"/>
              </w:rPr>
              <w:t xml:space="preserve">https://www.hollard.co.za/binaries/content/assets/hollardcoza-headless/pages/about-hollard/company-overview/an</w:t>
            </w:r>
          </w:p>
        </w:tc>
      </w:tr>
      <w:tr>
        <w:tc>
          <w:tcPr>
            <w:tcW w:w="1550" w:type="dxa"/>
          </w:tcPr>
          <w:p>
            <w:pPr>
              <w:pStyle w:val="Compact"/>
              <w:jc w:val="left"/>
              <w:spacing w:before="20" w:after="20" w:line="220" w:lineRule="auto"/>
            </w:pPr>
            <w:r>
              <w:rPr>
                <w:sz w:val="15"/>
                <w:szCs w:val="15"/>
              </w:rPr>
              <w:t xml:space="preserve">LN:HOL-HLAC23</w:t>
            </w:r>
          </w:p>
        </w:tc>
        <w:tc>
          <w:tcPr>
            <w:tcW w:w="2001" w:type="dxa"/>
          </w:tcPr>
          <w:p>
            <w:pPr>
              <w:pStyle w:val="Compact"/>
              <w:jc w:val="left"/>
              <w:spacing w:before="20" w:after="20" w:line="220" w:lineRule="auto"/>
            </w:pPr>
            <w:r>
              <w:rPr>
                <w:sz w:val="15"/>
                <w:szCs w:val="15"/>
              </w:rPr>
              <w:t xml:space="preserve">Hollard Life Assurance Company Limited</w:t>
            </w:r>
          </w:p>
        </w:tc>
        <w:tc>
          <w:tcPr>
            <w:tcW w:w="3554" w:type="dxa"/>
          </w:tcPr>
          <w:p>
            <w:pPr>
              <w:pStyle w:val="Compact"/>
              <w:jc w:val="left"/>
              <w:spacing w:before="20" w:after="20" w:line="220" w:lineRule="auto"/>
            </w:pPr>
            <w:r>
              <w:rPr>
                <w:sz w:val="15"/>
                <w:szCs w:val="15"/>
              </w:rPr>
              <w:t xml:space="preserve">Hollard Life Assurance Company Limited annual financial statements 30 June 2023</w:t>
            </w:r>
          </w:p>
        </w:tc>
        <w:tc>
          <w:tcPr>
            <w:tcW w:w="1636" w:type="dxa"/>
          </w:tcPr>
          <w:p>
            <w:pPr>
              <w:pStyle w:val="Compact"/>
              <w:jc w:val="left"/>
              <w:spacing w:before="20" w:after="20" w:line="220" w:lineRule="auto"/>
            </w:pPr>
            <w:r>
              <w:rPr>
                <w:sz w:val="15"/>
                <w:szCs w:val="15"/>
              </w:rPr>
              <w:t xml:space="preserve">FY2023 with restated FY2022</w:t>
            </w:r>
          </w:p>
        </w:tc>
        <w:tc>
          <w:tcPr>
            <w:tcW w:w="2273" w:type="dxa"/>
          </w:tcPr>
          <w:p>
            <w:pPr>
              <w:pStyle w:val="Compact"/>
              <w:jc w:val="left"/>
              <w:spacing w:before="20" w:after="20" w:line="220" w:lineRule="auto"/>
            </w:pPr>
            <w:r>
              <w:rPr>
                <w:sz w:val="15"/>
                <w:szCs w:val="15"/>
              </w:rPr>
              <w:t xml:space="preserve">0;3;14;88</w:t>
            </w:r>
          </w:p>
        </w:tc>
        <w:tc>
          <w:tcPr>
            <w:tcW w:w="3554" w:type="dxa"/>
          </w:tcPr>
          <w:p>
            <w:pPr>
              <w:pStyle w:val="Compact"/>
              <w:jc w:val="left"/>
              <w:spacing w:before="20" w:after="20" w:line="220" w:lineRule="auto"/>
            </w:pPr>
            <w:r>
              <w:rPr>
                <w:sz w:val="15"/>
                <w:szCs w:val="15"/>
              </w:rPr>
              <w:t xml:space="preserve">https://www.hollard.co.za/binaries/content/assets/hollardcoza-headless/pages/about-hollard/company-overview/an</w:t>
            </w:r>
          </w:p>
        </w:tc>
      </w:tr>
      <w:tr>
        <w:tc>
          <w:tcPr>
            <w:tcW w:w="1550" w:type="dxa"/>
          </w:tcPr>
          <w:p>
            <w:pPr>
              <w:pStyle w:val="Compact"/>
              <w:jc w:val="left"/>
              <w:spacing w:before="20" w:after="20" w:line="220" w:lineRule="auto"/>
            </w:pPr>
            <w:r>
              <w:rPr>
                <w:sz w:val="15"/>
                <w:szCs w:val="15"/>
              </w:rPr>
              <w:t xml:space="preserve">LN:KPMG25</w:t>
            </w:r>
          </w:p>
        </w:tc>
        <w:tc>
          <w:tcPr>
            <w:tcW w:w="2001" w:type="dxa"/>
          </w:tcPr>
          <w:p>
            <w:pPr>
              <w:pStyle w:val="Compact"/>
              <w:jc w:val="left"/>
              <w:spacing w:before="20" w:after="20" w:line="220" w:lineRule="auto"/>
            </w:pPr>
            <w:r>
              <w:rPr>
                <w:sz w:val="15"/>
                <w:szCs w:val="15"/>
              </w:rPr>
              <w:t xml:space="preserve">KPMG South Africa</w:t>
            </w:r>
          </w:p>
        </w:tc>
        <w:tc>
          <w:tcPr>
            <w:tcW w:w="3554" w:type="dxa"/>
          </w:tcPr>
          <w:p>
            <w:pPr>
              <w:pStyle w:val="Compact"/>
              <w:jc w:val="left"/>
              <w:spacing w:before="20" w:after="20" w:line="220" w:lineRule="auto"/>
            </w:pPr>
            <w:r>
              <w:rPr>
                <w:sz w:val="15"/>
                <w:szCs w:val="15"/>
              </w:rPr>
              <w:t xml:space="preserve">The South African Insurance Industry Survey 2025 (full PDF)</w:t>
            </w:r>
          </w:p>
        </w:tc>
        <w:tc>
          <w:tcPr>
            <w:tcW w:w="1636" w:type="dxa"/>
          </w:tcPr>
          <w:p>
            <w:pPr>
              <w:pStyle w:val="Compact"/>
              <w:jc w:val="left"/>
              <w:spacing w:before="20" w:after="20" w:line="220" w:lineRule="auto"/>
            </w:pPr>
            <w:r>
              <w:rPr>
                <w:sz w:val="15"/>
                <w:szCs w:val="15"/>
              </w:rPr>
              <w:t xml:space="preserve">Entity tables: FY2024 with FY2</w:t>
            </w:r>
          </w:p>
        </w:tc>
        <w:tc>
          <w:tcPr>
            <w:tcW w:w="2273" w:type="dxa"/>
          </w:tcPr>
          <w:p>
            <w:pPr>
              <w:pStyle w:val="Compact"/>
              <w:jc w:val="left"/>
              <w:spacing w:before="20" w:after="20" w:line="220" w:lineRule="auto"/>
            </w:pPr>
            <w:r>
              <w:rPr>
                <w:sz w:val="15"/>
                <w:szCs w:val="15"/>
              </w:rPr>
              <w:t xml:space="preserve">0;191;192;193;204;205;206</w:t>
            </w:r>
          </w:p>
        </w:tc>
        <w:tc>
          <w:tcPr>
            <w:tcW w:w="3554" w:type="dxa"/>
          </w:tcPr>
          <w:p>
            <w:pPr>
              <w:pStyle w:val="Compact"/>
              <w:jc w:val="left"/>
              <w:spacing w:before="20" w:after="20" w:line="220" w:lineRule="auto"/>
            </w:pPr>
            <w:r>
              <w:rPr>
                <w:sz w:val="15"/>
                <w:szCs w:val="15"/>
              </w:rPr>
              <w:t xml:space="preserve">https://kpmg.com/content/dam/kpmgsites/za/pdf/2025/Insurance%20Survey%202025%20Final_.pdf.coredownload.inline.</w:t>
            </w:r>
          </w:p>
        </w:tc>
      </w:tr>
      <w:tr>
        <w:tc>
          <w:tcPr>
            <w:tcW w:w="1550" w:type="dxa"/>
          </w:tcPr>
          <w:p>
            <w:pPr>
              <w:pStyle w:val="Compact"/>
              <w:jc w:val="left"/>
              <w:spacing w:before="20" w:after="20" w:line="220" w:lineRule="auto"/>
            </w:pPr>
            <w:r>
              <w:rPr>
                <w:sz w:val="15"/>
                <w:szCs w:val="15"/>
              </w:rPr>
              <w:t xml:space="preserve">EU:S01</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2025 Universal Registration Document (annual report incl. IFRS consolidated financial stat</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11,12,33,215,244,247,370,374</w:t>
            </w:r>
          </w:p>
        </w:tc>
        <w:tc>
          <w:tcPr>
            <w:tcW w:w="3554" w:type="dxa"/>
          </w:tcPr>
          <w:p>
            <w:pPr>
              <w:pStyle w:val="Compact"/>
              <w:jc w:val="left"/>
              <w:spacing w:before="20" w:after="20" w:line="220" w:lineRule="auto"/>
            </w:pPr>
            <w:r>
              <w:rPr>
                <w:sz w:val="15"/>
                <w:szCs w:val="15"/>
              </w:rPr>
              <w:t xml:space="preserve">https://www.ca-assurances.com/wp-content/uploads/CAA-2025-Universal-Registration-Document.pdf</w:t>
            </w:r>
          </w:p>
        </w:tc>
      </w:tr>
      <w:tr>
        <w:tc>
          <w:tcPr>
            <w:tcW w:w="1550" w:type="dxa"/>
          </w:tcPr>
          <w:p>
            <w:pPr>
              <w:pStyle w:val="Compact"/>
              <w:jc w:val="left"/>
              <w:spacing w:before="20" w:after="20" w:line="220" w:lineRule="auto"/>
            </w:pPr>
            <w:r>
              <w:rPr>
                <w:sz w:val="15"/>
                <w:szCs w:val="15"/>
              </w:rPr>
              <w:t xml:space="preserve">EU:S02</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2024 Universal Registration Document</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11,12,215,342</w:t>
            </w:r>
          </w:p>
        </w:tc>
        <w:tc>
          <w:tcPr>
            <w:tcW w:w="3554" w:type="dxa"/>
          </w:tcPr>
          <w:p>
            <w:pPr>
              <w:pStyle w:val="Compact"/>
              <w:jc w:val="left"/>
              <w:spacing w:before="20" w:after="20" w:line="220" w:lineRule="auto"/>
            </w:pPr>
            <w:r>
              <w:rPr>
                <w:sz w:val="15"/>
                <w:szCs w:val="15"/>
              </w:rPr>
              <w:t xml:space="preserve">https://www.ca-assurances.com/wp-content/uploads/CAA-2024-Universal-Registration-Document.pdf</w:t>
            </w:r>
          </w:p>
        </w:tc>
      </w:tr>
      <w:tr>
        <w:tc>
          <w:tcPr>
            <w:tcW w:w="1550" w:type="dxa"/>
          </w:tcPr>
          <w:p>
            <w:pPr>
              <w:pStyle w:val="Compact"/>
              <w:jc w:val="left"/>
              <w:spacing w:before="20" w:after="20" w:line="220" w:lineRule="auto"/>
            </w:pPr>
            <w:r>
              <w:rPr>
                <w:sz w:val="15"/>
                <w:szCs w:val="15"/>
              </w:rPr>
              <w:t xml:space="preserve">EU:S03</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Group Solvency and Financial Condition Report 2025 (English)</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12,13,14,66,67,68</w:t>
            </w:r>
          </w:p>
        </w:tc>
        <w:tc>
          <w:tcPr>
            <w:tcW w:w="3554" w:type="dxa"/>
          </w:tcPr>
          <w:p>
            <w:pPr>
              <w:pStyle w:val="Compact"/>
              <w:jc w:val="left"/>
              <w:spacing w:before="20" w:after="20" w:line="220" w:lineRule="auto"/>
            </w:pPr>
            <w:r>
              <w:rPr>
                <w:sz w:val="15"/>
                <w:szCs w:val="15"/>
              </w:rPr>
              <w:t xml:space="preserve">https://www.ca-assurances.com/wp-content/uploads/Credit-Agricole-Assurances-Group-–-SFCR-2025-1.pdf</w:t>
            </w:r>
          </w:p>
        </w:tc>
      </w:tr>
      <w:tr>
        <w:tc>
          <w:tcPr>
            <w:tcW w:w="1550" w:type="dxa"/>
          </w:tcPr>
          <w:p>
            <w:pPr>
              <w:pStyle w:val="Compact"/>
              <w:jc w:val="left"/>
              <w:spacing w:before="20" w:after="20" w:line="220" w:lineRule="auto"/>
            </w:pPr>
            <w:r>
              <w:rPr>
                <w:sz w:val="15"/>
                <w:szCs w:val="15"/>
              </w:rPr>
              <w:t xml:space="preserve">EU:S04</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Group Solvency and Financial Condition Report 2024 (English)</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12,13,14,81,82,83</w:t>
            </w:r>
          </w:p>
        </w:tc>
        <w:tc>
          <w:tcPr>
            <w:tcW w:w="3554" w:type="dxa"/>
          </w:tcPr>
          <w:p>
            <w:pPr>
              <w:pStyle w:val="Compact"/>
              <w:jc w:val="left"/>
              <w:spacing w:before="20" w:after="20" w:line="220" w:lineRule="auto"/>
            </w:pPr>
            <w:r>
              <w:rPr>
                <w:sz w:val="15"/>
                <w:szCs w:val="15"/>
              </w:rPr>
              <w:t xml:space="preserve">https://www.ca-assurances.com/wp-content/uploads/Credit-Agricole-Assurances-Group-SFCR-2024.pdf</w:t>
            </w:r>
          </w:p>
        </w:tc>
      </w:tr>
      <w:tr>
        <w:tc>
          <w:tcPr>
            <w:tcW w:w="1550" w:type="dxa"/>
          </w:tcPr>
          <w:p>
            <w:pPr>
              <w:pStyle w:val="Compact"/>
              <w:jc w:val="left"/>
              <w:spacing w:before="20" w:after="20" w:line="220" w:lineRule="auto"/>
            </w:pPr>
            <w:r>
              <w:rPr>
                <w:sz w:val="15"/>
                <w:szCs w:val="15"/>
              </w:rPr>
              <w:t xml:space="preserve">EU:S05</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Rapport sur la solvabilite et la situation financiere 2023 (SFCR 2023, French, AMF/DILA op</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11,12,13,77,78,79</w:t>
            </w:r>
          </w:p>
        </w:tc>
        <w:tc>
          <w:tcPr>
            <w:tcW w:w="3554" w:type="dxa"/>
          </w:tcPr>
          <w:p>
            <w:pPr>
              <w:pStyle w:val="Compact"/>
              <w:jc w:val="left"/>
              <w:spacing w:before="20" w:after="20" w:line="220" w:lineRule="auto"/>
            </w:pPr>
            <w:r>
              <w:rPr>
                <w:sz w:val="15"/>
                <w:szCs w:val="15"/>
              </w:rPr>
              <w:t xml:space="preserve">https://echanges.dila.gouv.fr/OPENDATA/AMF/110/2024/04/FC110533650_20240607.pdf</w:t>
            </w:r>
          </w:p>
        </w:tc>
      </w:tr>
      <w:tr>
        <w:tc>
          <w:tcPr>
            <w:tcW w:w="1550" w:type="dxa"/>
          </w:tcPr>
          <w:p>
            <w:pPr>
              <w:pStyle w:val="Compact"/>
              <w:jc w:val="left"/>
              <w:spacing w:before="20" w:after="20" w:line="220" w:lineRule="auto"/>
            </w:pPr>
            <w:r>
              <w:rPr>
                <w:sz w:val="15"/>
                <w:szCs w:val="15"/>
              </w:rPr>
              <w:t xml:space="preserve">EU:S06</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Consolidated financial statements at 30 June 2026</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9,27,28</w:t>
            </w:r>
          </w:p>
        </w:tc>
        <w:tc>
          <w:tcPr>
            <w:tcW w:w="3554" w:type="dxa"/>
          </w:tcPr>
          <w:p>
            <w:pPr>
              <w:pStyle w:val="Compact"/>
              <w:jc w:val="left"/>
              <w:spacing w:before="20" w:after="20" w:line="220" w:lineRule="auto"/>
            </w:pPr>
            <w:r>
              <w:rPr>
                <w:sz w:val="15"/>
                <w:szCs w:val="15"/>
              </w:rPr>
              <w:t xml:space="preserve">https://www.ca-assurances.com/wp-content/uploads/CAA-Consolidated-financial-statements-at-30th-June-2026.pdf</w:t>
            </w:r>
          </w:p>
        </w:tc>
      </w:tr>
      <w:tr>
        <w:tc>
          <w:tcPr>
            <w:tcW w:w="1550" w:type="dxa"/>
          </w:tcPr>
          <w:p>
            <w:pPr>
              <w:pStyle w:val="Compact"/>
              <w:jc w:val="left"/>
              <w:spacing w:before="20" w:after="20" w:line="220" w:lineRule="auto"/>
            </w:pPr>
            <w:r>
              <w:rPr>
                <w:sz w:val="15"/>
                <w:szCs w:val="15"/>
              </w:rPr>
              <w:t xml:space="preserve">EU:S07</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Press release H1 2026 results</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1,2,3,4</w:t>
            </w:r>
          </w:p>
        </w:tc>
        <w:tc>
          <w:tcPr>
            <w:tcW w:w="3554" w:type="dxa"/>
          </w:tcPr>
          <w:p>
            <w:pPr>
              <w:pStyle w:val="Compact"/>
              <w:jc w:val="left"/>
              <w:spacing w:before="20" w:after="20" w:line="220" w:lineRule="auto"/>
            </w:pPr>
            <w:r>
              <w:rPr>
                <w:sz w:val="15"/>
                <w:szCs w:val="15"/>
              </w:rPr>
              <w:t xml:space="preserve">https://www.ca-assurances.com/wp-content/uploads/Press-release-CAA-H1-2026-results.pdf</w:t>
            </w:r>
          </w:p>
        </w:tc>
      </w:tr>
      <w:tr>
        <w:tc>
          <w:tcPr>
            <w:tcW w:w="1550" w:type="dxa"/>
          </w:tcPr>
          <w:p>
            <w:pPr>
              <w:pStyle w:val="Compact"/>
              <w:jc w:val="left"/>
              <w:spacing w:before="20" w:after="20" w:line="220" w:lineRule="auto"/>
            </w:pPr>
            <w:r>
              <w:rPr>
                <w:sz w:val="15"/>
                <w:szCs w:val="15"/>
              </w:rPr>
              <w:t xml:space="preserve">EU:S08</w:t>
            </w:r>
          </w:p>
        </w:tc>
        <w:tc>
          <w:tcPr>
            <w:tcW w:w="2001" w:type="dxa"/>
          </w:tcPr>
          <w:p>
            <w:pPr>
              <w:pStyle w:val="Compact"/>
              <w:jc w:val="left"/>
              <w:spacing w:before="20" w:after="20" w:line="220" w:lineRule="auto"/>
            </w:pPr>
            <w:r>
              <w:rPr>
                <w:sz w:val="15"/>
                <w:szCs w:val="15"/>
              </w:rPr>
              <w:t xml:space="preserve">Credit Agricole Assurances SA</w:t>
            </w:r>
          </w:p>
        </w:tc>
        <w:tc>
          <w:tcPr>
            <w:tcW w:w="3554" w:type="dxa"/>
          </w:tcPr>
          <w:p>
            <w:pPr>
              <w:pStyle w:val="Compact"/>
              <w:jc w:val="left"/>
              <w:spacing w:before="20" w:after="20" w:line="220" w:lineRule="auto"/>
            </w:pPr>
            <w:r>
              <w:rPr>
                <w:sz w:val="15"/>
                <w:szCs w:val="15"/>
              </w:rPr>
              <w:t xml:space="preserve">Investor presentation September 2026 (H1 2026 figures)</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13,37</w:t>
            </w:r>
          </w:p>
        </w:tc>
        <w:tc>
          <w:tcPr>
            <w:tcW w:w="3554" w:type="dxa"/>
          </w:tcPr>
          <w:p>
            <w:pPr>
              <w:pStyle w:val="Compact"/>
              <w:jc w:val="left"/>
              <w:spacing w:before="20" w:after="20" w:line="220" w:lineRule="auto"/>
            </w:pPr>
            <w:r>
              <w:rPr>
                <w:sz w:val="15"/>
                <w:szCs w:val="15"/>
              </w:rPr>
              <w:t xml:space="preserve">https://www.ca-assurances.com/wp-content/uploads/CAA-Investor-Presentation-September-2026-HY-26-figures.pdf</w:t>
            </w:r>
          </w:p>
        </w:tc>
      </w:tr>
      <w:tr>
        <w:tc>
          <w:tcPr>
            <w:tcW w:w="1550" w:type="dxa"/>
          </w:tcPr>
          <w:p>
            <w:pPr>
              <w:pStyle w:val="Compact"/>
              <w:jc w:val="left"/>
              <w:spacing w:before="20" w:after="20" w:line="220" w:lineRule="auto"/>
            </w:pPr>
            <w:r>
              <w:rPr>
                <w:sz w:val="15"/>
                <w:szCs w:val="15"/>
              </w:rPr>
              <w:t xml:space="preserve">EU:S10</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Comptes consolides au 31 decembre 2025 (IFRS consolidated financial statements, French)</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7,136,161,162</w:t>
            </w:r>
          </w:p>
        </w:tc>
        <w:tc>
          <w:tcPr>
            <w:tcW w:w="3554" w:type="dxa"/>
          </w:tcPr>
          <w:p>
            <w:pPr>
              <w:pStyle w:val="Compact"/>
              <w:jc w:val="left"/>
              <w:spacing w:before="20" w:after="20" w:line="220" w:lineRule="auto"/>
            </w:pPr>
            <w:r>
              <w:rPr>
                <w:sz w:val="15"/>
                <w:szCs w:val="15"/>
              </w:rPr>
              <w:t xml:space="preserve">https://www.bnpparibascardif.com/wp-content/uploads/sites/28/2026/05/Rapport-des-comptes-consolides-IFRS-Cardi</w:t>
            </w:r>
          </w:p>
        </w:tc>
      </w:tr>
      <w:tr>
        <w:tc>
          <w:tcPr>
            <w:tcW w:w="1550" w:type="dxa"/>
          </w:tcPr>
          <w:p>
            <w:pPr>
              <w:pStyle w:val="Compact"/>
              <w:jc w:val="left"/>
              <w:spacing w:before="20" w:after="20" w:line="220" w:lineRule="auto"/>
            </w:pPr>
            <w:r>
              <w:rPr>
                <w:sz w:val="15"/>
                <w:szCs w:val="15"/>
              </w:rPr>
              <w:t xml:space="preserve">EU:S11</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Consolidated financial statements 31 December 2024 (English)</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135</w:t>
            </w:r>
          </w:p>
        </w:tc>
        <w:tc>
          <w:tcPr>
            <w:tcW w:w="3554" w:type="dxa"/>
          </w:tcPr>
          <w:p>
            <w:pPr>
              <w:pStyle w:val="Compact"/>
              <w:jc w:val="left"/>
              <w:spacing w:before="20" w:after="20" w:line="220" w:lineRule="auto"/>
            </w:pPr>
            <w:r>
              <w:rPr>
                <w:sz w:val="15"/>
                <w:szCs w:val="15"/>
              </w:rPr>
              <w:t xml:space="preserve">https://www.bnpparibascardif.com/wp-content/uploads/sites/28/2025/06/Cardif-consolidated-Accounts-2024_vcom.pd</w:t>
            </w:r>
          </w:p>
        </w:tc>
      </w:tr>
      <w:tr>
        <w:tc>
          <w:tcPr>
            <w:tcW w:w="1550" w:type="dxa"/>
          </w:tcPr>
          <w:p>
            <w:pPr>
              <w:pStyle w:val="Compact"/>
              <w:jc w:val="left"/>
              <w:spacing w:before="20" w:after="20" w:line="220" w:lineRule="auto"/>
            </w:pPr>
            <w:r>
              <w:rPr>
                <w:sz w:val="15"/>
                <w:szCs w:val="15"/>
              </w:rPr>
              <w:t xml:space="preserve">EU:S12</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Consolidated financial statements 31 December 2023 (English)</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135</w:t>
            </w:r>
          </w:p>
        </w:tc>
        <w:tc>
          <w:tcPr>
            <w:tcW w:w="3554" w:type="dxa"/>
          </w:tcPr>
          <w:p>
            <w:pPr>
              <w:pStyle w:val="Compact"/>
              <w:jc w:val="left"/>
              <w:spacing w:before="20" w:after="20" w:line="220" w:lineRule="auto"/>
            </w:pPr>
            <w:r>
              <w:rPr>
                <w:sz w:val="15"/>
                <w:szCs w:val="15"/>
              </w:rPr>
              <w:t xml:space="preserve">https://www.bnpparibascardif.com/wp-content/uploads/sites/28/2025/03/Cardif-consolidated-Accounts-2023-vcom-EN</w:t>
            </w:r>
          </w:p>
        </w:tc>
      </w:tr>
      <w:tr>
        <w:tc>
          <w:tcPr>
            <w:tcW w:w="1550" w:type="dxa"/>
          </w:tcPr>
          <w:p>
            <w:pPr>
              <w:pStyle w:val="Compact"/>
              <w:jc w:val="left"/>
              <w:spacing w:before="20" w:after="20" w:line="220" w:lineRule="auto"/>
            </w:pPr>
            <w:r>
              <w:rPr>
                <w:sz w:val="15"/>
                <w:szCs w:val="15"/>
              </w:rPr>
              <w:t xml:space="preserve">EU:S13</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SFCR 2025 Groupe BNP Paribas Cardif (French)</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15,16,17,18,19,20</w:t>
            </w:r>
          </w:p>
        </w:tc>
        <w:tc>
          <w:tcPr>
            <w:tcW w:w="3554" w:type="dxa"/>
          </w:tcPr>
          <w:p>
            <w:pPr>
              <w:pStyle w:val="Compact"/>
              <w:jc w:val="left"/>
              <w:spacing w:before="20" w:after="20" w:line="220" w:lineRule="auto"/>
            </w:pPr>
            <w:r>
              <w:rPr>
                <w:sz w:val="15"/>
                <w:szCs w:val="15"/>
              </w:rPr>
              <w:t xml:space="preserve">https://www.bnpparibascardif.com/wp-content/uploads/sites/28/2026/04/BNP-Paribas-Cardif-–-SFCR-2025-2.pdf</w:t>
            </w:r>
          </w:p>
        </w:tc>
      </w:tr>
      <w:tr>
        <w:tc>
          <w:tcPr>
            <w:tcW w:w="1550" w:type="dxa"/>
          </w:tcPr>
          <w:p>
            <w:pPr>
              <w:pStyle w:val="Compact"/>
              <w:jc w:val="left"/>
              <w:spacing w:before="20" w:after="20" w:line="220" w:lineRule="auto"/>
            </w:pPr>
            <w:r>
              <w:rPr>
                <w:sz w:val="15"/>
                <w:szCs w:val="15"/>
              </w:rPr>
              <w:t xml:space="preserve">EU:S14</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SFCR 2025 Annexes (QRT) Groupe BNP Paribas Cardif</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4,5</w:t>
            </w:r>
          </w:p>
        </w:tc>
        <w:tc>
          <w:tcPr>
            <w:tcW w:w="3554" w:type="dxa"/>
          </w:tcPr>
          <w:p>
            <w:pPr>
              <w:pStyle w:val="Compact"/>
              <w:jc w:val="left"/>
              <w:spacing w:before="20" w:after="20" w:line="220" w:lineRule="auto"/>
            </w:pPr>
            <w:r>
              <w:rPr>
                <w:sz w:val="15"/>
                <w:szCs w:val="15"/>
              </w:rPr>
              <w:t xml:space="preserve">https://www.bnpparibascardif.com/wp-content/uploads/sites/28/2026/04/BNP-Paribas-Cardif-–-Annexes-2025-4.pdf</w:t>
            </w:r>
          </w:p>
        </w:tc>
      </w:tr>
      <w:tr>
        <w:tc>
          <w:tcPr>
            <w:tcW w:w="1550" w:type="dxa"/>
          </w:tcPr>
          <w:p>
            <w:pPr>
              <w:pStyle w:val="Compact"/>
              <w:jc w:val="left"/>
              <w:spacing w:before="20" w:after="20" w:line="220" w:lineRule="auto"/>
            </w:pPr>
            <w:r>
              <w:rPr>
                <w:sz w:val="15"/>
                <w:szCs w:val="15"/>
              </w:rPr>
              <w:t xml:space="preserve">EU:S15</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SFCR 2024 (English)</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12,13</w:t>
            </w:r>
          </w:p>
        </w:tc>
        <w:tc>
          <w:tcPr>
            <w:tcW w:w="3554" w:type="dxa"/>
          </w:tcPr>
          <w:p>
            <w:pPr>
              <w:pStyle w:val="Compact"/>
              <w:jc w:val="left"/>
              <w:spacing w:before="20" w:after="20" w:line="220" w:lineRule="auto"/>
            </w:pPr>
            <w:r>
              <w:rPr>
                <w:sz w:val="15"/>
                <w:szCs w:val="15"/>
              </w:rPr>
              <w:t xml:space="preserve">https://www.bnpparibascardif.com/wp-content/uploads/sites/28/2025/06/SFCR-2024-BNPPC-SFCR-2024-English-Version</w:t>
            </w:r>
          </w:p>
        </w:tc>
      </w:tr>
      <w:tr>
        <w:tc>
          <w:tcPr>
            <w:tcW w:w="1550" w:type="dxa"/>
          </w:tcPr>
          <w:p>
            <w:pPr>
              <w:pStyle w:val="Compact"/>
              <w:jc w:val="left"/>
              <w:spacing w:before="20" w:after="20" w:line="220" w:lineRule="auto"/>
            </w:pPr>
            <w:r>
              <w:rPr>
                <w:sz w:val="15"/>
                <w:szCs w:val="15"/>
              </w:rPr>
              <w:t xml:space="preserve">EU:S16</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SFCR 2024 Appendices (QRT)</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4,5</w:t>
            </w:r>
          </w:p>
        </w:tc>
        <w:tc>
          <w:tcPr>
            <w:tcW w:w="3554" w:type="dxa"/>
          </w:tcPr>
          <w:p>
            <w:pPr>
              <w:pStyle w:val="Compact"/>
              <w:jc w:val="left"/>
              <w:spacing w:before="20" w:after="20" w:line="220" w:lineRule="auto"/>
            </w:pPr>
            <w:r>
              <w:rPr>
                <w:sz w:val="15"/>
                <w:szCs w:val="15"/>
              </w:rPr>
              <w:t xml:space="preserve">https://www.bnpparibascardif.com/wp-content/uploads/sites/28/2025/05/BNP-Paribas-Cardif-Appendices-2024.pdf</w:t>
            </w:r>
          </w:p>
        </w:tc>
      </w:tr>
      <w:tr>
        <w:tc>
          <w:tcPr>
            <w:tcW w:w="1550" w:type="dxa"/>
          </w:tcPr>
          <w:p>
            <w:pPr>
              <w:pStyle w:val="Compact"/>
              <w:jc w:val="left"/>
              <w:spacing w:before="20" w:after="20" w:line="220" w:lineRule="auto"/>
            </w:pPr>
            <w:r>
              <w:rPr>
                <w:sz w:val="15"/>
                <w:szCs w:val="15"/>
              </w:rPr>
              <w:t xml:space="preserve">EU:S17</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SFCR 2023 (English)</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7,12,13,14</w:t>
            </w:r>
          </w:p>
        </w:tc>
        <w:tc>
          <w:tcPr>
            <w:tcW w:w="3554" w:type="dxa"/>
          </w:tcPr>
          <w:p>
            <w:pPr>
              <w:pStyle w:val="Compact"/>
              <w:jc w:val="left"/>
              <w:spacing w:before="20" w:after="20" w:line="220" w:lineRule="auto"/>
            </w:pPr>
            <w:r>
              <w:rPr>
                <w:sz w:val="15"/>
                <w:szCs w:val="15"/>
              </w:rPr>
              <w:t xml:space="preserve">https://www.bnpparibascardif.com/wp-content/uploads/sites/28/2025/03/BNP-Paribas-Cardif-SFCR-2023-VA.pdf</w:t>
            </w:r>
          </w:p>
        </w:tc>
      </w:tr>
      <w:tr>
        <w:tc>
          <w:tcPr>
            <w:tcW w:w="1550" w:type="dxa"/>
          </w:tcPr>
          <w:p>
            <w:pPr>
              <w:pStyle w:val="Compact"/>
              <w:jc w:val="left"/>
              <w:spacing w:before="20" w:after="20" w:line="220" w:lineRule="auto"/>
            </w:pPr>
            <w:r>
              <w:rPr>
                <w:sz w:val="15"/>
                <w:szCs w:val="15"/>
              </w:rPr>
              <w:t xml:space="preserve">EU:S18</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SFCR 2023 Appendices (QRT)</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6,7</w:t>
            </w:r>
          </w:p>
        </w:tc>
        <w:tc>
          <w:tcPr>
            <w:tcW w:w="3554" w:type="dxa"/>
          </w:tcPr>
          <w:p>
            <w:pPr>
              <w:pStyle w:val="Compact"/>
              <w:jc w:val="left"/>
              <w:spacing w:before="20" w:after="20" w:line="220" w:lineRule="auto"/>
            </w:pPr>
            <w:r>
              <w:rPr>
                <w:sz w:val="15"/>
                <w:szCs w:val="15"/>
              </w:rPr>
              <w:t xml:space="preserve">https://www.bnpparibascardif.com/wp-content/uploads/sites/28/2025/03/BNP-Paribas-Cardif-Appendices-2023.pdf</w:t>
            </w:r>
          </w:p>
        </w:tc>
      </w:tr>
      <w:tr>
        <w:tc>
          <w:tcPr>
            <w:tcW w:w="1550" w:type="dxa"/>
          </w:tcPr>
          <w:p>
            <w:pPr>
              <w:pStyle w:val="Compact"/>
              <w:jc w:val="left"/>
              <w:spacing w:before="20" w:after="20" w:line="220" w:lineRule="auto"/>
            </w:pPr>
            <w:r>
              <w:rPr>
                <w:sz w:val="15"/>
                <w:szCs w:val="15"/>
              </w:rPr>
              <w:t xml:space="preserve">EU:S19</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Financial presentation BNP Paribas Cardif 2026 (FY2025 figures)</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7,11,12,13</w:t>
            </w:r>
          </w:p>
        </w:tc>
        <w:tc>
          <w:tcPr>
            <w:tcW w:w="3554" w:type="dxa"/>
          </w:tcPr>
          <w:p>
            <w:pPr>
              <w:pStyle w:val="Compact"/>
              <w:jc w:val="left"/>
              <w:spacing w:before="20" w:after="20" w:line="220" w:lineRule="auto"/>
            </w:pPr>
            <w:r>
              <w:rPr>
                <w:sz w:val="15"/>
                <w:szCs w:val="15"/>
              </w:rPr>
              <w:t xml:space="preserve">https://www.bnpparibascardif.com/wp-content/uploads/sites/28/2026/05/Financial-Presentation-BNP-Paribas-Cardif</w:t>
            </w:r>
          </w:p>
        </w:tc>
      </w:tr>
      <w:tr>
        <w:tc>
          <w:tcPr>
            <w:tcW w:w="1550" w:type="dxa"/>
          </w:tcPr>
          <w:p>
            <w:pPr>
              <w:pStyle w:val="Compact"/>
              <w:jc w:val="left"/>
              <w:spacing w:before="20" w:after="20" w:line="220" w:lineRule="auto"/>
            </w:pPr>
            <w:r>
              <w:rPr>
                <w:sz w:val="15"/>
                <w:szCs w:val="15"/>
              </w:rPr>
              <w:t xml:space="preserve">EU:S20</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Financial presentation at 30 June 2026 (English)</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4,7,11,12</w:t>
            </w:r>
          </w:p>
        </w:tc>
        <w:tc>
          <w:tcPr>
            <w:tcW w:w="3554" w:type="dxa"/>
          </w:tcPr>
          <w:p>
            <w:pPr>
              <w:pStyle w:val="Compact"/>
              <w:jc w:val="left"/>
              <w:spacing w:before="20" w:after="20" w:line="220" w:lineRule="auto"/>
            </w:pPr>
            <w:r>
              <w:rPr>
                <w:sz w:val="15"/>
                <w:szCs w:val="15"/>
              </w:rPr>
              <w:t xml:space="preserve">https://www.bnpparibascardif.com/wp-content/uploads/sites/28/2026/10/Presentation-Financiere-au-30-06-2026-en-</w:t>
            </w:r>
          </w:p>
        </w:tc>
      </w:tr>
      <w:tr>
        <w:tc>
          <w:tcPr>
            <w:tcW w:w="1550" w:type="dxa"/>
          </w:tcPr>
          <w:p>
            <w:pPr>
              <w:pStyle w:val="Compact"/>
              <w:jc w:val="left"/>
              <w:spacing w:before="20" w:after="20" w:line="220" w:lineRule="auto"/>
            </w:pPr>
            <w:r>
              <w:rPr>
                <w:sz w:val="15"/>
                <w:szCs w:val="15"/>
              </w:rPr>
              <w:t xml:space="preserve">EU:S21</w:t>
            </w:r>
          </w:p>
        </w:tc>
        <w:tc>
          <w:tcPr>
            <w:tcW w:w="2001" w:type="dxa"/>
          </w:tcPr>
          <w:p>
            <w:pPr>
              <w:pStyle w:val="Compact"/>
              <w:jc w:val="left"/>
              <w:spacing w:before="20" w:after="20" w:line="220" w:lineRule="auto"/>
            </w:pPr>
            <w:r>
              <w:rPr>
                <w:sz w:val="15"/>
                <w:szCs w:val="15"/>
              </w:rPr>
              <w:t xml:space="preserve">BNP Paribas Cardif</w:t>
            </w:r>
          </w:p>
        </w:tc>
        <w:tc>
          <w:tcPr>
            <w:tcW w:w="3554" w:type="dxa"/>
          </w:tcPr>
          <w:p>
            <w:pPr>
              <w:pStyle w:val="Compact"/>
              <w:jc w:val="left"/>
              <w:spacing w:before="20" w:after="20" w:line="220" w:lineRule="auto"/>
            </w:pPr>
            <w:r>
              <w:rPr>
                <w:sz w:val="15"/>
                <w:szCs w:val="15"/>
              </w:rPr>
              <w:t xml:space="preserve">Comptes consolides 1er semestre 2026</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15</w:t>
            </w:r>
          </w:p>
        </w:tc>
        <w:tc>
          <w:tcPr>
            <w:tcW w:w="3554" w:type="dxa"/>
          </w:tcPr>
          <w:p>
            <w:pPr>
              <w:pStyle w:val="Compact"/>
              <w:jc w:val="left"/>
              <w:spacing w:before="20" w:after="20" w:line="220" w:lineRule="auto"/>
            </w:pPr>
            <w:r>
              <w:rPr>
                <w:sz w:val="15"/>
                <w:szCs w:val="15"/>
              </w:rPr>
              <w:t xml:space="preserve">https://www.bnpparibascardif.com/wp-content/uploads/sites/28/2026/09/Comptes-Consolides-1er-semestre-2026-BNP-</w:t>
            </w:r>
          </w:p>
        </w:tc>
      </w:tr>
      <w:tr>
        <w:tc>
          <w:tcPr>
            <w:tcW w:w="1550" w:type="dxa"/>
          </w:tcPr>
          <w:p>
            <w:pPr>
              <w:pStyle w:val="Compact"/>
              <w:jc w:val="left"/>
              <w:spacing w:before="20" w:after="20" w:line="220" w:lineRule="auto"/>
            </w:pPr>
            <w:r>
              <w:rPr>
                <w:sz w:val="15"/>
                <w:szCs w:val="15"/>
              </w:rPr>
              <w:t xml:space="preserve">EU:S30</w:t>
            </w:r>
          </w:p>
        </w:tc>
        <w:tc>
          <w:tcPr>
            <w:tcW w:w="2001" w:type="dxa"/>
          </w:tcPr>
          <w:p>
            <w:pPr>
              <w:pStyle w:val="Compact"/>
              <w:jc w:val="left"/>
              <w:spacing w:before="20" w:after="20" w:line="220" w:lineRule="auto"/>
            </w:pPr>
            <w:r>
              <w:rPr>
                <w:sz w:val="15"/>
                <w:szCs w:val="15"/>
              </w:rPr>
              <w:t xml:space="preserve">VidaCaixa SAU de Seguros y Reaseguros</w:t>
            </w:r>
          </w:p>
        </w:tc>
        <w:tc>
          <w:tcPr>
            <w:tcW w:w="3554" w:type="dxa"/>
          </w:tcPr>
          <w:p>
            <w:pPr>
              <w:pStyle w:val="Compact"/>
              <w:jc w:val="left"/>
              <w:spacing w:before="20" w:after="20" w:line="220" w:lineRule="auto"/>
            </w:pPr>
            <w:r>
              <w:rPr>
                <w:sz w:val="15"/>
                <w:szCs w:val="15"/>
              </w:rPr>
              <w:t xml:space="preserve">Cuentas Anuales Consolidadas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12,13,158,159,164,172,181</w:t>
            </w:r>
          </w:p>
        </w:tc>
        <w:tc>
          <w:tcPr>
            <w:tcW w:w="3554" w:type="dxa"/>
          </w:tcPr>
          <w:p>
            <w:pPr>
              <w:pStyle w:val="Compact"/>
              <w:jc w:val="left"/>
              <w:spacing w:before="20" w:after="20" w:line="220" w:lineRule="auto"/>
            </w:pPr>
            <w:r>
              <w:rPr>
                <w:sz w:val="15"/>
                <w:szCs w:val="15"/>
              </w:rPr>
              <w:t xml:space="preserve">https://www.vidacaixa.es/documents/18549598/18689831/Cuentas+Anuales+Consolidadas+VidaCaixa+2025.pdf/bc63eb94-</w:t>
            </w:r>
          </w:p>
        </w:tc>
      </w:tr>
      <w:tr>
        <w:tc>
          <w:tcPr>
            <w:tcW w:w="1550" w:type="dxa"/>
          </w:tcPr>
          <w:p>
            <w:pPr>
              <w:pStyle w:val="Compact"/>
              <w:jc w:val="left"/>
              <w:spacing w:before="20" w:after="20" w:line="220" w:lineRule="auto"/>
            </w:pPr>
            <w:r>
              <w:rPr>
                <w:sz w:val="15"/>
                <w:szCs w:val="15"/>
              </w:rPr>
              <w:t xml:space="preserve">EU:S31</w:t>
            </w:r>
          </w:p>
        </w:tc>
        <w:tc>
          <w:tcPr>
            <w:tcW w:w="2001" w:type="dxa"/>
          </w:tcPr>
          <w:p>
            <w:pPr>
              <w:pStyle w:val="Compact"/>
              <w:jc w:val="left"/>
              <w:spacing w:before="20" w:after="20" w:line="220" w:lineRule="auto"/>
            </w:pPr>
            <w:r>
              <w:rPr>
                <w:sz w:val="15"/>
                <w:szCs w:val="15"/>
              </w:rPr>
              <w:t xml:space="preserve">VidaCaixa SAU de Seguros y Reaseguros</w:t>
            </w:r>
          </w:p>
        </w:tc>
        <w:tc>
          <w:tcPr>
            <w:tcW w:w="3554" w:type="dxa"/>
          </w:tcPr>
          <w:p>
            <w:pPr>
              <w:pStyle w:val="Compact"/>
              <w:jc w:val="left"/>
              <w:spacing w:before="20" w:after="20" w:line="220" w:lineRule="auto"/>
            </w:pPr>
            <w:r>
              <w:rPr>
                <w:sz w:val="15"/>
                <w:szCs w:val="15"/>
              </w:rPr>
              <w:t xml:space="preserve">Cuentas Anuales Consolidadas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12,13,166,179,188</w:t>
            </w:r>
          </w:p>
        </w:tc>
        <w:tc>
          <w:tcPr>
            <w:tcW w:w="3554" w:type="dxa"/>
          </w:tcPr>
          <w:p>
            <w:pPr>
              <w:pStyle w:val="Compact"/>
              <w:jc w:val="left"/>
              <w:spacing w:before="20" w:after="20" w:line="220" w:lineRule="auto"/>
            </w:pPr>
            <w:r>
              <w:rPr>
                <w:sz w:val="15"/>
                <w:szCs w:val="15"/>
              </w:rPr>
              <w:t xml:space="preserve">https://www.vidacaixa.es/documents/18549598/18689831/Cuentas+Anuales+Consolidadas+VidaCaixa+2024.pdf/1be8b9d7-</w:t>
            </w:r>
          </w:p>
        </w:tc>
      </w:tr>
      <w:tr>
        <w:tc>
          <w:tcPr>
            <w:tcW w:w="1550" w:type="dxa"/>
          </w:tcPr>
          <w:p>
            <w:pPr>
              <w:pStyle w:val="Compact"/>
              <w:jc w:val="left"/>
              <w:spacing w:before="20" w:after="20" w:line="220" w:lineRule="auto"/>
            </w:pPr>
            <w:r>
              <w:rPr>
                <w:sz w:val="15"/>
                <w:szCs w:val="15"/>
              </w:rPr>
              <w:t xml:space="preserve">EU:S32</w:t>
            </w:r>
          </w:p>
        </w:tc>
        <w:tc>
          <w:tcPr>
            <w:tcW w:w="2001" w:type="dxa"/>
          </w:tcPr>
          <w:p>
            <w:pPr>
              <w:pStyle w:val="Compact"/>
              <w:jc w:val="left"/>
              <w:spacing w:before="20" w:after="20" w:line="220" w:lineRule="auto"/>
            </w:pPr>
            <w:r>
              <w:rPr>
                <w:sz w:val="15"/>
                <w:szCs w:val="15"/>
              </w:rPr>
              <w:t xml:space="preserve">VidaCaixa SAU de Seguros y Reaseguros</w:t>
            </w:r>
          </w:p>
        </w:tc>
        <w:tc>
          <w:tcPr>
            <w:tcW w:w="3554" w:type="dxa"/>
          </w:tcPr>
          <w:p>
            <w:pPr>
              <w:pStyle w:val="Compact"/>
              <w:jc w:val="left"/>
              <w:spacing w:before="20" w:after="20" w:line="220" w:lineRule="auto"/>
            </w:pPr>
            <w:r>
              <w:rPr>
                <w:sz w:val="15"/>
                <w:szCs w:val="15"/>
              </w:rPr>
              <w:t xml:space="preserve">Comptes Anuals Consolidats 2023 (Catalan)</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12,175,188,198</w:t>
            </w:r>
          </w:p>
        </w:tc>
        <w:tc>
          <w:tcPr>
            <w:tcW w:w="3554" w:type="dxa"/>
          </w:tcPr>
          <w:p>
            <w:pPr>
              <w:pStyle w:val="Compact"/>
              <w:jc w:val="left"/>
              <w:spacing w:before="20" w:after="20" w:line="220" w:lineRule="auto"/>
            </w:pPr>
            <w:r>
              <w:rPr>
                <w:sz w:val="15"/>
                <w:szCs w:val="15"/>
              </w:rPr>
              <w:t xml:space="preserve">https://www.vidacaixa.es/documents/18549598/18689843/Comptes+Anuals+Consolidats+2023+VidaCaixa.pdf/8c61c3a0-50</w:t>
            </w:r>
          </w:p>
        </w:tc>
      </w:tr>
      <w:tr>
        <w:tc>
          <w:tcPr>
            <w:tcW w:w="1550" w:type="dxa"/>
          </w:tcPr>
          <w:p>
            <w:pPr>
              <w:pStyle w:val="Compact"/>
              <w:jc w:val="left"/>
              <w:spacing w:before="20" w:after="20" w:line="220" w:lineRule="auto"/>
            </w:pPr>
            <w:r>
              <w:rPr>
                <w:sz w:val="15"/>
                <w:szCs w:val="15"/>
              </w:rPr>
              <w:t xml:space="preserve">EU:S33</w:t>
            </w:r>
          </w:p>
        </w:tc>
        <w:tc>
          <w:tcPr>
            <w:tcW w:w="2001" w:type="dxa"/>
          </w:tcPr>
          <w:p>
            <w:pPr>
              <w:pStyle w:val="Compact"/>
              <w:jc w:val="left"/>
              <w:spacing w:before="20" w:after="20" w:line="220" w:lineRule="auto"/>
            </w:pPr>
            <w:r>
              <w:rPr>
                <w:sz w:val="15"/>
                <w:szCs w:val="15"/>
              </w:rPr>
              <w:t xml:space="preserve">VidaCaixa SAU de Seguros y Reaseguros</w:t>
            </w:r>
          </w:p>
        </w:tc>
        <w:tc>
          <w:tcPr>
            <w:tcW w:w="3554" w:type="dxa"/>
          </w:tcPr>
          <w:p>
            <w:pPr>
              <w:pStyle w:val="Compact"/>
              <w:jc w:val="left"/>
              <w:spacing w:before="20" w:after="20" w:line="220" w:lineRule="auto"/>
            </w:pPr>
            <w:r>
              <w:rPr>
                <w:sz w:val="15"/>
                <w:szCs w:val="15"/>
              </w:rPr>
              <w:t xml:space="preserve">Informe sobre la situacion financiera y de solvencia consolidado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21,22,23,97,98</w:t>
            </w:r>
          </w:p>
        </w:tc>
        <w:tc>
          <w:tcPr>
            <w:tcW w:w="3554" w:type="dxa"/>
          </w:tcPr>
          <w:p>
            <w:pPr>
              <w:pStyle w:val="Compact"/>
              <w:jc w:val="left"/>
              <w:spacing w:before="20" w:after="20" w:line="220" w:lineRule="auto"/>
            </w:pPr>
            <w:r>
              <w:rPr>
                <w:sz w:val="15"/>
                <w:szCs w:val="15"/>
              </w:rPr>
              <w:t xml:space="preserve">https://www.vidacaixa.es/documents/18549598/67022671/Informe+de+situaci%C3%B3n+financiera+y+solvencia+a+nivel+</w:t>
            </w:r>
          </w:p>
        </w:tc>
      </w:tr>
      <w:tr>
        <w:tc>
          <w:tcPr>
            <w:tcW w:w="1550" w:type="dxa"/>
          </w:tcPr>
          <w:p>
            <w:pPr>
              <w:pStyle w:val="Compact"/>
              <w:jc w:val="left"/>
              <w:spacing w:before="20" w:after="20" w:line="220" w:lineRule="auto"/>
            </w:pPr>
            <w:r>
              <w:rPr>
                <w:sz w:val="15"/>
                <w:szCs w:val="15"/>
              </w:rPr>
              <w:t xml:space="preserve">EU:S35</w:t>
            </w:r>
          </w:p>
        </w:tc>
        <w:tc>
          <w:tcPr>
            <w:tcW w:w="2001" w:type="dxa"/>
          </w:tcPr>
          <w:p>
            <w:pPr>
              <w:pStyle w:val="Compact"/>
              <w:jc w:val="left"/>
              <w:spacing w:before="20" w:after="20" w:line="220" w:lineRule="auto"/>
            </w:pPr>
            <w:r>
              <w:rPr>
                <w:sz w:val="15"/>
                <w:szCs w:val="15"/>
              </w:rPr>
              <w:t xml:space="preserve">VidaCaixa SAU de Seguros y Reaseguros</w:t>
            </w:r>
          </w:p>
        </w:tc>
        <w:tc>
          <w:tcPr>
            <w:tcW w:w="3554" w:type="dxa"/>
          </w:tcPr>
          <w:p>
            <w:pPr>
              <w:pStyle w:val="Compact"/>
              <w:jc w:val="left"/>
              <w:spacing w:before="20" w:after="20" w:line="220" w:lineRule="auto"/>
            </w:pPr>
            <w:r>
              <w:rPr>
                <w:sz w:val="15"/>
                <w:szCs w:val="15"/>
              </w:rPr>
              <w:t xml:space="preserve">Informe sobre la situacion financiera y de solvencia consolidado 2023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21,95,96</w:t>
            </w:r>
          </w:p>
        </w:tc>
        <w:tc>
          <w:tcPr>
            <w:tcW w:w="3554" w:type="dxa"/>
          </w:tcPr>
          <w:p>
            <w:pPr>
              <w:pStyle w:val="Compact"/>
              <w:jc w:val="left"/>
              <w:spacing w:before="20" w:after="20" w:line="220" w:lineRule="auto"/>
            </w:pPr>
            <w:r>
              <w:rPr>
                <w:sz w:val="15"/>
                <w:szCs w:val="15"/>
              </w:rPr>
              <w:t xml:space="preserve">https://www.vidacaixa.es/documents/18549598/31190646/Informe+de+situaci%C3%B3n+financiera+y+solvencia+a+nivel+</w:t>
            </w:r>
          </w:p>
        </w:tc>
      </w:tr>
      <w:tr>
        <w:tc>
          <w:tcPr>
            <w:tcW w:w="1550" w:type="dxa"/>
          </w:tcPr>
          <w:p>
            <w:pPr>
              <w:pStyle w:val="Compact"/>
              <w:jc w:val="left"/>
              <w:spacing w:before="20" w:after="20" w:line="220" w:lineRule="auto"/>
            </w:pPr>
            <w:r>
              <w:rPr>
                <w:sz w:val="15"/>
                <w:szCs w:val="15"/>
              </w:rPr>
              <w:t xml:space="preserve">EU:S36</w:t>
            </w:r>
          </w:p>
        </w:tc>
        <w:tc>
          <w:tcPr>
            <w:tcW w:w="2001" w:type="dxa"/>
          </w:tcPr>
          <w:p>
            <w:pPr>
              <w:pStyle w:val="Compact"/>
              <w:jc w:val="left"/>
              <w:spacing w:before="20" w:after="20" w:line="220" w:lineRule="auto"/>
            </w:pPr>
            <w:r>
              <w:rPr>
                <w:sz w:val="15"/>
                <w:szCs w:val="15"/>
              </w:rPr>
              <w:t xml:space="preserve">CaixaBank SA</w:t>
            </w:r>
          </w:p>
        </w:tc>
        <w:tc>
          <w:tcPr>
            <w:tcW w:w="3554" w:type="dxa"/>
          </w:tcPr>
          <w:p>
            <w:pPr>
              <w:pStyle w:val="Compact"/>
              <w:jc w:val="left"/>
              <w:spacing w:before="20" w:after="20" w:line="220" w:lineRule="auto"/>
            </w:pPr>
            <w:r>
              <w:rPr>
                <w:sz w:val="15"/>
                <w:szCs w:val="15"/>
              </w:rPr>
              <w:t xml:space="preserve">Financial results report (Informe financiero) 4Q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12,20,21,42</w:t>
            </w:r>
          </w:p>
        </w:tc>
        <w:tc>
          <w:tcPr>
            <w:tcW w:w="3554" w:type="dxa"/>
          </w:tcPr>
          <w:p>
            <w:pPr>
              <w:pStyle w:val="Compact"/>
              <w:jc w:val="left"/>
              <w:spacing w:before="20" w:after="20" w:line="220" w:lineRule="auto"/>
            </w:pPr>
            <w:r>
              <w:rPr>
                <w:sz w:val="15"/>
                <w:szCs w:val="15"/>
              </w:rPr>
              <w:t xml:space="preserve">https://www.caixabank.com/deployedfiles/caixabank_com/Estaticos/PDFs/Accionistasinversores/Informacion_economi</w:t>
            </w:r>
          </w:p>
        </w:tc>
      </w:tr>
      <w:tr>
        <w:tc>
          <w:tcPr>
            <w:tcW w:w="1550" w:type="dxa"/>
          </w:tcPr>
          <w:p>
            <w:pPr>
              <w:pStyle w:val="Compact"/>
              <w:jc w:val="left"/>
              <w:spacing w:before="20" w:after="20" w:line="220" w:lineRule="auto"/>
            </w:pPr>
            <w:r>
              <w:rPr>
                <w:sz w:val="15"/>
                <w:szCs w:val="15"/>
              </w:rPr>
              <w:t xml:space="preserve">EU:S37</w:t>
            </w:r>
          </w:p>
        </w:tc>
        <w:tc>
          <w:tcPr>
            <w:tcW w:w="2001" w:type="dxa"/>
          </w:tcPr>
          <w:p>
            <w:pPr>
              <w:pStyle w:val="Compact"/>
              <w:jc w:val="left"/>
              <w:spacing w:before="20" w:after="20" w:line="220" w:lineRule="auto"/>
            </w:pPr>
            <w:r>
              <w:rPr>
                <w:sz w:val="15"/>
                <w:szCs w:val="15"/>
              </w:rPr>
              <w:t xml:space="preserve">CaixaBank SA</w:t>
            </w:r>
          </w:p>
        </w:tc>
        <w:tc>
          <w:tcPr>
            <w:tcW w:w="3554" w:type="dxa"/>
          </w:tcPr>
          <w:p>
            <w:pPr>
              <w:pStyle w:val="Compact"/>
              <w:jc w:val="left"/>
              <w:spacing w:before="20" w:after="20" w:line="220" w:lineRule="auto"/>
            </w:pPr>
            <w:r>
              <w:rPr>
                <w:sz w:val="15"/>
                <w:szCs w:val="15"/>
              </w:rPr>
              <w:t xml:space="preserve">Financial results report 4Q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12,20,21</w:t>
            </w:r>
          </w:p>
        </w:tc>
        <w:tc>
          <w:tcPr>
            <w:tcW w:w="3554" w:type="dxa"/>
          </w:tcPr>
          <w:p>
            <w:pPr>
              <w:pStyle w:val="Compact"/>
              <w:jc w:val="left"/>
              <w:spacing w:before="20" w:after="20" w:line="220" w:lineRule="auto"/>
            </w:pPr>
            <w:r>
              <w:rPr>
                <w:sz w:val="15"/>
                <w:szCs w:val="15"/>
              </w:rPr>
              <w:t xml:space="preserve">https://www.caixabank.com/deployedfiles/caixabank_com/Estaticos/PDFs/Accionistasinversores/Informacion_economi</w:t>
            </w:r>
          </w:p>
        </w:tc>
      </w:tr>
      <w:tr>
        <w:tc>
          <w:tcPr>
            <w:tcW w:w="1550" w:type="dxa"/>
          </w:tcPr>
          <w:p>
            <w:pPr>
              <w:pStyle w:val="Compact"/>
              <w:jc w:val="left"/>
              <w:spacing w:before="20" w:after="20" w:line="220" w:lineRule="auto"/>
            </w:pPr>
            <w:r>
              <w:rPr>
                <w:sz w:val="15"/>
                <w:szCs w:val="15"/>
              </w:rPr>
              <w:t xml:space="preserve">EU:S38</w:t>
            </w:r>
          </w:p>
        </w:tc>
        <w:tc>
          <w:tcPr>
            <w:tcW w:w="2001" w:type="dxa"/>
          </w:tcPr>
          <w:p>
            <w:pPr>
              <w:pStyle w:val="Compact"/>
              <w:jc w:val="left"/>
              <w:spacing w:before="20" w:after="20" w:line="220" w:lineRule="auto"/>
            </w:pPr>
            <w:r>
              <w:rPr>
                <w:sz w:val="15"/>
                <w:szCs w:val="15"/>
              </w:rPr>
              <w:t xml:space="preserve">CaixaBank SA</w:t>
            </w:r>
          </w:p>
        </w:tc>
        <w:tc>
          <w:tcPr>
            <w:tcW w:w="3554" w:type="dxa"/>
          </w:tcPr>
          <w:p>
            <w:pPr>
              <w:pStyle w:val="Compact"/>
              <w:jc w:val="left"/>
              <w:spacing w:before="20" w:after="20" w:line="220" w:lineRule="auto"/>
            </w:pPr>
            <w:r>
              <w:rPr>
                <w:sz w:val="15"/>
                <w:szCs w:val="15"/>
              </w:rPr>
              <w:t xml:space="preserve">Financial results report 4Q 2023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11</w:t>
            </w:r>
          </w:p>
        </w:tc>
        <w:tc>
          <w:tcPr>
            <w:tcW w:w="3554" w:type="dxa"/>
          </w:tcPr>
          <w:p>
            <w:pPr>
              <w:pStyle w:val="Compact"/>
              <w:jc w:val="left"/>
              <w:spacing w:before="20" w:after="20" w:line="220" w:lineRule="auto"/>
            </w:pPr>
            <w:r>
              <w:rPr>
                <w:sz w:val="15"/>
                <w:szCs w:val="15"/>
              </w:rPr>
              <w:t xml:space="preserve">https://www.caixabank.com/deployedfiles/caixabank_com/Estaticos/PDFs/Accionistasinversores/Informacion_economi</w:t>
            </w:r>
          </w:p>
        </w:tc>
      </w:tr>
      <w:tr>
        <w:tc>
          <w:tcPr>
            <w:tcW w:w="1550" w:type="dxa"/>
          </w:tcPr>
          <w:p>
            <w:pPr>
              <w:pStyle w:val="Compact"/>
              <w:jc w:val="left"/>
              <w:spacing w:before="20" w:after="20" w:line="220" w:lineRule="auto"/>
            </w:pPr>
            <w:r>
              <w:rPr>
                <w:sz w:val="15"/>
                <w:szCs w:val="15"/>
              </w:rPr>
              <w:t xml:space="preserve">EU:S39</w:t>
            </w:r>
          </w:p>
        </w:tc>
        <w:tc>
          <w:tcPr>
            <w:tcW w:w="2001" w:type="dxa"/>
          </w:tcPr>
          <w:p>
            <w:pPr>
              <w:pStyle w:val="Compact"/>
              <w:jc w:val="left"/>
              <w:spacing w:before="20" w:after="20" w:line="220" w:lineRule="auto"/>
            </w:pPr>
            <w:r>
              <w:rPr>
                <w:sz w:val="15"/>
                <w:szCs w:val="15"/>
              </w:rPr>
              <w:t xml:space="preserve">CaixaBank SA</w:t>
            </w:r>
          </w:p>
        </w:tc>
        <w:tc>
          <w:tcPr>
            <w:tcW w:w="3554" w:type="dxa"/>
          </w:tcPr>
          <w:p>
            <w:pPr>
              <w:pStyle w:val="Compact"/>
              <w:jc w:val="left"/>
              <w:spacing w:before="20" w:after="20" w:line="220" w:lineRule="auto"/>
            </w:pPr>
            <w:r>
              <w:rPr>
                <w:sz w:val="15"/>
                <w:szCs w:val="15"/>
              </w:rPr>
              <w:t xml:space="preserve">Financial results report 2Q 2026</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12</w:t>
            </w:r>
          </w:p>
        </w:tc>
        <w:tc>
          <w:tcPr>
            <w:tcW w:w="3554" w:type="dxa"/>
          </w:tcPr>
          <w:p>
            <w:pPr>
              <w:pStyle w:val="Compact"/>
              <w:jc w:val="left"/>
              <w:spacing w:before="20" w:after="20" w:line="220" w:lineRule="auto"/>
            </w:pPr>
            <w:r>
              <w:rPr>
                <w:sz w:val="15"/>
                <w:szCs w:val="15"/>
              </w:rPr>
              <w:t xml:space="preserve">https://www.caixabank.com/deployedfiles/caixabank_com/Estaticos/PDFs/Accionistasinversores/Informacion_economi</w:t>
            </w:r>
          </w:p>
        </w:tc>
      </w:tr>
      <w:tr>
        <w:tc>
          <w:tcPr>
            <w:tcW w:w="1550" w:type="dxa"/>
          </w:tcPr>
          <w:p>
            <w:pPr>
              <w:pStyle w:val="Compact"/>
              <w:jc w:val="left"/>
              <w:spacing w:before="20" w:after="20" w:line="220" w:lineRule="auto"/>
            </w:pPr>
            <w:r>
              <w:rPr>
                <w:sz w:val="15"/>
                <w:szCs w:val="15"/>
              </w:rPr>
              <w:t xml:space="preserve">EU:S40</w:t>
            </w:r>
          </w:p>
        </w:tc>
        <w:tc>
          <w:tcPr>
            <w:tcW w:w="2001" w:type="dxa"/>
          </w:tcPr>
          <w:p>
            <w:pPr>
              <w:pStyle w:val="Compact"/>
              <w:jc w:val="left"/>
              <w:spacing w:before="20" w:after="20" w:line="220" w:lineRule="auto"/>
            </w:pPr>
            <w:r>
              <w:rPr>
                <w:sz w:val="15"/>
                <w:szCs w:val="15"/>
              </w:rPr>
              <w:t xml:space="preserve">Intesa Sanpaolo Assicurazioni SpA</w:t>
            </w:r>
          </w:p>
        </w:tc>
        <w:tc>
          <w:tcPr>
            <w:tcW w:w="3554" w:type="dxa"/>
          </w:tcPr>
          <w:p>
            <w:pPr>
              <w:pStyle w:val="Compact"/>
              <w:jc w:val="left"/>
              <w:spacing w:before="20" w:after="20" w:line="220" w:lineRule="auto"/>
            </w:pPr>
            <w:r>
              <w:rPr>
                <w:sz w:val="15"/>
                <w:szCs w:val="15"/>
              </w:rPr>
              <w:t xml:space="preserve">Annual Report of the Intesa Sanpaolo Assicurazioni Group as at 31 December 2025 for the Un</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11,15,25,36,55,75,183</w:t>
            </w:r>
          </w:p>
        </w:tc>
        <w:tc>
          <w:tcPr>
            <w:tcW w:w="3554" w:type="dxa"/>
          </w:tcPr>
          <w:p>
            <w:pPr>
              <w:pStyle w:val="Compact"/>
              <w:jc w:val="left"/>
              <w:spacing w:before="20" w:after="20" w:line="220" w:lineRule="auto"/>
            </w:pPr>
            <w:r>
              <w:rPr>
                <w:sz w:val="15"/>
                <w:szCs w:val="15"/>
              </w:rPr>
              <w:t xml:space="preserve">https://www.intesasanpaoloassicurazioni.com/bin/openAssetInline?path=/content/dam/isp_assicurazioni/chi-siamo/</w:t>
            </w:r>
          </w:p>
        </w:tc>
      </w:tr>
      <w:tr>
        <w:tc>
          <w:tcPr>
            <w:tcW w:w="1550" w:type="dxa"/>
          </w:tcPr>
          <w:p>
            <w:pPr>
              <w:pStyle w:val="Compact"/>
              <w:jc w:val="left"/>
              <w:spacing w:before="20" w:after="20" w:line="220" w:lineRule="auto"/>
            </w:pPr>
            <w:r>
              <w:rPr>
                <w:sz w:val="15"/>
                <w:szCs w:val="15"/>
              </w:rPr>
              <w:t xml:space="preserve">EU:S41</w:t>
            </w:r>
          </w:p>
        </w:tc>
        <w:tc>
          <w:tcPr>
            <w:tcW w:w="2001" w:type="dxa"/>
          </w:tcPr>
          <w:p>
            <w:pPr>
              <w:pStyle w:val="Compact"/>
              <w:jc w:val="left"/>
              <w:spacing w:before="20" w:after="20" w:line="220" w:lineRule="auto"/>
            </w:pPr>
            <w:r>
              <w:rPr>
                <w:sz w:val="15"/>
                <w:szCs w:val="15"/>
              </w:rPr>
              <w:t xml:space="preserve">Intesa Sanpaolo Assicurazioni SpA</w:t>
            </w:r>
          </w:p>
        </w:tc>
        <w:tc>
          <w:tcPr>
            <w:tcW w:w="3554" w:type="dxa"/>
          </w:tcPr>
          <w:p>
            <w:pPr>
              <w:pStyle w:val="Compact"/>
              <w:jc w:val="left"/>
              <w:spacing w:before="20" w:after="20" w:line="220" w:lineRule="auto"/>
            </w:pPr>
            <w:r>
              <w:rPr>
                <w:sz w:val="15"/>
                <w:szCs w:val="15"/>
              </w:rPr>
              <w:t xml:space="preserve">Annual Report of the Intesa Sanpaolo Assicurazioni Group as at 31 December 2024 for the Un</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11</w:t>
            </w:r>
          </w:p>
        </w:tc>
        <w:tc>
          <w:tcPr>
            <w:tcW w:w="3554" w:type="dxa"/>
          </w:tcPr>
          <w:p>
            <w:pPr>
              <w:pStyle w:val="Compact"/>
              <w:jc w:val="left"/>
              <w:spacing w:before="20" w:after="20" w:line="220" w:lineRule="auto"/>
            </w:pPr>
            <w:r>
              <w:rPr>
                <w:sz w:val="15"/>
                <w:szCs w:val="15"/>
              </w:rPr>
              <w:t xml:space="preserve">https://www.intesasanpaoloassicurazioni.com/bin/openAssetInline?path=/content/dam/isp_assicurazioni/chi-siamo/</w:t>
            </w:r>
          </w:p>
        </w:tc>
      </w:tr>
      <w:tr>
        <w:tc>
          <w:tcPr>
            <w:tcW w:w="1550" w:type="dxa"/>
          </w:tcPr>
          <w:p>
            <w:pPr>
              <w:pStyle w:val="Compact"/>
              <w:jc w:val="left"/>
              <w:spacing w:before="20" w:after="20" w:line="220" w:lineRule="auto"/>
            </w:pPr>
            <w:r>
              <w:rPr>
                <w:sz w:val="15"/>
                <w:szCs w:val="15"/>
              </w:rPr>
              <w:t xml:space="preserve">EU:S42</w:t>
            </w:r>
          </w:p>
        </w:tc>
        <w:tc>
          <w:tcPr>
            <w:tcW w:w="2001" w:type="dxa"/>
          </w:tcPr>
          <w:p>
            <w:pPr>
              <w:pStyle w:val="Compact"/>
              <w:jc w:val="left"/>
              <w:spacing w:before="20" w:after="20" w:line="220" w:lineRule="auto"/>
            </w:pPr>
            <w:r>
              <w:rPr>
                <w:sz w:val="15"/>
                <w:szCs w:val="15"/>
              </w:rPr>
              <w:t xml:space="preserve">Intesa Sanpaolo Vita SpA</w:t>
            </w:r>
          </w:p>
        </w:tc>
        <w:tc>
          <w:tcPr>
            <w:tcW w:w="3554" w:type="dxa"/>
          </w:tcPr>
          <w:p>
            <w:pPr>
              <w:pStyle w:val="Compact"/>
              <w:jc w:val="left"/>
              <w:spacing w:before="20" w:after="20" w:line="220" w:lineRule="auto"/>
            </w:pPr>
            <w:r>
              <w:rPr>
                <w:sz w:val="15"/>
                <w:szCs w:val="15"/>
              </w:rPr>
              <w:t xml:space="preserve">Annual Report of the Intesa Sanpaolo Vita Insurance Group as at 31 December 2023 for the U</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11,16,79</w:t>
            </w:r>
          </w:p>
        </w:tc>
        <w:tc>
          <w:tcPr>
            <w:tcW w:w="3554" w:type="dxa"/>
          </w:tcPr>
          <w:p>
            <w:pPr>
              <w:pStyle w:val="Compact"/>
              <w:jc w:val="left"/>
              <w:spacing w:before="20" w:after="20" w:line="220" w:lineRule="auto"/>
            </w:pPr>
            <w:r>
              <w:rPr>
                <w:sz w:val="15"/>
                <w:szCs w:val="15"/>
              </w:rPr>
              <w:t xml:space="preserve">https://www.intesasanpaoloassicurazioni.com/bin/openAssetInline?path=/content/dam/isp_assicurazioni/chi-siamo/</w:t>
            </w:r>
          </w:p>
        </w:tc>
      </w:tr>
      <w:tr>
        <w:tc>
          <w:tcPr>
            <w:tcW w:w="1550" w:type="dxa"/>
          </w:tcPr>
          <w:p>
            <w:pPr>
              <w:pStyle w:val="Compact"/>
              <w:jc w:val="left"/>
              <w:spacing w:before="20" w:after="20" w:line="220" w:lineRule="auto"/>
            </w:pPr>
            <w:r>
              <w:rPr>
                <w:sz w:val="15"/>
                <w:szCs w:val="15"/>
              </w:rPr>
              <w:t xml:space="preserve">EU:S43</w:t>
            </w:r>
          </w:p>
        </w:tc>
        <w:tc>
          <w:tcPr>
            <w:tcW w:w="2001" w:type="dxa"/>
          </w:tcPr>
          <w:p>
            <w:pPr>
              <w:pStyle w:val="Compact"/>
              <w:jc w:val="left"/>
              <w:spacing w:before="20" w:after="20" w:line="220" w:lineRule="auto"/>
            </w:pPr>
            <w:r>
              <w:rPr>
                <w:sz w:val="15"/>
                <w:szCs w:val="15"/>
              </w:rPr>
              <w:t xml:space="preserve">Intesa Sanpaolo Assicurazioni SpA</w:t>
            </w:r>
          </w:p>
        </w:tc>
        <w:tc>
          <w:tcPr>
            <w:tcW w:w="3554" w:type="dxa"/>
          </w:tcPr>
          <w:p>
            <w:pPr>
              <w:pStyle w:val="Compact"/>
              <w:jc w:val="left"/>
              <w:spacing w:before="20" w:after="20" w:line="220" w:lineRule="auto"/>
            </w:pPr>
            <w:r>
              <w:rPr>
                <w:sz w:val="15"/>
                <w:szCs w:val="15"/>
              </w:rPr>
              <w:t xml:space="preserve">SFCR Gruppo Intesa Sanpaolo Assicurazioni 2025 (English)</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27,28,29,30</w:t>
            </w:r>
          </w:p>
        </w:tc>
        <w:tc>
          <w:tcPr>
            <w:tcW w:w="3554" w:type="dxa"/>
          </w:tcPr>
          <w:p>
            <w:pPr>
              <w:pStyle w:val="Compact"/>
              <w:jc w:val="left"/>
              <w:spacing w:before="20" w:after="20" w:line="220" w:lineRule="auto"/>
            </w:pPr>
            <w:r>
              <w:rPr>
                <w:sz w:val="15"/>
                <w:szCs w:val="15"/>
              </w:rPr>
              <w:t xml:space="preserve">https://www.intesasanpaoloassicurazioni.com/bin/openAssetInline?path=/content/dam/isp_assicurazioni/chi-siamo/</w:t>
            </w:r>
          </w:p>
        </w:tc>
      </w:tr>
      <w:tr>
        <w:tc>
          <w:tcPr>
            <w:tcW w:w="1550" w:type="dxa"/>
          </w:tcPr>
          <w:p>
            <w:pPr>
              <w:pStyle w:val="Compact"/>
              <w:jc w:val="left"/>
              <w:spacing w:before="20" w:after="20" w:line="220" w:lineRule="auto"/>
            </w:pPr>
            <w:r>
              <w:rPr>
                <w:sz w:val="15"/>
                <w:szCs w:val="15"/>
              </w:rPr>
              <w:t xml:space="preserve">EU:S45</w:t>
            </w:r>
          </w:p>
        </w:tc>
        <w:tc>
          <w:tcPr>
            <w:tcW w:w="2001" w:type="dxa"/>
          </w:tcPr>
          <w:p>
            <w:pPr>
              <w:pStyle w:val="Compact"/>
              <w:jc w:val="left"/>
              <w:spacing w:before="20" w:after="20" w:line="220" w:lineRule="auto"/>
            </w:pPr>
            <w:r>
              <w:rPr>
                <w:sz w:val="15"/>
                <w:szCs w:val="15"/>
              </w:rPr>
              <w:t xml:space="preserve">Intesa Sanpaolo Vita SpA</w:t>
            </w:r>
          </w:p>
        </w:tc>
        <w:tc>
          <w:tcPr>
            <w:tcW w:w="3554" w:type="dxa"/>
          </w:tcPr>
          <w:p>
            <w:pPr>
              <w:pStyle w:val="Compact"/>
              <w:jc w:val="left"/>
              <w:spacing w:before="20" w:after="20" w:line="220" w:lineRule="auto"/>
            </w:pPr>
            <w:r>
              <w:rPr>
                <w:sz w:val="15"/>
                <w:szCs w:val="15"/>
              </w:rPr>
              <w:t xml:space="preserve">SFCR Gruppo Intesa Sanpaolo Vita 2023 (English)</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31,243</w:t>
            </w:r>
          </w:p>
        </w:tc>
        <w:tc>
          <w:tcPr>
            <w:tcW w:w="3554" w:type="dxa"/>
          </w:tcPr>
          <w:p>
            <w:pPr>
              <w:pStyle w:val="Compact"/>
              <w:jc w:val="left"/>
              <w:spacing w:before="20" w:after="20" w:line="220" w:lineRule="auto"/>
            </w:pPr>
            <w:r>
              <w:rPr>
                <w:sz w:val="15"/>
                <w:szCs w:val="15"/>
              </w:rPr>
              <w:t xml:space="preserve">https://www.intesasanpaoloassicurazioni.com/bin/openAssetInline?path=/content/dam/isp_assicurazioni/chi-siamo/</w:t>
            </w:r>
          </w:p>
        </w:tc>
      </w:tr>
      <w:tr>
        <w:tc>
          <w:tcPr>
            <w:tcW w:w="1550" w:type="dxa"/>
          </w:tcPr>
          <w:p>
            <w:pPr>
              <w:pStyle w:val="Compact"/>
              <w:jc w:val="left"/>
              <w:spacing w:before="20" w:after="20" w:line="220" w:lineRule="auto"/>
            </w:pPr>
            <w:r>
              <w:rPr>
                <w:sz w:val="15"/>
                <w:szCs w:val="15"/>
              </w:rPr>
              <w:t xml:space="preserve">EU:S46</w:t>
            </w:r>
          </w:p>
        </w:tc>
        <w:tc>
          <w:tcPr>
            <w:tcW w:w="2001" w:type="dxa"/>
          </w:tcPr>
          <w:p>
            <w:pPr>
              <w:pStyle w:val="Compact"/>
              <w:jc w:val="left"/>
              <w:spacing w:before="20" w:after="20" w:line="220" w:lineRule="auto"/>
            </w:pPr>
            <w:r>
              <w:rPr>
                <w:sz w:val="15"/>
                <w:szCs w:val="15"/>
              </w:rPr>
              <w:t xml:space="preserve">Intesa Sanpaolo Assicurazioni SpA</w:t>
            </w:r>
          </w:p>
        </w:tc>
        <w:tc>
          <w:tcPr>
            <w:tcW w:w="3554" w:type="dxa"/>
          </w:tcPr>
          <w:p>
            <w:pPr>
              <w:pStyle w:val="Compact"/>
              <w:jc w:val="left"/>
              <w:spacing w:before="20" w:after="20" w:line="220" w:lineRule="auto"/>
            </w:pPr>
            <w:r>
              <w:rPr>
                <w:sz w:val="15"/>
                <w:szCs w:val="15"/>
              </w:rPr>
              <w:t xml:space="preserve">Consolidated half-yearly report at 30 June 2026 for the Unified Management</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10,14</w:t>
            </w:r>
          </w:p>
        </w:tc>
        <w:tc>
          <w:tcPr>
            <w:tcW w:w="3554" w:type="dxa"/>
          </w:tcPr>
          <w:p>
            <w:pPr>
              <w:pStyle w:val="Compact"/>
              <w:jc w:val="left"/>
              <w:spacing w:before="20" w:after="20" w:line="220" w:lineRule="auto"/>
            </w:pPr>
            <w:r>
              <w:rPr>
                <w:sz w:val="15"/>
                <w:szCs w:val="15"/>
              </w:rPr>
              <w:t xml:space="preserve">https://www.intesasanpaoloassicurazioni.com/bin/openAssetInline?path=/content/dam/isp_assicurazioni/chi-siamo/</w:t>
            </w:r>
          </w:p>
        </w:tc>
      </w:tr>
      <w:tr>
        <w:tc>
          <w:tcPr>
            <w:tcW w:w="1550" w:type="dxa"/>
          </w:tcPr>
          <w:p>
            <w:pPr>
              <w:pStyle w:val="Compact"/>
              <w:jc w:val="left"/>
              <w:spacing w:before="20" w:after="20" w:line="220" w:lineRule="auto"/>
            </w:pPr>
            <w:r>
              <w:rPr>
                <w:sz w:val="15"/>
                <w:szCs w:val="15"/>
              </w:rPr>
              <w:t xml:space="preserve">EU:S47</w:t>
            </w:r>
          </w:p>
        </w:tc>
        <w:tc>
          <w:tcPr>
            <w:tcW w:w="2001" w:type="dxa"/>
          </w:tcPr>
          <w:p>
            <w:pPr>
              <w:pStyle w:val="Compact"/>
              <w:jc w:val="left"/>
              <w:spacing w:before="20" w:after="20" w:line="220" w:lineRule="auto"/>
            </w:pPr>
            <w:r>
              <w:rPr>
                <w:sz w:val="15"/>
                <w:szCs w:val="15"/>
              </w:rPr>
              <w:t xml:space="preserve">Intesa Sanpaolo SpA</w:t>
            </w:r>
          </w:p>
        </w:tc>
        <w:tc>
          <w:tcPr>
            <w:tcW w:w="3554" w:type="dxa"/>
          </w:tcPr>
          <w:p>
            <w:pPr>
              <w:pStyle w:val="Compact"/>
              <w:jc w:val="left"/>
              <w:spacing w:before="20" w:after="20" w:line="220" w:lineRule="auto"/>
            </w:pPr>
            <w:r>
              <w:rPr>
                <w:sz w:val="15"/>
                <w:szCs w:val="15"/>
              </w:rPr>
              <w:t xml:space="preserve">2025 Annual Report (group)</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83,138</w:t>
            </w:r>
          </w:p>
        </w:tc>
        <w:tc>
          <w:tcPr>
            <w:tcW w:w="3554" w:type="dxa"/>
          </w:tcPr>
          <w:p>
            <w:pPr>
              <w:pStyle w:val="Compact"/>
              <w:jc w:val="left"/>
              <w:spacing w:before="20" w:after="20" w:line="220" w:lineRule="auto"/>
            </w:pPr>
            <w:r>
              <w:rPr>
                <w:sz w:val="15"/>
                <w:szCs w:val="15"/>
              </w:rPr>
              <w:t xml:space="preserve">https://group.intesasanpaolo.com/content/dam/portalgroup/repository-documenti/investor-relations/bilanci-relaz</w:t>
            </w:r>
          </w:p>
        </w:tc>
      </w:tr>
      <w:tr>
        <w:tc>
          <w:tcPr>
            <w:tcW w:w="1550" w:type="dxa"/>
          </w:tcPr>
          <w:p>
            <w:pPr>
              <w:pStyle w:val="Compact"/>
              <w:jc w:val="left"/>
              <w:spacing w:before="20" w:after="20" w:line="220" w:lineRule="auto"/>
            </w:pPr>
            <w:r>
              <w:rPr>
                <w:sz w:val="15"/>
                <w:szCs w:val="15"/>
              </w:rPr>
              <w:t xml:space="preserve">EU:S48</w:t>
            </w:r>
          </w:p>
        </w:tc>
        <w:tc>
          <w:tcPr>
            <w:tcW w:w="2001" w:type="dxa"/>
          </w:tcPr>
          <w:p>
            <w:pPr>
              <w:pStyle w:val="Compact"/>
              <w:jc w:val="left"/>
              <w:spacing w:before="20" w:after="20" w:line="220" w:lineRule="auto"/>
            </w:pPr>
            <w:r>
              <w:rPr>
                <w:sz w:val="15"/>
                <w:szCs w:val="15"/>
              </w:rPr>
              <w:t xml:space="preserve">Intesa Sanpaolo SpA</w:t>
            </w:r>
          </w:p>
        </w:tc>
        <w:tc>
          <w:tcPr>
            <w:tcW w:w="3554" w:type="dxa"/>
          </w:tcPr>
          <w:p>
            <w:pPr>
              <w:pStyle w:val="Compact"/>
              <w:jc w:val="left"/>
              <w:spacing w:before="20" w:after="20" w:line="220" w:lineRule="auto"/>
            </w:pPr>
            <w:r>
              <w:rPr>
                <w:sz w:val="15"/>
                <w:szCs w:val="15"/>
              </w:rPr>
              <w:t xml:space="preserve">2024 Annual Report (group)</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133</w:t>
            </w:r>
          </w:p>
        </w:tc>
        <w:tc>
          <w:tcPr>
            <w:tcW w:w="3554" w:type="dxa"/>
          </w:tcPr>
          <w:p>
            <w:pPr>
              <w:pStyle w:val="Compact"/>
              <w:jc w:val="left"/>
              <w:spacing w:before="20" w:after="20" w:line="220" w:lineRule="auto"/>
            </w:pPr>
            <w:r>
              <w:rPr>
                <w:sz w:val="15"/>
                <w:szCs w:val="15"/>
              </w:rPr>
              <w:t xml:space="preserve">https://group.intesasanpaolo.com/content/dam/portalgroup/repository-documenti/investor-relations/bilanci-relaz</w:t>
            </w:r>
          </w:p>
        </w:tc>
      </w:tr>
      <w:tr>
        <w:tc>
          <w:tcPr>
            <w:tcW w:w="1550" w:type="dxa"/>
          </w:tcPr>
          <w:p>
            <w:pPr>
              <w:pStyle w:val="Compact"/>
              <w:jc w:val="left"/>
              <w:spacing w:before="20" w:after="20" w:line="220" w:lineRule="auto"/>
            </w:pPr>
            <w:r>
              <w:rPr>
                <w:sz w:val="15"/>
                <w:szCs w:val="15"/>
              </w:rPr>
              <w:t xml:space="preserve">EU:S50</w:t>
            </w:r>
          </w:p>
        </w:tc>
        <w:tc>
          <w:tcPr>
            <w:tcW w:w="2001" w:type="dxa"/>
          </w:tcPr>
          <w:p>
            <w:pPr>
              <w:pStyle w:val="Compact"/>
              <w:jc w:val="left"/>
              <w:spacing w:before="20" w:after="20" w:line="220" w:lineRule="auto"/>
            </w:pPr>
            <w:r>
              <w:rPr>
                <w:sz w:val="15"/>
                <w:szCs w:val="15"/>
              </w:rPr>
              <w:t xml:space="preserve">KBC Group NV</w:t>
            </w:r>
          </w:p>
        </w:tc>
        <w:tc>
          <w:tcPr>
            <w:tcW w:w="3554" w:type="dxa"/>
          </w:tcPr>
          <w:p>
            <w:pPr>
              <w:pStyle w:val="Compact"/>
              <w:jc w:val="left"/>
              <w:spacing w:before="20" w:after="20" w:line="220" w:lineRule="auto"/>
            </w:pPr>
            <w:r>
              <w:rPr>
                <w:sz w:val="15"/>
                <w:szCs w:val="15"/>
              </w:rPr>
              <w:t xml:space="preserve">Annual Report KBC Group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45,293,294</w:t>
            </w:r>
          </w:p>
        </w:tc>
        <w:tc>
          <w:tcPr>
            <w:tcW w:w="3554" w:type="dxa"/>
          </w:tcPr>
          <w:p>
            <w:pPr>
              <w:pStyle w:val="Compact"/>
              <w:jc w:val="left"/>
              <w:spacing w:before="20" w:after="20" w:line="220" w:lineRule="auto"/>
            </w:pPr>
            <w:r>
              <w:rPr>
                <w:sz w:val="15"/>
                <w:szCs w:val="15"/>
              </w:rPr>
              <w:t xml:space="preserve">https://wcmassets.kbc.be/content/dam/kbccom/doc/investor-relations/Results/jvs-2025/jvs-2025-gr-en.pdf</w:t>
            </w:r>
          </w:p>
        </w:tc>
      </w:tr>
      <w:tr>
        <w:tc>
          <w:tcPr>
            <w:tcW w:w="1550" w:type="dxa"/>
          </w:tcPr>
          <w:p>
            <w:pPr>
              <w:pStyle w:val="Compact"/>
              <w:jc w:val="left"/>
              <w:spacing w:before="20" w:after="20" w:line="220" w:lineRule="auto"/>
            </w:pPr>
            <w:r>
              <w:rPr>
                <w:sz w:val="15"/>
                <w:szCs w:val="15"/>
              </w:rPr>
              <w:t xml:space="preserve">EU:S51</w:t>
            </w:r>
          </w:p>
        </w:tc>
        <w:tc>
          <w:tcPr>
            <w:tcW w:w="2001" w:type="dxa"/>
          </w:tcPr>
          <w:p>
            <w:pPr>
              <w:pStyle w:val="Compact"/>
              <w:jc w:val="left"/>
              <w:spacing w:before="20" w:after="20" w:line="220" w:lineRule="auto"/>
            </w:pPr>
            <w:r>
              <w:rPr>
                <w:sz w:val="15"/>
                <w:szCs w:val="15"/>
              </w:rPr>
              <w:t xml:space="preserve">KBC Group NV</w:t>
            </w:r>
          </w:p>
        </w:tc>
        <w:tc>
          <w:tcPr>
            <w:tcW w:w="3554" w:type="dxa"/>
          </w:tcPr>
          <w:p>
            <w:pPr>
              <w:pStyle w:val="Compact"/>
              <w:jc w:val="left"/>
              <w:spacing w:before="20" w:after="20" w:line="220" w:lineRule="auto"/>
            </w:pPr>
            <w:r>
              <w:rPr>
                <w:sz w:val="15"/>
                <w:szCs w:val="15"/>
              </w:rPr>
              <w:t xml:space="preserve">Annual Report KBC Group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245</w:t>
            </w:r>
          </w:p>
        </w:tc>
        <w:tc>
          <w:tcPr>
            <w:tcW w:w="3554" w:type="dxa"/>
          </w:tcPr>
          <w:p>
            <w:pPr>
              <w:pStyle w:val="Compact"/>
              <w:jc w:val="left"/>
              <w:spacing w:before="20" w:after="20" w:line="220" w:lineRule="auto"/>
            </w:pPr>
            <w:r>
              <w:rPr>
                <w:sz w:val="15"/>
                <w:szCs w:val="15"/>
              </w:rPr>
              <w:t xml:space="preserve">https://wcmassets.kbc.be/content/dam/kbccom/doc/investor-relations/Results/jvs-2024/jvs-2024-gr-en.pdf</w:t>
            </w:r>
          </w:p>
        </w:tc>
      </w:tr>
      <w:tr>
        <w:tc>
          <w:tcPr>
            <w:tcW w:w="1550" w:type="dxa"/>
          </w:tcPr>
          <w:p>
            <w:pPr>
              <w:pStyle w:val="Compact"/>
              <w:jc w:val="left"/>
              <w:spacing w:before="20" w:after="20" w:line="220" w:lineRule="auto"/>
            </w:pPr>
            <w:r>
              <w:rPr>
                <w:sz w:val="15"/>
                <w:szCs w:val="15"/>
              </w:rPr>
              <w:t xml:space="preserve">EU:S52</w:t>
            </w:r>
          </w:p>
        </w:tc>
        <w:tc>
          <w:tcPr>
            <w:tcW w:w="2001" w:type="dxa"/>
          </w:tcPr>
          <w:p>
            <w:pPr>
              <w:pStyle w:val="Compact"/>
              <w:jc w:val="left"/>
              <w:spacing w:before="20" w:after="20" w:line="220" w:lineRule="auto"/>
            </w:pPr>
            <w:r>
              <w:rPr>
                <w:sz w:val="15"/>
                <w:szCs w:val="15"/>
              </w:rPr>
              <w:t xml:space="preserve">KBC Group NV</w:t>
            </w:r>
          </w:p>
        </w:tc>
        <w:tc>
          <w:tcPr>
            <w:tcW w:w="3554" w:type="dxa"/>
          </w:tcPr>
          <w:p>
            <w:pPr>
              <w:pStyle w:val="Compact"/>
              <w:jc w:val="left"/>
              <w:spacing w:before="20" w:after="20" w:line="220" w:lineRule="auto"/>
            </w:pPr>
            <w:r>
              <w:rPr>
                <w:sz w:val="15"/>
                <w:szCs w:val="15"/>
              </w:rPr>
              <w:t xml:space="preserve">Annual Report KBC Group 2023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3</w:t>
            </w:r>
          </w:p>
        </w:tc>
        <w:tc>
          <w:tcPr>
            <w:tcW w:w="3554" w:type="dxa"/>
          </w:tcPr>
          <w:p>
            <w:pPr>
              <w:pStyle w:val="Compact"/>
              <w:jc w:val="left"/>
              <w:spacing w:before="20" w:after="20" w:line="220" w:lineRule="auto"/>
            </w:pPr>
            <w:r>
              <w:rPr>
                <w:sz w:val="15"/>
                <w:szCs w:val="15"/>
              </w:rPr>
              <w:t xml:space="preserve">https://wcmassets.kbc.be/content/dam/kbccom/doc/investor-relations/Results/jvs-2023/jvs-2023-grp-en.pdf</w:t>
            </w:r>
          </w:p>
        </w:tc>
      </w:tr>
      <w:tr>
        <w:tc>
          <w:tcPr>
            <w:tcW w:w="1550" w:type="dxa"/>
          </w:tcPr>
          <w:p>
            <w:pPr>
              <w:pStyle w:val="Compact"/>
              <w:jc w:val="left"/>
              <w:spacing w:before="20" w:after="20" w:line="220" w:lineRule="auto"/>
            </w:pPr>
            <w:r>
              <w:rPr>
                <w:sz w:val="15"/>
                <w:szCs w:val="15"/>
              </w:rPr>
              <w:t xml:space="preserve">EU:S53</w:t>
            </w:r>
          </w:p>
        </w:tc>
        <w:tc>
          <w:tcPr>
            <w:tcW w:w="2001" w:type="dxa"/>
          </w:tcPr>
          <w:p>
            <w:pPr>
              <w:pStyle w:val="Compact"/>
              <w:jc w:val="left"/>
              <w:spacing w:before="20" w:after="20" w:line="220" w:lineRule="auto"/>
            </w:pPr>
            <w:r>
              <w:rPr>
                <w:sz w:val="15"/>
                <w:szCs w:val="15"/>
              </w:rPr>
              <w:t xml:space="preserve">KBC Insurance NV</w:t>
            </w:r>
          </w:p>
        </w:tc>
        <w:tc>
          <w:tcPr>
            <w:tcW w:w="3554" w:type="dxa"/>
          </w:tcPr>
          <w:p>
            <w:pPr>
              <w:pStyle w:val="Compact"/>
              <w:jc w:val="left"/>
              <w:spacing w:before="20" w:after="20" w:line="220" w:lineRule="auto"/>
            </w:pPr>
            <w:r>
              <w:rPr>
                <w:sz w:val="15"/>
                <w:szCs w:val="15"/>
              </w:rPr>
              <w:t xml:space="preserve">Solvency and Financial Condition Report 2025, KBC Insurance Group and NV</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8,14,45</w:t>
            </w:r>
          </w:p>
        </w:tc>
        <w:tc>
          <w:tcPr>
            <w:tcW w:w="3554" w:type="dxa"/>
          </w:tcPr>
          <w:p>
            <w:pPr>
              <w:pStyle w:val="Compact"/>
              <w:jc w:val="left"/>
              <w:spacing w:before="20" w:after="20" w:line="220" w:lineRule="auto"/>
            </w:pPr>
            <w:r>
              <w:rPr>
                <w:sz w:val="15"/>
                <w:szCs w:val="15"/>
              </w:rPr>
              <w:t xml:space="preserve">https://wcmassets.kbc.be/content/dam/kbccom/doc/investor-relations/3-Reports/20260430-kbc-group-sfcr2-2025.pdf</w:t>
            </w:r>
          </w:p>
        </w:tc>
      </w:tr>
      <w:tr>
        <w:tc>
          <w:tcPr>
            <w:tcW w:w="1550" w:type="dxa"/>
          </w:tcPr>
          <w:p>
            <w:pPr>
              <w:pStyle w:val="Compact"/>
              <w:jc w:val="left"/>
              <w:spacing w:before="20" w:after="20" w:line="220" w:lineRule="auto"/>
            </w:pPr>
            <w:r>
              <w:rPr>
                <w:sz w:val="15"/>
                <w:szCs w:val="15"/>
              </w:rPr>
              <w:t xml:space="preserve">EU:S54</w:t>
            </w:r>
          </w:p>
        </w:tc>
        <w:tc>
          <w:tcPr>
            <w:tcW w:w="2001" w:type="dxa"/>
          </w:tcPr>
          <w:p>
            <w:pPr>
              <w:pStyle w:val="Compact"/>
              <w:jc w:val="left"/>
              <w:spacing w:before="20" w:after="20" w:line="220" w:lineRule="auto"/>
            </w:pPr>
            <w:r>
              <w:rPr>
                <w:sz w:val="15"/>
                <w:szCs w:val="15"/>
              </w:rPr>
              <w:t xml:space="preserve">KBC Insurance NV</w:t>
            </w:r>
          </w:p>
        </w:tc>
        <w:tc>
          <w:tcPr>
            <w:tcW w:w="3554" w:type="dxa"/>
          </w:tcPr>
          <w:p>
            <w:pPr>
              <w:pStyle w:val="Compact"/>
              <w:jc w:val="left"/>
              <w:spacing w:before="20" w:after="20" w:line="220" w:lineRule="auto"/>
            </w:pPr>
            <w:r>
              <w:rPr>
                <w:sz w:val="15"/>
                <w:szCs w:val="15"/>
              </w:rPr>
              <w:t xml:space="preserve">Solvency and Financial Condition Report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7,16</w:t>
            </w:r>
          </w:p>
        </w:tc>
        <w:tc>
          <w:tcPr>
            <w:tcW w:w="3554" w:type="dxa"/>
          </w:tcPr>
          <w:p>
            <w:pPr>
              <w:pStyle w:val="Compact"/>
              <w:jc w:val="left"/>
              <w:spacing w:before="20" w:after="20" w:line="220" w:lineRule="auto"/>
            </w:pPr>
            <w:r>
              <w:rPr>
                <w:sz w:val="15"/>
                <w:szCs w:val="15"/>
              </w:rPr>
              <w:t xml:space="preserve">https://wcmassets.kbc.be/content/dam/kbccom/doc/investor-relations/3-Reports/20250430-kbc-group-sfcr-2024.pdf</w:t>
            </w:r>
          </w:p>
        </w:tc>
      </w:tr>
      <w:tr>
        <w:tc>
          <w:tcPr>
            <w:tcW w:w="1550" w:type="dxa"/>
          </w:tcPr>
          <w:p>
            <w:pPr>
              <w:pStyle w:val="Compact"/>
              <w:jc w:val="left"/>
              <w:spacing w:before="20" w:after="20" w:line="220" w:lineRule="auto"/>
            </w:pPr>
            <w:r>
              <w:rPr>
                <w:sz w:val="15"/>
                <w:szCs w:val="15"/>
              </w:rPr>
              <w:t xml:space="preserve">EU:S55</w:t>
            </w:r>
          </w:p>
        </w:tc>
        <w:tc>
          <w:tcPr>
            <w:tcW w:w="2001" w:type="dxa"/>
          </w:tcPr>
          <w:p>
            <w:pPr>
              <w:pStyle w:val="Compact"/>
              <w:jc w:val="left"/>
              <w:spacing w:before="20" w:after="20" w:line="220" w:lineRule="auto"/>
            </w:pPr>
            <w:r>
              <w:rPr>
                <w:sz w:val="15"/>
                <w:szCs w:val="15"/>
              </w:rPr>
              <w:t xml:space="preserve">KBC Insurance NV</w:t>
            </w:r>
          </w:p>
        </w:tc>
        <w:tc>
          <w:tcPr>
            <w:tcW w:w="3554" w:type="dxa"/>
          </w:tcPr>
          <w:p>
            <w:pPr>
              <w:pStyle w:val="Compact"/>
              <w:jc w:val="left"/>
              <w:spacing w:before="20" w:after="20" w:line="220" w:lineRule="auto"/>
            </w:pPr>
            <w:r>
              <w:rPr>
                <w:sz w:val="15"/>
                <w:szCs w:val="15"/>
              </w:rPr>
              <w:t xml:space="preserve">Solvency and Financial Condition Report 2023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7,30</w:t>
            </w:r>
          </w:p>
        </w:tc>
        <w:tc>
          <w:tcPr>
            <w:tcW w:w="3554" w:type="dxa"/>
          </w:tcPr>
          <w:p>
            <w:pPr>
              <w:pStyle w:val="Compact"/>
              <w:jc w:val="left"/>
              <w:spacing w:before="20" w:after="20" w:line="220" w:lineRule="auto"/>
            </w:pPr>
            <w:r>
              <w:rPr>
                <w:sz w:val="15"/>
                <w:szCs w:val="15"/>
              </w:rPr>
              <w:t xml:space="preserve">https://wcmassets.kbc.be/content/dam/kbccom/doc/investor-relations/3-Reports/20250106-kbc-group-sfcr-2023.pdf</w:t>
            </w:r>
          </w:p>
        </w:tc>
      </w:tr>
      <w:tr>
        <w:tc>
          <w:tcPr>
            <w:tcW w:w="1550" w:type="dxa"/>
          </w:tcPr>
          <w:p>
            <w:pPr>
              <w:pStyle w:val="Compact"/>
              <w:jc w:val="left"/>
              <w:spacing w:before="20" w:after="20" w:line="220" w:lineRule="auto"/>
            </w:pPr>
            <w:r>
              <w:rPr>
                <w:sz w:val="15"/>
                <w:szCs w:val="15"/>
              </w:rPr>
              <w:t xml:space="preserve">EU:S56</w:t>
            </w:r>
          </w:p>
        </w:tc>
        <w:tc>
          <w:tcPr>
            <w:tcW w:w="2001" w:type="dxa"/>
          </w:tcPr>
          <w:p>
            <w:pPr>
              <w:pStyle w:val="Compact"/>
              <w:jc w:val="left"/>
              <w:spacing w:before="20" w:after="20" w:line="220" w:lineRule="auto"/>
            </w:pPr>
            <w:r>
              <w:rPr>
                <w:sz w:val="15"/>
                <w:szCs w:val="15"/>
              </w:rPr>
              <w:t xml:space="preserve">KBC Insurance NV</w:t>
            </w:r>
          </w:p>
        </w:tc>
        <w:tc>
          <w:tcPr>
            <w:tcW w:w="3554" w:type="dxa"/>
          </w:tcPr>
          <w:p>
            <w:pPr>
              <w:pStyle w:val="Compact"/>
              <w:jc w:val="left"/>
              <w:spacing w:before="20" w:after="20" w:line="220" w:lineRule="auto"/>
            </w:pPr>
            <w:r>
              <w:rPr>
                <w:sz w:val="15"/>
                <w:szCs w:val="15"/>
              </w:rPr>
              <w:t xml:space="preserve">Annex QRTs of KBC Insurance NV, SFCR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6,7</w:t>
            </w:r>
          </w:p>
        </w:tc>
        <w:tc>
          <w:tcPr>
            <w:tcW w:w="3554" w:type="dxa"/>
          </w:tcPr>
          <w:p>
            <w:pPr>
              <w:pStyle w:val="Compact"/>
              <w:jc w:val="left"/>
              <w:spacing w:before="20" w:after="20" w:line="220" w:lineRule="auto"/>
            </w:pPr>
            <w:r>
              <w:rPr>
                <w:sz w:val="15"/>
                <w:szCs w:val="15"/>
              </w:rPr>
              <w:t xml:space="preserve">https://wcmassets.kbc.be/content/dam/kbccom/doc/investor-relations/3-Reports/20260430-kbci-mvbh-qrt-sfcr-2025.</w:t>
            </w:r>
          </w:p>
        </w:tc>
      </w:tr>
      <w:tr>
        <w:tc>
          <w:tcPr>
            <w:tcW w:w="1550" w:type="dxa"/>
          </w:tcPr>
          <w:p>
            <w:pPr>
              <w:pStyle w:val="Compact"/>
              <w:jc w:val="left"/>
              <w:spacing w:before="20" w:after="20" w:line="220" w:lineRule="auto"/>
            </w:pPr>
            <w:r>
              <w:rPr>
                <w:sz w:val="15"/>
                <w:szCs w:val="15"/>
              </w:rPr>
              <w:t xml:space="preserve">EU:S57</w:t>
            </w:r>
          </w:p>
        </w:tc>
        <w:tc>
          <w:tcPr>
            <w:tcW w:w="2001" w:type="dxa"/>
          </w:tcPr>
          <w:p>
            <w:pPr>
              <w:pStyle w:val="Compact"/>
              <w:jc w:val="left"/>
              <w:spacing w:before="20" w:after="20" w:line="220" w:lineRule="auto"/>
            </w:pPr>
            <w:r>
              <w:rPr>
                <w:sz w:val="15"/>
                <w:szCs w:val="15"/>
              </w:rPr>
              <w:t xml:space="preserve">KBC Group NV</w:t>
            </w:r>
          </w:p>
        </w:tc>
        <w:tc>
          <w:tcPr>
            <w:tcW w:w="3554" w:type="dxa"/>
          </w:tcPr>
          <w:p>
            <w:pPr>
              <w:pStyle w:val="Compact"/>
              <w:jc w:val="left"/>
              <w:spacing w:before="20" w:after="20" w:line="220" w:lineRule="auto"/>
            </w:pPr>
            <w:r>
              <w:rPr>
                <w:sz w:val="15"/>
                <w:szCs w:val="15"/>
              </w:rPr>
              <w:t xml:space="preserve">KBC Group quarterly report 2Q 2026</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5</w:t>
            </w:r>
          </w:p>
        </w:tc>
        <w:tc>
          <w:tcPr>
            <w:tcW w:w="3554" w:type="dxa"/>
          </w:tcPr>
          <w:p>
            <w:pPr>
              <w:pStyle w:val="Compact"/>
              <w:jc w:val="left"/>
              <w:spacing w:before="20" w:after="20" w:line="220" w:lineRule="auto"/>
            </w:pPr>
            <w:r>
              <w:rPr>
                <w:sz w:val="15"/>
                <w:szCs w:val="15"/>
              </w:rPr>
              <w:t xml:space="preserve">https://wcmassets.kbc.be/content/dam/kbccom/doc/investor-relations/Results/2q2026/2q2026-quarterly-report-en.p</w:t>
            </w:r>
          </w:p>
        </w:tc>
      </w:tr>
      <w:tr>
        <w:tc>
          <w:tcPr>
            <w:tcW w:w="1550" w:type="dxa"/>
          </w:tcPr>
          <w:p>
            <w:pPr>
              <w:pStyle w:val="Compact"/>
              <w:jc w:val="left"/>
              <w:spacing w:before="20" w:after="20" w:line="220" w:lineRule="auto"/>
            </w:pPr>
            <w:r>
              <w:rPr>
                <w:sz w:val="15"/>
                <w:szCs w:val="15"/>
              </w:rPr>
              <w:t xml:space="preserve">EU:S60</w:t>
            </w:r>
          </w:p>
        </w:tc>
        <w:tc>
          <w:tcPr>
            <w:tcW w:w="2001" w:type="dxa"/>
          </w:tcPr>
          <w:p>
            <w:pPr>
              <w:pStyle w:val="Compact"/>
              <w:jc w:val="left"/>
              <w:spacing w:before="20" w:after="20" w:line="220" w:lineRule="auto"/>
            </w:pPr>
            <w:r>
              <w:rPr>
                <w:sz w:val="15"/>
                <w:szCs w:val="15"/>
              </w:rPr>
              <w:t xml:space="preserve">Lloyds Banking Group plc</w:t>
            </w:r>
          </w:p>
        </w:tc>
        <w:tc>
          <w:tcPr>
            <w:tcW w:w="3554" w:type="dxa"/>
          </w:tcPr>
          <w:p>
            <w:pPr>
              <w:pStyle w:val="Compact"/>
              <w:jc w:val="left"/>
              <w:spacing w:before="20" w:after="20" w:line="220" w:lineRule="auto"/>
            </w:pPr>
            <w:r>
              <w:rPr>
                <w:sz w:val="15"/>
                <w:szCs w:val="15"/>
              </w:rPr>
              <w:t xml:space="preserve">Annual Report and Accounts 2025 (ESEF filing, Markdown rendering of the FCA NSM filing ser</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Divisional results IP&amp;I performance summ</w:t>
            </w:r>
          </w:p>
        </w:tc>
        <w:tc>
          <w:tcPr>
            <w:tcW w:w="3554" w:type="dxa"/>
          </w:tcPr>
          <w:p>
            <w:pPr>
              <w:pStyle w:val="Compact"/>
              <w:jc w:val="left"/>
              <w:spacing w:before="20" w:after="20" w:line="220" w:lineRule="auto"/>
            </w:pPr>
            <w:r>
              <w:rPr>
                <w:sz w:val="15"/>
                <w:szCs w:val="15"/>
              </w:rPr>
              <w:t xml:space="preserve">https://reports.ticker.app/549300PPXHEU2JF0AM85/2026-02-13/549300PPXHEU2JF0AM85-2025-12-31-T01_html.md</w:t>
            </w:r>
          </w:p>
        </w:tc>
      </w:tr>
      <w:tr>
        <w:tc>
          <w:tcPr>
            <w:tcW w:w="1550" w:type="dxa"/>
          </w:tcPr>
          <w:p>
            <w:pPr>
              <w:pStyle w:val="Compact"/>
              <w:jc w:val="left"/>
              <w:spacing w:before="20" w:after="20" w:line="220" w:lineRule="auto"/>
            </w:pPr>
            <w:r>
              <w:rPr>
                <w:sz w:val="15"/>
                <w:szCs w:val="15"/>
              </w:rPr>
              <w:t xml:space="preserve">EU:S61</w:t>
            </w:r>
          </w:p>
        </w:tc>
        <w:tc>
          <w:tcPr>
            <w:tcW w:w="2001" w:type="dxa"/>
          </w:tcPr>
          <w:p>
            <w:pPr>
              <w:pStyle w:val="Compact"/>
              <w:jc w:val="left"/>
              <w:spacing w:before="20" w:after="20" w:line="220" w:lineRule="auto"/>
            </w:pPr>
            <w:r>
              <w:rPr>
                <w:sz w:val="15"/>
                <w:szCs w:val="15"/>
              </w:rPr>
              <w:t xml:space="preserve">Lloyds Banking Group plc</w:t>
            </w:r>
          </w:p>
        </w:tc>
        <w:tc>
          <w:tcPr>
            <w:tcW w:w="3554" w:type="dxa"/>
          </w:tcPr>
          <w:p>
            <w:pPr>
              <w:pStyle w:val="Compact"/>
              <w:jc w:val="left"/>
              <w:spacing w:before="20" w:after="20" w:line="220" w:lineRule="auto"/>
            </w:pPr>
            <w:r>
              <w:rPr>
                <w:sz w:val="15"/>
                <w:szCs w:val="15"/>
              </w:rPr>
              <w:t xml:space="preserve">Annual Report and Accounts 2024 (ESEF filing via reports.ticker.app)</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Segmental analysis note (md lines 43026-</w:t>
            </w:r>
          </w:p>
        </w:tc>
        <w:tc>
          <w:tcPr>
            <w:tcW w:w="3554" w:type="dxa"/>
          </w:tcPr>
          <w:p>
            <w:pPr>
              <w:pStyle w:val="Compact"/>
              <w:jc w:val="left"/>
              <w:spacing w:before="20" w:after="20" w:line="220" w:lineRule="auto"/>
            </w:pPr>
            <w:r>
              <w:rPr>
                <w:sz w:val="15"/>
                <w:szCs w:val="15"/>
              </w:rPr>
              <w:t xml:space="preserve">https://reports.ticker.app/549300PPXHEU2JF0AM85/2025-02-20/549300PPXHEU2JF0AM85-2024-12-31-T01_html.md</w:t>
            </w:r>
          </w:p>
        </w:tc>
      </w:tr>
      <w:tr>
        <w:tc>
          <w:tcPr>
            <w:tcW w:w="1550" w:type="dxa"/>
          </w:tcPr>
          <w:p>
            <w:pPr>
              <w:pStyle w:val="Compact"/>
              <w:jc w:val="left"/>
              <w:spacing w:before="20" w:after="20" w:line="220" w:lineRule="auto"/>
            </w:pPr>
            <w:r>
              <w:rPr>
                <w:sz w:val="15"/>
                <w:szCs w:val="15"/>
              </w:rPr>
              <w:t xml:space="preserve">EU:S63</w:t>
            </w:r>
          </w:p>
        </w:tc>
        <w:tc>
          <w:tcPr>
            <w:tcW w:w="2001" w:type="dxa"/>
          </w:tcPr>
          <w:p>
            <w:pPr>
              <w:pStyle w:val="Compact"/>
              <w:jc w:val="left"/>
              <w:spacing w:before="20" w:after="20" w:line="220" w:lineRule="auto"/>
            </w:pPr>
            <w:r>
              <w:rPr>
                <w:sz w:val="15"/>
                <w:szCs w:val="15"/>
              </w:rPr>
              <w:t xml:space="preserve">Lloyds Banking Group plc</w:t>
            </w:r>
          </w:p>
        </w:tc>
        <w:tc>
          <w:tcPr>
            <w:tcW w:w="3554" w:type="dxa"/>
          </w:tcPr>
          <w:p>
            <w:pPr>
              <w:pStyle w:val="Compact"/>
              <w:jc w:val="left"/>
              <w:spacing w:before="20" w:after="20" w:line="220" w:lineRule="auto"/>
            </w:pPr>
            <w:r>
              <w:rPr>
                <w:sz w:val="15"/>
                <w:szCs w:val="15"/>
              </w:rPr>
              <w:t xml:space="preserve">2026 Half-Year Results news release (SEC Form 6-K, 30 July 2026)</w:t>
            </w:r>
          </w:p>
        </w:tc>
        <w:tc>
          <w:tcPr>
            <w:tcW w:w="1636" w:type="dxa"/>
          </w:tcPr>
          <w:p>
            <w:pPr>
              <w:pStyle w:val="Compact"/>
              <w:jc w:val="left"/>
              <w:spacing w:before="20" w:after="20" w:line="220" w:lineRule="auto"/>
            </w:pPr>
            <w:r>
              <w:rPr>
                <w:sz w:val="15"/>
                <w:szCs w:val="15"/>
              </w:rPr>
              <w:t xml:space="preserve">H1 2026</w:t>
            </w:r>
          </w:p>
        </w:tc>
        <w:tc>
          <w:tcPr>
            <w:tcW w:w="2273" w:type="dxa"/>
          </w:tcPr>
          <w:p>
            <w:pPr>
              <w:pStyle w:val="Compact"/>
              <w:jc w:val="left"/>
              <w:spacing w:before="20" w:after="20" w:line="220" w:lineRule="auto"/>
            </w:pPr>
            <w:r>
              <w:rPr>
                <w:sz w:val="15"/>
                <w:szCs w:val="15"/>
              </w:rPr>
              <w:t xml:space="preserve">IP&amp;I performance summary</w:t>
            </w:r>
          </w:p>
        </w:tc>
        <w:tc>
          <w:tcPr>
            <w:tcW w:w="3554" w:type="dxa"/>
          </w:tcPr>
          <w:p>
            <w:pPr>
              <w:pStyle w:val="Compact"/>
              <w:jc w:val="left"/>
              <w:spacing w:before="20" w:after="20" w:line="220" w:lineRule="auto"/>
            </w:pPr>
            <w:r>
              <w:rPr>
                <w:sz w:val="15"/>
                <w:szCs w:val="15"/>
              </w:rPr>
              <w:t xml:space="preserve">https://www.sec.gov/Archives/edgar/data/1160106/000165495426006988/a4589o.htm</w:t>
            </w:r>
          </w:p>
        </w:tc>
      </w:tr>
      <w:tr>
        <w:tc>
          <w:tcPr>
            <w:tcW w:w="1550" w:type="dxa"/>
          </w:tcPr>
          <w:p>
            <w:pPr>
              <w:pStyle w:val="Compact"/>
              <w:jc w:val="left"/>
              <w:spacing w:before="20" w:after="20" w:line="220" w:lineRule="auto"/>
            </w:pPr>
            <w:r>
              <w:rPr>
                <w:sz w:val="15"/>
                <w:szCs w:val="15"/>
              </w:rPr>
              <w:t xml:space="preserve">EU:S64</w:t>
            </w:r>
          </w:p>
        </w:tc>
        <w:tc>
          <w:tcPr>
            <w:tcW w:w="2001" w:type="dxa"/>
          </w:tcPr>
          <w:p>
            <w:pPr>
              <w:pStyle w:val="Compact"/>
              <w:jc w:val="left"/>
              <w:spacing w:before="20" w:after="20" w:line="220" w:lineRule="auto"/>
            </w:pPr>
            <w:r>
              <w:rPr>
                <w:sz w:val="15"/>
                <w:szCs w:val="15"/>
              </w:rPr>
              <w:t xml:space="preserve">Scottish Widows Limited</w:t>
            </w:r>
          </w:p>
        </w:tc>
        <w:tc>
          <w:tcPr>
            <w:tcW w:w="3554" w:type="dxa"/>
          </w:tcPr>
          <w:p>
            <w:pPr>
              <w:pStyle w:val="Compact"/>
              <w:jc w:val="left"/>
              <w:spacing w:before="20" w:after="20" w:line="220" w:lineRule="auto"/>
            </w:pPr>
            <w:r>
              <w:rPr>
                <w:sz w:val="15"/>
                <w:szCs w:val="15"/>
              </w:rPr>
              <w:t xml:space="preserve">Annual Report and Accounts 2024 (FCA NSM filing copy via reports.ticker.app)</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19,35,70,74</w:t>
            </w:r>
          </w:p>
        </w:tc>
        <w:tc>
          <w:tcPr>
            <w:tcW w:w="3554" w:type="dxa"/>
          </w:tcPr>
          <w:p>
            <w:pPr>
              <w:pStyle w:val="Compact"/>
              <w:jc w:val="left"/>
              <w:spacing w:before="20" w:after="20" w:line="220" w:lineRule="auto"/>
            </w:pPr>
            <w:r>
              <w:rPr>
                <w:sz w:val="15"/>
                <w:szCs w:val="15"/>
              </w:rPr>
              <w:t xml:space="preserve">https://reports.ticker.app/549300ZT0RVWCG8T4L55/2025-03-27/NI-000116179.pdf</w:t>
            </w:r>
          </w:p>
        </w:tc>
      </w:tr>
      <w:tr>
        <w:tc>
          <w:tcPr>
            <w:tcW w:w="1550" w:type="dxa"/>
          </w:tcPr>
          <w:p>
            <w:pPr>
              <w:pStyle w:val="Compact"/>
              <w:jc w:val="left"/>
              <w:spacing w:before="20" w:after="20" w:line="220" w:lineRule="auto"/>
            </w:pPr>
            <w:r>
              <w:rPr>
                <w:sz w:val="15"/>
                <w:szCs w:val="15"/>
              </w:rPr>
              <w:t xml:space="preserve">EU:S65</w:t>
            </w:r>
          </w:p>
        </w:tc>
        <w:tc>
          <w:tcPr>
            <w:tcW w:w="2001" w:type="dxa"/>
          </w:tcPr>
          <w:p>
            <w:pPr>
              <w:pStyle w:val="Compact"/>
              <w:jc w:val="left"/>
              <w:spacing w:before="20" w:after="20" w:line="220" w:lineRule="auto"/>
            </w:pPr>
            <w:r>
              <w:rPr>
                <w:sz w:val="15"/>
                <w:szCs w:val="15"/>
              </w:rPr>
              <w:t xml:space="preserve">Scottish Widows Limited</w:t>
            </w:r>
          </w:p>
        </w:tc>
        <w:tc>
          <w:tcPr>
            <w:tcW w:w="3554" w:type="dxa"/>
          </w:tcPr>
          <w:p>
            <w:pPr>
              <w:pStyle w:val="Compact"/>
              <w:jc w:val="left"/>
              <w:spacing w:before="20" w:after="20" w:line="220" w:lineRule="auto"/>
            </w:pPr>
            <w:r>
              <w:rPr>
                <w:sz w:val="15"/>
                <w:szCs w:val="15"/>
              </w:rPr>
              <w:t xml:space="preserve">Annual Report and Accounts 2023 (FCA NSM filing copy via reports.ticker.app)</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36</w:t>
            </w:r>
          </w:p>
        </w:tc>
        <w:tc>
          <w:tcPr>
            <w:tcW w:w="3554" w:type="dxa"/>
          </w:tcPr>
          <w:p>
            <w:pPr>
              <w:pStyle w:val="Compact"/>
              <w:jc w:val="left"/>
              <w:spacing w:before="20" w:after="20" w:line="220" w:lineRule="auto"/>
            </w:pPr>
            <w:r>
              <w:rPr>
                <w:sz w:val="15"/>
                <w:szCs w:val="15"/>
              </w:rPr>
              <w:t xml:space="preserve">https://reports.ticker.app/549300ZT0RVWCG8T4L55/2024-04-02/NI-000093348.pdf</w:t>
            </w:r>
          </w:p>
        </w:tc>
      </w:tr>
      <w:tr>
        <w:tc>
          <w:tcPr>
            <w:tcW w:w="1550" w:type="dxa"/>
          </w:tcPr>
          <w:p>
            <w:pPr>
              <w:pStyle w:val="Compact"/>
              <w:jc w:val="left"/>
              <w:spacing w:before="20" w:after="20" w:line="220" w:lineRule="auto"/>
            </w:pPr>
            <w:r>
              <w:rPr>
                <w:sz w:val="15"/>
                <w:szCs w:val="15"/>
              </w:rPr>
              <w:t xml:space="preserve">EU:S66</w:t>
            </w:r>
          </w:p>
        </w:tc>
        <w:tc>
          <w:tcPr>
            <w:tcW w:w="2001" w:type="dxa"/>
          </w:tcPr>
          <w:p>
            <w:pPr>
              <w:pStyle w:val="Compact"/>
              <w:jc w:val="left"/>
              <w:spacing w:before="20" w:after="20" w:line="220" w:lineRule="auto"/>
            </w:pPr>
            <w:r>
              <w:rPr>
                <w:sz w:val="15"/>
                <w:szCs w:val="15"/>
              </w:rPr>
              <w:t xml:space="preserve">Scottish Widows Limited</w:t>
            </w:r>
          </w:p>
        </w:tc>
        <w:tc>
          <w:tcPr>
            <w:tcW w:w="3554" w:type="dxa"/>
          </w:tcPr>
          <w:p>
            <w:pPr>
              <w:pStyle w:val="Compact"/>
              <w:jc w:val="left"/>
              <w:spacing w:before="20" w:after="20" w:line="220" w:lineRule="auto"/>
            </w:pPr>
            <w:r>
              <w:rPr>
                <w:sz w:val="15"/>
                <w:szCs w:val="15"/>
              </w:rPr>
              <w:t xml:space="preserve">Group accounts made up to 31 December 2025 (Companies House filing, scanned image PDF)</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not parsed (image only, no OCR available</w:t>
            </w:r>
          </w:p>
        </w:tc>
        <w:tc>
          <w:tcPr>
            <w:tcW w:w="3554" w:type="dxa"/>
          </w:tcPr>
          <w:p>
            <w:pPr>
              <w:pStyle w:val="Compact"/>
              <w:jc w:val="left"/>
              <w:spacing w:before="20" w:after="20" w:line="220" w:lineRule="auto"/>
            </w:pPr>
            <w:r>
              <w:rPr>
                <w:sz w:val="15"/>
                <w:szCs w:val="15"/>
              </w:rPr>
              <w:t xml:space="preserve">https://find-and-update.company-information.service.gov.uk/company/03196171/filing-history/MzUxMzI0MDExNWFkaXF</w:t>
            </w:r>
          </w:p>
        </w:tc>
      </w:tr>
      <w:tr>
        <w:tc>
          <w:tcPr>
            <w:tcW w:w="1550" w:type="dxa"/>
          </w:tcPr>
          <w:p>
            <w:pPr>
              <w:pStyle w:val="Compact"/>
              <w:jc w:val="left"/>
              <w:spacing w:before="20" w:after="20" w:line="220" w:lineRule="auto"/>
            </w:pPr>
            <w:r>
              <w:rPr>
                <w:sz w:val="15"/>
                <w:szCs w:val="15"/>
              </w:rPr>
              <w:t xml:space="preserve">EU:S70</w:t>
            </w:r>
          </w:p>
        </w:tc>
        <w:tc>
          <w:tcPr>
            <w:tcW w:w="2001" w:type="dxa"/>
          </w:tcPr>
          <w:p>
            <w:pPr>
              <w:pStyle w:val="Compact"/>
              <w:jc w:val="left"/>
              <w:spacing w:before="20" w:after="20" w:line="220" w:lineRule="auto"/>
            </w:pPr>
            <w:r>
              <w:rPr>
                <w:sz w:val="15"/>
                <w:szCs w:val="15"/>
              </w:rPr>
              <w:t xml:space="preserve">Societe Generale SA</w:t>
            </w:r>
          </w:p>
        </w:tc>
        <w:tc>
          <w:tcPr>
            <w:tcW w:w="3554" w:type="dxa"/>
          </w:tcPr>
          <w:p>
            <w:pPr>
              <w:pStyle w:val="Compact"/>
              <w:jc w:val="left"/>
              <w:spacing w:before="20" w:after="20" w:line="220" w:lineRule="auto"/>
            </w:pPr>
            <w:r>
              <w:rPr>
                <w:sz w:val="15"/>
                <w:szCs w:val="15"/>
              </w:rPr>
              <w:t xml:space="preserve">Notice of availability of the 2026 Universal Registration Document (AMF/DILA copy); the UR</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w:t>
            </w:r>
          </w:p>
        </w:tc>
        <w:tc>
          <w:tcPr>
            <w:tcW w:w="3554" w:type="dxa"/>
          </w:tcPr>
          <w:p>
            <w:pPr>
              <w:pStyle w:val="Compact"/>
              <w:jc w:val="left"/>
              <w:spacing w:before="20" w:after="20" w:line="220" w:lineRule="auto"/>
            </w:pPr>
            <w:r>
              <w:rPr>
                <w:sz w:val="15"/>
                <w:szCs w:val="15"/>
              </w:rPr>
              <w:t xml:space="preserve">https://echanges.dila.gouv.fr/OPENDATA/AMF/MKW/2026/03/FCMKW130051_20260313.pdf</w:t>
            </w:r>
          </w:p>
        </w:tc>
      </w:tr>
      <w:tr>
        <w:tc>
          <w:tcPr>
            <w:tcW w:w="1550" w:type="dxa"/>
          </w:tcPr>
          <w:p>
            <w:pPr>
              <w:pStyle w:val="Compact"/>
              <w:jc w:val="left"/>
              <w:spacing w:before="20" w:after="20" w:line="220" w:lineRule="auto"/>
            </w:pPr>
            <w:r>
              <w:rPr>
                <w:sz w:val="15"/>
                <w:szCs w:val="15"/>
              </w:rPr>
              <w:t xml:space="preserve">EM:S01</w:t>
            </w:r>
          </w:p>
        </w:tc>
        <w:tc>
          <w:tcPr>
            <w:tcW w:w="2001" w:type="dxa"/>
          </w:tcPr>
          <w:p>
            <w:pPr>
              <w:pStyle w:val="Compact"/>
              <w:jc w:val="left"/>
              <w:spacing w:before="20" w:after="20" w:line="220" w:lineRule="auto"/>
            </w:pPr>
            <w:r>
              <w:rPr>
                <w:sz w:val="15"/>
                <w:szCs w:val="15"/>
              </w:rPr>
              <w:t xml:space="preserve">SBI Life Insurance Co Ltd</w:t>
            </w:r>
          </w:p>
        </w:tc>
        <w:tc>
          <w:tcPr>
            <w:tcW w:w="3554" w:type="dxa"/>
          </w:tcPr>
          <w:p>
            <w:pPr>
              <w:pStyle w:val="Compact"/>
              <w:jc w:val="left"/>
              <w:spacing w:before="20" w:after="20" w:line="220" w:lineRule="auto"/>
            </w:pPr>
            <w:r>
              <w:rPr>
                <w:sz w:val="15"/>
                <w:szCs w:val="15"/>
              </w:rPr>
              <w:t xml:space="preserve">Press release and investor presentation, quarter and year ended 31 March 2026 (revised cor</w:t>
            </w:r>
          </w:p>
        </w:tc>
        <w:tc>
          <w:tcPr>
            <w:tcW w:w="1636" w:type="dxa"/>
          </w:tcPr>
          <w:p>
            <w:pPr>
              <w:pStyle w:val="Compact"/>
              <w:jc w:val="left"/>
              <w:spacing w:before="20" w:after="20" w:line="220" w:lineRule="auto"/>
            </w:pPr>
            <w:r>
              <w:rPr>
                <w:sz w:val="15"/>
                <w:szCs w:val="15"/>
              </w:rPr>
              <w:t xml:space="preserve">FY2026 (Apr-25 to Mar-26)</w:t>
            </w:r>
          </w:p>
        </w:tc>
        <w:tc>
          <w:tcPr>
            <w:tcW w:w="2273" w:type="dxa"/>
          </w:tcPr>
          <w:p>
            <w:pPr>
              <w:pStyle w:val="Compact"/>
              <w:jc w:val="left"/>
              <w:spacing w:before="20" w:after="20" w:line="220" w:lineRule="auto"/>
            </w:pPr>
            <w:r>
              <w:rPr>
                <w:sz w:val="15"/>
                <w:szCs w:val="15"/>
              </w:rPr>
              <w:t xml:space="preserve">10; 11; 14; 18; 36; 40; 6; 9</w:t>
            </w:r>
          </w:p>
        </w:tc>
        <w:tc>
          <w:tcPr>
            <w:tcW w:w="3554" w:type="dxa"/>
          </w:tcPr>
          <w:p>
            <w:pPr>
              <w:pStyle w:val="Compact"/>
              <w:jc w:val="left"/>
              <w:spacing w:before="20" w:after="20" w:line="220" w:lineRule="auto"/>
            </w:pPr>
            <w:r>
              <w:rPr>
                <w:sz w:val="15"/>
                <w:szCs w:val="15"/>
              </w:rPr>
              <w:t xml:space="preserve">https://nsearchives.nseindia.com/corporate/SBILIFE_22042026213921_SEPRREVISED22042026.pdf</w:t>
            </w:r>
          </w:p>
        </w:tc>
      </w:tr>
      <w:tr>
        <w:tc>
          <w:tcPr>
            <w:tcW w:w="1550" w:type="dxa"/>
          </w:tcPr>
          <w:p>
            <w:pPr>
              <w:pStyle w:val="Compact"/>
              <w:jc w:val="left"/>
              <w:spacing w:before="20" w:after="20" w:line="220" w:lineRule="auto"/>
            </w:pPr>
            <w:r>
              <w:rPr>
                <w:sz w:val="15"/>
                <w:szCs w:val="15"/>
              </w:rPr>
              <w:t xml:space="preserve">EM:S02</w:t>
            </w:r>
          </w:p>
        </w:tc>
        <w:tc>
          <w:tcPr>
            <w:tcW w:w="2001" w:type="dxa"/>
          </w:tcPr>
          <w:p>
            <w:pPr>
              <w:pStyle w:val="Compact"/>
              <w:jc w:val="left"/>
              <w:spacing w:before="20" w:after="20" w:line="220" w:lineRule="auto"/>
            </w:pPr>
            <w:r>
              <w:rPr>
                <w:sz w:val="15"/>
                <w:szCs w:val="15"/>
              </w:rPr>
              <w:t xml:space="preserve">SBI Life Insurance Co Ltd</w:t>
            </w:r>
          </w:p>
        </w:tc>
        <w:tc>
          <w:tcPr>
            <w:tcW w:w="3554" w:type="dxa"/>
          </w:tcPr>
          <w:p>
            <w:pPr>
              <w:pStyle w:val="Compact"/>
              <w:jc w:val="left"/>
              <w:spacing w:before="20" w:after="20" w:line="220" w:lineRule="auto"/>
            </w:pPr>
            <w:r>
              <w:rPr>
                <w:sz w:val="15"/>
                <w:szCs w:val="15"/>
              </w:rPr>
              <w:t xml:space="preserve">Press release and investor presentation, quarter ended 30 June 2026 (Q1 FY27)</w:t>
            </w:r>
          </w:p>
        </w:tc>
        <w:tc>
          <w:tcPr>
            <w:tcW w:w="1636" w:type="dxa"/>
          </w:tcPr>
          <w:p>
            <w:pPr>
              <w:pStyle w:val="Compact"/>
              <w:jc w:val="left"/>
              <w:spacing w:before="20" w:after="20" w:line="220" w:lineRule="auto"/>
            </w:pPr>
            <w:r>
              <w:rPr>
                <w:sz w:val="15"/>
                <w:szCs w:val="15"/>
              </w:rPr>
              <w:t xml:space="preserve">Q1 FY2027 (Apr-26 to Jun-26)</w:t>
            </w:r>
          </w:p>
        </w:tc>
        <w:tc>
          <w:tcPr>
            <w:tcW w:w="2273" w:type="dxa"/>
          </w:tcPr>
          <w:p>
            <w:pPr>
              <w:pStyle w:val="Compact"/>
              <w:jc w:val="left"/>
              <w:spacing w:before="20" w:after="20" w:line="220" w:lineRule="auto"/>
            </w:pPr>
            <w:r>
              <w:rPr>
                <w:sz w:val="15"/>
                <w:szCs w:val="15"/>
              </w:rPr>
              <w:t xml:space="preserve">2; 3; 4; 6</w:t>
            </w:r>
          </w:p>
        </w:tc>
        <w:tc>
          <w:tcPr>
            <w:tcW w:w="3554" w:type="dxa"/>
          </w:tcPr>
          <w:p>
            <w:pPr>
              <w:pStyle w:val="Compact"/>
              <w:jc w:val="left"/>
              <w:spacing w:before="20" w:after="20" w:line="220" w:lineRule="auto"/>
            </w:pPr>
            <w:r>
              <w:rPr>
                <w:sz w:val="15"/>
                <w:szCs w:val="15"/>
              </w:rPr>
              <w:t xml:space="preserve">https://nsearchives.nseindia.com/corporate/SBILIFE_24072026145845_SEPR24072026_signed.pdf</w:t>
            </w:r>
          </w:p>
        </w:tc>
      </w:tr>
      <w:tr>
        <w:tc>
          <w:tcPr>
            <w:tcW w:w="1550" w:type="dxa"/>
          </w:tcPr>
          <w:p>
            <w:pPr>
              <w:pStyle w:val="Compact"/>
              <w:jc w:val="left"/>
              <w:spacing w:before="20" w:after="20" w:line="220" w:lineRule="auto"/>
            </w:pPr>
            <w:r>
              <w:rPr>
                <w:sz w:val="15"/>
                <w:szCs w:val="15"/>
              </w:rPr>
              <w:t xml:space="preserve">EM:S03</w:t>
            </w:r>
          </w:p>
        </w:tc>
        <w:tc>
          <w:tcPr>
            <w:tcW w:w="2001" w:type="dxa"/>
          </w:tcPr>
          <w:p>
            <w:pPr>
              <w:pStyle w:val="Compact"/>
              <w:jc w:val="left"/>
              <w:spacing w:before="20" w:after="20" w:line="220" w:lineRule="auto"/>
            </w:pPr>
            <w:r>
              <w:rPr>
                <w:sz w:val="15"/>
                <w:szCs w:val="15"/>
              </w:rPr>
              <w:t xml:space="preserve">SBI Life Insurance Co Ltd</w:t>
            </w:r>
          </w:p>
        </w:tc>
        <w:tc>
          <w:tcPr>
            <w:tcW w:w="3554" w:type="dxa"/>
          </w:tcPr>
          <w:p>
            <w:pPr>
              <w:pStyle w:val="Compact"/>
              <w:jc w:val="left"/>
              <w:spacing w:before="20" w:after="20" w:line="220" w:lineRule="auto"/>
            </w:pPr>
            <w:r>
              <w:rPr>
                <w:sz w:val="15"/>
                <w:szCs w:val="15"/>
              </w:rPr>
              <w:t xml:space="preserve">Integrated Annual Report FY2025-26 (NSE filing with AGM notice)</w:t>
            </w:r>
          </w:p>
        </w:tc>
        <w:tc>
          <w:tcPr>
            <w:tcW w:w="1636" w:type="dxa"/>
          </w:tcPr>
          <w:p>
            <w:pPr>
              <w:pStyle w:val="Compact"/>
              <w:jc w:val="left"/>
              <w:spacing w:before="20" w:after="20" w:line="220" w:lineRule="auto"/>
            </w:pPr>
            <w:r>
              <w:rPr>
                <w:sz w:val="15"/>
                <w:szCs w:val="15"/>
              </w:rPr>
              <w:t xml:space="preserve">FY2026</w:t>
            </w:r>
          </w:p>
        </w:tc>
        <w:tc>
          <w:tcPr>
            <w:tcW w:w="2273" w:type="dxa"/>
          </w:tcPr>
          <w:p>
            <w:pPr>
              <w:pStyle w:val="Compact"/>
              <w:jc w:val="left"/>
              <w:spacing w:before="20" w:after="20" w:line="220" w:lineRule="auto"/>
            </w:pPr>
            <w:r>
              <w:rPr>
                <w:sz w:val="15"/>
                <w:szCs w:val="15"/>
              </w:rPr>
              <w:t xml:space="preserve">108; 151; 18; 254; 65</w:t>
            </w:r>
          </w:p>
        </w:tc>
        <w:tc>
          <w:tcPr>
            <w:tcW w:w="3554" w:type="dxa"/>
          </w:tcPr>
          <w:p>
            <w:pPr>
              <w:pStyle w:val="Compact"/>
              <w:jc w:val="left"/>
              <w:spacing w:before="20" w:after="20" w:line="220" w:lineRule="auto"/>
            </w:pPr>
            <w:r>
              <w:rPr>
                <w:sz w:val="15"/>
                <w:szCs w:val="15"/>
              </w:rPr>
              <w:t xml:space="preserve">https://nsearchives.nseindia.com/corporate/SBILIFE_23072026215320_SENoticeAR23072026_signed.pdf</w:t>
            </w:r>
          </w:p>
        </w:tc>
      </w:tr>
      <w:tr>
        <w:tc>
          <w:tcPr>
            <w:tcW w:w="1550" w:type="dxa"/>
          </w:tcPr>
          <w:p>
            <w:pPr>
              <w:pStyle w:val="Compact"/>
              <w:jc w:val="left"/>
              <w:spacing w:before="20" w:after="20" w:line="220" w:lineRule="auto"/>
            </w:pPr>
            <w:r>
              <w:rPr>
                <w:sz w:val="15"/>
                <w:szCs w:val="15"/>
              </w:rPr>
              <w:t xml:space="preserve">EM:S04</w:t>
            </w:r>
          </w:p>
        </w:tc>
        <w:tc>
          <w:tcPr>
            <w:tcW w:w="2001" w:type="dxa"/>
          </w:tcPr>
          <w:p>
            <w:pPr>
              <w:pStyle w:val="Compact"/>
              <w:jc w:val="left"/>
              <w:spacing w:before="20" w:after="20" w:line="220" w:lineRule="auto"/>
            </w:pPr>
            <w:r>
              <w:rPr>
                <w:sz w:val="15"/>
                <w:szCs w:val="15"/>
              </w:rPr>
              <w:t xml:space="preserve">SBI Life Insurance Co Ltd</w:t>
            </w:r>
          </w:p>
        </w:tc>
        <w:tc>
          <w:tcPr>
            <w:tcW w:w="3554" w:type="dxa"/>
          </w:tcPr>
          <w:p>
            <w:pPr>
              <w:pStyle w:val="Compact"/>
              <w:jc w:val="left"/>
              <w:spacing w:before="20" w:after="20" w:line="220" w:lineRule="auto"/>
            </w:pPr>
            <w:r>
              <w:rPr>
                <w:sz w:val="15"/>
                <w:szCs w:val="15"/>
              </w:rPr>
              <w:t xml:space="preserve">Integrated Annual Report FY2024-25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133; 5; 55; 61; 96</w:t>
            </w:r>
          </w:p>
        </w:tc>
        <w:tc>
          <w:tcPr>
            <w:tcW w:w="3554" w:type="dxa"/>
          </w:tcPr>
          <w:p>
            <w:pPr>
              <w:pStyle w:val="Compact"/>
              <w:jc w:val="left"/>
              <w:spacing w:before="20" w:after="20" w:line="220" w:lineRule="auto"/>
            </w:pPr>
            <w:r>
              <w:rPr>
                <w:sz w:val="15"/>
                <w:szCs w:val="15"/>
              </w:rPr>
              <w:t xml:space="preserve">https://www.sbilife.co.in/documents/d/sbil/annual-report-fy-2024-2025</w:t>
            </w:r>
          </w:p>
        </w:tc>
      </w:tr>
      <w:tr>
        <w:tc>
          <w:tcPr>
            <w:tcW w:w="1550" w:type="dxa"/>
          </w:tcPr>
          <w:p>
            <w:pPr>
              <w:pStyle w:val="Compact"/>
              <w:jc w:val="left"/>
              <w:spacing w:before="20" w:after="20" w:line="220" w:lineRule="auto"/>
            </w:pPr>
            <w:r>
              <w:rPr>
                <w:sz w:val="15"/>
                <w:szCs w:val="15"/>
              </w:rPr>
              <w:t xml:space="preserve">EM:S05</w:t>
            </w:r>
          </w:p>
        </w:tc>
        <w:tc>
          <w:tcPr>
            <w:tcW w:w="2001" w:type="dxa"/>
          </w:tcPr>
          <w:p>
            <w:pPr>
              <w:pStyle w:val="Compact"/>
              <w:jc w:val="left"/>
              <w:spacing w:before="20" w:after="20" w:line="220" w:lineRule="auto"/>
            </w:pPr>
            <w:r>
              <w:rPr>
                <w:sz w:val="15"/>
                <w:szCs w:val="15"/>
              </w:rPr>
              <w:t xml:space="preserve">SBI Life Insurance Co Ltd</w:t>
            </w:r>
          </w:p>
        </w:tc>
        <w:tc>
          <w:tcPr>
            <w:tcW w:w="3554" w:type="dxa"/>
          </w:tcPr>
          <w:p>
            <w:pPr>
              <w:pStyle w:val="Compact"/>
              <w:jc w:val="left"/>
              <w:spacing w:before="20" w:after="20" w:line="220" w:lineRule="auto"/>
            </w:pPr>
            <w:r>
              <w:rPr>
                <w:sz w:val="15"/>
                <w:szCs w:val="15"/>
              </w:rPr>
              <w:t xml:space="preserve">Integrated Annual Report FY2023-24 (NSE filing)</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122; 130; 142; 212; 278</w:t>
            </w:r>
          </w:p>
        </w:tc>
        <w:tc>
          <w:tcPr>
            <w:tcW w:w="3554" w:type="dxa"/>
          </w:tcPr>
          <w:p>
            <w:pPr>
              <w:pStyle w:val="Compact"/>
              <w:jc w:val="left"/>
              <w:spacing w:before="20" w:after="20" w:line="220" w:lineRule="auto"/>
            </w:pPr>
            <w:r>
              <w:rPr>
                <w:sz w:val="15"/>
                <w:szCs w:val="15"/>
              </w:rPr>
              <w:t xml:space="preserve">https://nsearchives.nseindia.com/annual_reports/AR_24795_SBILIFE_2023_2024_0308202415546.pdf</w:t>
            </w:r>
          </w:p>
        </w:tc>
      </w:tr>
      <w:tr>
        <w:tc>
          <w:tcPr>
            <w:tcW w:w="1550" w:type="dxa"/>
          </w:tcPr>
          <w:p>
            <w:pPr>
              <w:pStyle w:val="Compact"/>
              <w:jc w:val="left"/>
              <w:spacing w:before="20" w:after="20" w:line="220" w:lineRule="auto"/>
            </w:pPr>
            <w:r>
              <w:rPr>
                <w:sz w:val="15"/>
                <w:szCs w:val="15"/>
              </w:rPr>
              <w:t xml:space="preserve">EM:S06</w:t>
            </w:r>
          </w:p>
        </w:tc>
        <w:tc>
          <w:tcPr>
            <w:tcW w:w="2001" w:type="dxa"/>
          </w:tcPr>
          <w:p>
            <w:pPr>
              <w:pStyle w:val="Compact"/>
              <w:jc w:val="left"/>
              <w:spacing w:before="20" w:after="20" w:line="220" w:lineRule="auto"/>
            </w:pPr>
            <w:r>
              <w:rPr>
                <w:sz w:val="15"/>
                <w:szCs w:val="15"/>
              </w:rPr>
              <w:t xml:space="preserve">BB Seguridade Participacoes SA</w:t>
            </w:r>
          </w:p>
        </w:tc>
        <w:tc>
          <w:tcPr>
            <w:tcW w:w="3554" w:type="dxa"/>
          </w:tcPr>
          <w:p>
            <w:pPr>
              <w:pStyle w:val="Compact"/>
              <w:jc w:val="left"/>
              <w:spacing w:before="20" w:after="20" w:line="220" w:lineRule="auto"/>
            </w:pPr>
            <w:r>
              <w:rPr>
                <w:sz w:val="15"/>
                <w:szCs w:val="15"/>
              </w:rPr>
              <w:t xml:space="preserve">Management Discussion and Analysis 4Q25 (English)</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12; 14; 19; 28; 31; 33; 35; 4; 56; 57; 6</w:t>
            </w:r>
          </w:p>
        </w:tc>
        <w:tc>
          <w:tcPr>
            <w:tcW w:w="3554" w:type="dxa"/>
          </w:tcPr>
          <w:p>
            <w:pPr>
              <w:pStyle w:val="Compact"/>
              <w:jc w:val="left"/>
              <w:spacing w:before="20" w:after="20" w:line="220" w:lineRule="auto"/>
            </w:pPr>
            <w:r>
              <w:rPr>
                <w:sz w:val="15"/>
                <w:szCs w:val="15"/>
              </w:rPr>
              <w:t xml:space="preserve">https://www.bbseguridaderi.com.br/docs/bb-seguridade-2026-02-09-cPcJqnhJ.pdf</w:t>
            </w:r>
          </w:p>
        </w:tc>
      </w:tr>
      <w:tr>
        <w:tc>
          <w:tcPr>
            <w:tcW w:w="1550" w:type="dxa"/>
          </w:tcPr>
          <w:p>
            <w:pPr>
              <w:pStyle w:val="Compact"/>
              <w:jc w:val="left"/>
              <w:spacing w:before="20" w:after="20" w:line="220" w:lineRule="auto"/>
            </w:pPr>
            <w:r>
              <w:rPr>
                <w:sz w:val="15"/>
                <w:szCs w:val="15"/>
              </w:rPr>
              <w:t xml:space="preserve">EM:S07</w:t>
            </w:r>
          </w:p>
        </w:tc>
        <w:tc>
          <w:tcPr>
            <w:tcW w:w="2001" w:type="dxa"/>
          </w:tcPr>
          <w:p>
            <w:pPr>
              <w:pStyle w:val="Compact"/>
              <w:jc w:val="left"/>
              <w:spacing w:before="20" w:after="20" w:line="220" w:lineRule="auto"/>
            </w:pPr>
            <w:r>
              <w:rPr>
                <w:sz w:val="15"/>
                <w:szCs w:val="15"/>
              </w:rPr>
              <w:t xml:space="preserve">BB Seguridade Participacoes SA</w:t>
            </w:r>
          </w:p>
        </w:tc>
        <w:tc>
          <w:tcPr>
            <w:tcW w:w="3554" w:type="dxa"/>
          </w:tcPr>
          <w:p>
            <w:pPr>
              <w:pStyle w:val="Compact"/>
              <w:jc w:val="left"/>
              <w:spacing w:before="20" w:after="20" w:line="220" w:lineRule="auto"/>
            </w:pPr>
            <w:r>
              <w:rPr>
                <w:sz w:val="15"/>
                <w:szCs w:val="15"/>
              </w:rPr>
              <w:t xml:space="preserve">Management Discussion and Analysis 4Q24 (English)</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11; 18; 21; 35; 45; 79; 80; 89</w:t>
            </w:r>
          </w:p>
        </w:tc>
        <w:tc>
          <w:tcPr>
            <w:tcW w:w="3554" w:type="dxa"/>
          </w:tcPr>
          <w:p>
            <w:pPr>
              <w:pStyle w:val="Compact"/>
              <w:jc w:val="left"/>
              <w:spacing w:before="20" w:after="20" w:line="220" w:lineRule="auto"/>
            </w:pPr>
            <w:r>
              <w:rPr>
                <w:sz w:val="15"/>
                <w:szCs w:val="15"/>
              </w:rPr>
              <w:t xml:space="preserve">https://www.bbseguridaderi.com.br/docs/bb-seguridade-2025-02-17-crdhfDJK.pdf</w:t>
            </w:r>
          </w:p>
        </w:tc>
      </w:tr>
      <w:tr>
        <w:tc>
          <w:tcPr>
            <w:tcW w:w="1550" w:type="dxa"/>
          </w:tcPr>
          <w:p>
            <w:pPr>
              <w:pStyle w:val="Compact"/>
              <w:jc w:val="left"/>
              <w:spacing w:before="20" w:after="20" w:line="220" w:lineRule="auto"/>
            </w:pPr>
            <w:r>
              <w:rPr>
                <w:sz w:val="15"/>
                <w:szCs w:val="15"/>
              </w:rPr>
              <w:t xml:space="preserve">EM:S08</w:t>
            </w:r>
          </w:p>
        </w:tc>
        <w:tc>
          <w:tcPr>
            <w:tcW w:w="2001" w:type="dxa"/>
          </w:tcPr>
          <w:p>
            <w:pPr>
              <w:pStyle w:val="Compact"/>
              <w:jc w:val="left"/>
              <w:spacing w:before="20" w:after="20" w:line="220" w:lineRule="auto"/>
            </w:pPr>
            <w:r>
              <w:rPr>
                <w:sz w:val="15"/>
                <w:szCs w:val="15"/>
              </w:rPr>
              <w:t xml:space="preserve">BB Seguridade Participacoes SA</w:t>
            </w:r>
          </w:p>
        </w:tc>
        <w:tc>
          <w:tcPr>
            <w:tcW w:w="3554" w:type="dxa"/>
          </w:tcPr>
          <w:p>
            <w:pPr>
              <w:pStyle w:val="Compact"/>
              <w:jc w:val="left"/>
              <w:spacing w:before="20" w:after="20" w:line="220" w:lineRule="auto"/>
            </w:pPr>
            <w:r>
              <w:rPr>
                <w:sz w:val="15"/>
                <w:szCs w:val="15"/>
              </w:rPr>
              <w:t xml:space="preserve">Management Discussion and Analysis 4Q23 (English)</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10; 24; 25; 45; 5</w:t>
            </w:r>
          </w:p>
        </w:tc>
        <w:tc>
          <w:tcPr>
            <w:tcW w:w="3554" w:type="dxa"/>
          </w:tcPr>
          <w:p>
            <w:pPr>
              <w:pStyle w:val="Compact"/>
              <w:jc w:val="left"/>
              <w:spacing w:before="20" w:after="20" w:line="220" w:lineRule="auto"/>
            </w:pPr>
            <w:r>
              <w:rPr>
                <w:sz w:val="15"/>
                <w:szCs w:val="15"/>
              </w:rPr>
              <w:t xml:space="preserve">https://www.bbseguridaderi.com.br/docs/bb-seguridade-2024-02-05-qbPQcBRD.pdf</w:t>
            </w:r>
          </w:p>
        </w:tc>
      </w:tr>
      <w:tr>
        <w:tc>
          <w:tcPr>
            <w:tcW w:w="1550" w:type="dxa"/>
          </w:tcPr>
          <w:p>
            <w:pPr>
              <w:pStyle w:val="Compact"/>
              <w:jc w:val="left"/>
              <w:spacing w:before="20" w:after="20" w:line="220" w:lineRule="auto"/>
            </w:pPr>
            <w:r>
              <w:rPr>
                <w:sz w:val="15"/>
                <w:szCs w:val="15"/>
              </w:rPr>
              <w:t xml:space="preserve">EM:S09</w:t>
            </w:r>
          </w:p>
        </w:tc>
        <w:tc>
          <w:tcPr>
            <w:tcW w:w="2001" w:type="dxa"/>
          </w:tcPr>
          <w:p>
            <w:pPr>
              <w:pStyle w:val="Compact"/>
              <w:jc w:val="left"/>
              <w:spacing w:before="20" w:after="20" w:line="220" w:lineRule="auto"/>
            </w:pPr>
            <w:r>
              <w:rPr>
                <w:sz w:val="15"/>
                <w:szCs w:val="15"/>
              </w:rPr>
              <w:t xml:space="preserve">BB Seguridade Participacoes SA</w:t>
            </w:r>
          </w:p>
        </w:tc>
        <w:tc>
          <w:tcPr>
            <w:tcW w:w="3554" w:type="dxa"/>
          </w:tcPr>
          <w:p>
            <w:pPr>
              <w:pStyle w:val="Compact"/>
              <w:jc w:val="left"/>
              <w:spacing w:before="20" w:after="20" w:line="220" w:lineRule="auto"/>
            </w:pPr>
            <w:r>
              <w:rPr>
                <w:sz w:val="15"/>
                <w:szCs w:val="15"/>
              </w:rPr>
              <w:t xml:space="preserve">Management Discussion and Analysis 2Q26 (English)</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11; 13; 27; 28; 30; 32; 4; 5; 52; 53; 61</w:t>
            </w:r>
          </w:p>
        </w:tc>
        <w:tc>
          <w:tcPr>
            <w:tcW w:w="3554" w:type="dxa"/>
          </w:tcPr>
          <w:p>
            <w:pPr>
              <w:pStyle w:val="Compact"/>
              <w:jc w:val="left"/>
              <w:spacing w:before="20" w:after="20" w:line="220" w:lineRule="auto"/>
            </w:pPr>
            <w:r>
              <w:rPr>
                <w:sz w:val="15"/>
                <w:szCs w:val="15"/>
              </w:rPr>
              <w:t xml:space="preserve">https://www.bbseguridaderi.com.br/docs/bb-seguridade-2026-06-30-rdwdmFLG.pdf</w:t>
            </w:r>
          </w:p>
        </w:tc>
      </w:tr>
      <w:tr>
        <w:tc>
          <w:tcPr>
            <w:tcW w:w="1550" w:type="dxa"/>
          </w:tcPr>
          <w:p>
            <w:pPr>
              <w:pStyle w:val="Compact"/>
              <w:jc w:val="left"/>
              <w:spacing w:before="20" w:after="20" w:line="220" w:lineRule="auto"/>
            </w:pPr>
            <w:r>
              <w:rPr>
                <w:sz w:val="15"/>
                <w:szCs w:val="15"/>
              </w:rPr>
              <w:t xml:space="preserve">EM:S10</w:t>
            </w:r>
          </w:p>
        </w:tc>
        <w:tc>
          <w:tcPr>
            <w:tcW w:w="2001" w:type="dxa"/>
          </w:tcPr>
          <w:p>
            <w:pPr>
              <w:pStyle w:val="Compact"/>
              <w:jc w:val="left"/>
              <w:spacing w:before="20" w:after="20" w:line="220" w:lineRule="auto"/>
            </w:pPr>
            <w:r>
              <w:rPr>
                <w:sz w:val="15"/>
                <w:szCs w:val="15"/>
              </w:rPr>
              <w:t xml:space="preserve">BB Seguridade Participacoes SA</w:t>
            </w:r>
          </w:p>
        </w:tc>
        <w:tc>
          <w:tcPr>
            <w:tcW w:w="3554" w:type="dxa"/>
          </w:tcPr>
          <w:p>
            <w:pPr>
              <w:pStyle w:val="Compact"/>
              <w:jc w:val="left"/>
              <w:spacing w:before="20" w:after="20" w:line="220" w:lineRule="auto"/>
            </w:pPr>
            <w:r>
              <w:rPr>
                <w:sz w:val="15"/>
                <w:szCs w:val="15"/>
              </w:rPr>
              <w:t xml:space="preserve">Annual Sustainability Report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45; 9</w:t>
            </w:r>
          </w:p>
        </w:tc>
        <w:tc>
          <w:tcPr>
            <w:tcW w:w="3554" w:type="dxa"/>
          </w:tcPr>
          <w:p>
            <w:pPr>
              <w:pStyle w:val="Compact"/>
              <w:jc w:val="left"/>
              <w:spacing w:before="20" w:after="20" w:line="220" w:lineRule="auto"/>
            </w:pPr>
            <w:r>
              <w:rPr>
                <w:sz w:val="15"/>
                <w:szCs w:val="15"/>
              </w:rPr>
              <w:t xml:space="preserve">https://api.mziq.com/mzfilemanager/v2/d/d4ee6df5-1dd8-4fb5-b518-e05397c304e4/c5220787-ac80-90b8-0142-740c75677</w:t>
            </w:r>
          </w:p>
        </w:tc>
      </w:tr>
      <w:tr>
        <w:tc>
          <w:tcPr>
            <w:tcW w:w="1550" w:type="dxa"/>
          </w:tcPr>
          <w:p>
            <w:pPr>
              <w:pStyle w:val="Compact"/>
              <w:jc w:val="left"/>
              <w:spacing w:before="20" w:after="20" w:line="220" w:lineRule="auto"/>
            </w:pPr>
            <w:r>
              <w:rPr>
                <w:sz w:val="15"/>
                <w:szCs w:val="15"/>
              </w:rPr>
              <w:t xml:space="preserve">EM:S11</w:t>
            </w:r>
          </w:p>
        </w:tc>
        <w:tc>
          <w:tcPr>
            <w:tcW w:w="2001" w:type="dxa"/>
          </w:tcPr>
          <w:p>
            <w:pPr>
              <w:pStyle w:val="Compact"/>
              <w:jc w:val="left"/>
              <w:spacing w:before="20" w:after="20" w:line="220" w:lineRule="auto"/>
            </w:pPr>
            <w:r>
              <w:rPr>
                <w:sz w:val="15"/>
                <w:szCs w:val="15"/>
              </w:rPr>
              <w:t xml:space="preserve">Itau Unibanco Holding SA</w:t>
            </w:r>
          </w:p>
        </w:tc>
        <w:tc>
          <w:tcPr>
            <w:tcW w:w="3554" w:type="dxa"/>
          </w:tcPr>
          <w:p>
            <w:pPr>
              <w:pStyle w:val="Compact"/>
              <w:jc w:val="left"/>
              <w:spacing w:before="20" w:after="20" w:line="220" w:lineRule="auto"/>
            </w:pPr>
            <w:r>
              <w:rPr>
                <w:sz w:val="15"/>
                <w:szCs w:val="15"/>
              </w:rPr>
              <w:t xml:space="preserve">Management Discussion and Analysis and Complete Financial Statements 4Q25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17; 20; 7; n/a</w:t>
            </w:r>
          </w:p>
        </w:tc>
        <w:tc>
          <w:tcPr>
            <w:tcW w:w="3554" w:type="dxa"/>
          </w:tcPr>
          <w:p>
            <w:pPr>
              <w:pStyle w:val="Compact"/>
              <w:jc w:val="left"/>
              <w:spacing w:before="20" w:after="20" w:line="220" w:lineRule="auto"/>
            </w:pPr>
            <w:r>
              <w:rPr>
                <w:sz w:val="15"/>
                <w:szCs w:val="15"/>
              </w:rPr>
              <w:t xml:space="preserve">https://filemanager-cdn.mziq.com/published/42787847-4cf6-4461-94a5-40ed237dca33/a03fd48e-6ec1-4b6f-b198-cdfb04</w:t>
            </w:r>
          </w:p>
        </w:tc>
      </w:tr>
      <w:tr>
        <w:tc>
          <w:tcPr>
            <w:tcW w:w="1550" w:type="dxa"/>
          </w:tcPr>
          <w:p>
            <w:pPr>
              <w:pStyle w:val="Compact"/>
              <w:jc w:val="left"/>
              <w:spacing w:before="20" w:after="20" w:line="220" w:lineRule="auto"/>
            </w:pPr>
            <w:r>
              <w:rPr>
                <w:sz w:val="15"/>
                <w:szCs w:val="15"/>
              </w:rPr>
              <w:t xml:space="preserve">EM:S12</w:t>
            </w:r>
          </w:p>
        </w:tc>
        <w:tc>
          <w:tcPr>
            <w:tcW w:w="2001" w:type="dxa"/>
          </w:tcPr>
          <w:p>
            <w:pPr>
              <w:pStyle w:val="Compact"/>
              <w:jc w:val="left"/>
              <w:spacing w:before="20" w:after="20" w:line="220" w:lineRule="auto"/>
            </w:pPr>
            <w:r>
              <w:rPr>
                <w:sz w:val="15"/>
                <w:szCs w:val="15"/>
              </w:rPr>
              <w:t xml:space="preserve">Itau Unibanco Holding SA</w:t>
            </w:r>
          </w:p>
        </w:tc>
        <w:tc>
          <w:tcPr>
            <w:tcW w:w="3554" w:type="dxa"/>
          </w:tcPr>
          <w:p>
            <w:pPr>
              <w:pStyle w:val="Compact"/>
              <w:jc w:val="left"/>
              <w:spacing w:before="20" w:after="20" w:line="220" w:lineRule="auto"/>
            </w:pPr>
            <w:r>
              <w:rPr>
                <w:sz w:val="15"/>
                <w:szCs w:val="15"/>
              </w:rPr>
              <w:t xml:space="preserve">Management Discussion and Analysis and Complete Financial Statements 4Q24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18</w:t>
            </w:r>
          </w:p>
        </w:tc>
        <w:tc>
          <w:tcPr>
            <w:tcW w:w="3554" w:type="dxa"/>
          </w:tcPr>
          <w:p>
            <w:pPr>
              <w:pStyle w:val="Compact"/>
              <w:jc w:val="left"/>
              <w:spacing w:before="20" w:after="20" w:line="220" w:lineRule="auto"/>
            </w:pPr>
            <w:r>
              <w:rPr>
                <w:sz w:val="15"/>
                <w:szCs w:val="15"/>
              </w:rPr>
              <w:t xml:space="preserve">https://api.mziq.com/mzfilemanager/v2/d/42787847-4cf6-4461-94a5-40ed237dca33/9cf6034f-99d9-0f7e-eec0-9a977e7ba</w:t>
            </w:r>
          </w:p>
        </w:tc>
      </w:tr>
      <w:tr>
        <w:tc>
          <w:tcPr>
            <w:tcW w:w="1550" w:type="dxa"/>
          </w:tcPr>
          <w:p>
            <w:pPr>
              <w:pStyle w:val="Compact"/>
              <w:jc w:val="left"/>
              <w:spacing w:before="20" w:after="20" w:line="220" w:lineRule="auto"/>
            </w:pPr>
            <w:r>
              <w:rPr>
                <w:sz w:val="15"/>
                <w:szCs w:val="15"/>
              </w:rPr>
              <w:t xml:space="preserve">EM:S13</w:t>
            </w:r>
          </w:p>
        </w:tc>
        <w:tc>
          <w:tcPr>
            <w:tcW w:w="2001" w:type="dxa"/>
          </w:tcPr>
          <w:p>
            <w:pPr>
              <w:pStyle w:val="Compact"/>
              <w:jc w:val="left"/>
              <w:spacing w:before="20" w:after="20" w:line="220" w:lineRule="auto"/>
            </w:pPr>
            <w:r>
              <w:rPr>
                <w:sz w:val="15"/>
                <w:szCs w:val="15"/>
              </w:rPr>
              <w:t xml:space="preserve">Itau Unibanco Holding SA</w:t>
            </w:r>
          </w:p>
        </w:tc>
        <w:tc>
          <w:tcPr>
            <w:tcW w:w="3554" w:type="dxa"/>
          </w:tcPr>
          <w:p>
            <w:pPr>
              <w:pStyle w:val="Compact"/>
              <w:jc w:val="left"/>
              <w:spacing w:before="20" w:after="20" w:line="220" w:lineRule="auto"/>
            </w:pPr>
            <w:r>
              <w:rPr>
                <w:sz w:val="15"/>
                <w:szCs w:val="15"/>
              </w:rPr>
              <w:t xml:space="preserve">Management Discussion and Analysis and Complete Financial Statements 4Q23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16; 18; 21; 7</w:t>
            </w:r>
          </w:p>
        </w:tc>
        <w:tc>
          <w:tcPr>
            <w:tcW w:w="3554" w:type="dxa"/>
          </w:tcPr>
          <w:p>
            <w:pPr>
              <w:pStyle w:val="Compact"/>
              <w:jc w:val="left"/>
              <w:spacing w:before="20" w:after="20" w:line="220" w:lineRule="auto"/>
            </w:pPr>
            <w:r>
              <w:rPr>
                <w:sz w:val="15"/>
                <w:szCs w:val="15"/>
              </w:rPr>
              <w:t xml:space="preserve">https://api.mziq.com/mzfilemanager/v2/d/42787847-4cf6-4461-94a5-40ed237dca33/83776a47-7795-a8ec-3e1e-11b7b48ed</w:t>
            </w:r>
          </w:p>
        </w:tc>
      </w:tr>
      <w:tr>
        <w:tc>
          <w:tcPr>
            <w:tcW w:w="1550" w:type="dxa"/>
          </w:tcPr>
          <w:p>
            <w:pPr>
              <w:pStyle w:val="Compact"/>
              <w:jc w:val="left"/>
              <w:spacing w:before="20" w:after="20" w:line="220" w:lineRule="auto"/>
            </w:pPr>
            <w:r>
              <w:rPr>
                <w:sz w:val="15"/>
                <w:szCs w:val="15"/>
              </w:rPr>
              <w:t xml:space="preserve">EM:S14</w:t>
            </w:r>
          </w:p>
        </w:tc>
        <w:tc>
          <w:tcPr>
            <w:tcW w:w="2001" w:type="dxa"/>
          </w:tcPr>
          <w:p>
            <w:pPr>
              <w:pStyle w:val="Compact"/>
              <w:jc w:val="left"/>
              <w:spacing w:before="20" w:after="20" w:line="220" w:lineRule="auto"/>
            </w:pPr>
            <w:r>
              <w:rPr>
                <w:sz w:val="15"/>
                <w:szCs w:val="15"/>
              </w:rPr>
              <w:t xml:space="preserve">Itau Unibanco Holding SA</w:t>
            </w:r>
          </w:p>
        </w:tc>
        <w:tc>
          <w:tcPr>
            <w:tcW w:w="3554" w:type="dxa"/>
          </w:tcPr>
          <w:p>
            <w:pPr>
              <w:pStyle w:val="Compact"/>
              <w:jc w:val="left"/>
              <w:spacing w:before="20" w:after="20" w:line="220" w:lineRule="auto"/>
            </w:pPr>
            <w:r>
              <w:rPr>
                <w:sz w:val="15"/>
                <w:szCs w:val="15"/>
              </w:rPr>
              <w:t xml:space="preserve">Management Discussion and Analysis 2Q26 (Form 6-K exhibit, SEC EDGAR html)</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section Balance Sheet; section Manageria</w:t>
            </w:r>
          </w:p>
        </w:tc>
        <w:tc>
          <w:tcPr>
            <w:tcW w:w="3554" w:type="dxa"/>
          </w:tcPr>
          <w:p>
            <w:pPr>
              <w:pStyle w:val="Compact"/>
              <w:jc w:val="left"/>
              <w:spacing w:before="20" w:after="20" w:line="220" w:lineRule="auto"/>
            </w:pPr>
            <w:r>
              <w:rPr>
                <w:sz w:val="15"/>
                <w:szCs w:val="15"/>
              </w:rPr>
              <w:t xml:space="preserve">https://www.sec.gov/Archives/edgar/data/0001132597/000113259726000223/managementdiscussionanal.htm</w:t>
            </w:r>
          </w:p>
        </w:tc>
      </w:tr>
      <w:tr>
        <w:tc>
          <w:tcPr>
            <w:tcW w:w="1550" w:type="dxa"/>
          </w:tcPr>
          <w:p>
            <w:pPr>
              <w:pStyle w:val="Compact"/>
              <w:jc w:val="left"/>
              <w:spacing w:before="20" w:after="20" w:line="220" w:lineRule="auto"/>
            </w:pPr>
            <w:r>
              <w:rPr>
                <w:sz w:val="15"/>
                <w:szCs w:val="15"/>
              </w:rPr>
              <w:t xml:space="preserve">EM:S15</w:t>
            </w:r>
          </w:p>
        </w:tc>
        <w:tc>
          <w:tcPr>
            <w:tcW w:w="2001" w:type="dxa"/>
          </w:tcPr>
          <w:p>
            <w:pPr>
              <w:pStyle w:val="Compact"/>
              <w:jc w:val="left"/>
              <w:spacing w:before="20" w:after="20" w:line="220" w:lineRule="auto"/>
            </w:pPr>
            <w:r>
              <w:rPr>
                <w:sz w:val="15"/>
                <w:szCs w:val="15"/>
              </w:rPr>
              <w:t xml:space="preserve">Banco Bradesco SA</w:t>
            </w:r>
          </w:p>
        </w:tc>
        <w:tc>
          <w:tcPr>
            <w:tcW w:w="3554" w:type="dxa"/>
          </w:tcPr>
          <w:p>
            <w:pPr>
              <w:pStyle w:val="Compact"/>
              <w:jc w:val="left"/>
              <w:spacing w:before="20" w:after="20" w:line="220" w:lineRule="auto"/>
            </w:pPr>
            <w:r>
              <w:rPr>
                <w:sz w:val="15"/>
                <w:szCs w:val="15"/>
              </w:rPr>
              <w:t xml:space="preserve">Economic and Financial Analysis Report 4Q25 (English)</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22; 23; 25; 26; 41</w:t>
            </w:r>
          </w:p>
        </w:tc>
        <w:tc>
          <w:tcPr>
            <w:tcW w:w="3554" w:type="dxa"/>
          </w:tcPr>
          <w:p>
            <w:pPr>
              <w:pStyle w:val="Compact"/>
              <w:jc w:val="left"/>
              <w:spacing w:before="20" w:after="20" w:line="220" w:lineRule="auto"/>
            </w:pPr>
            <w:r>
              <w:rPr>
                <w:sz w:val="15"/>
                <w:szCs w:val="15"/>
              </w:rPr>
              <w:t xml:space="preserve">https://filemanager-cdn.mziq.com/published/80f2e993-0a30-421a-9470-a4d5c8ad5e9f/a5c11cdf-583b-4fca-b3a4-2eb68a</w:t>
            </w:r>
          </w:p>
        </w:tc>
      </w:tr>
      <w:tr>
        <w:tc>
          <w:tcPr>
            <w:tcW w:w="1550" w:type="dxa"/>
          </w:tcPr>
          <w:p>
            <w:pPr>
              <w:pStyle w:val="Compact"/>
              <w:jc w:val="left"/>
              <w:spacing w:before="20" w:after="20" w:line="220" w:lineRule="auto"/>
            </w:pPr>
            <w:r>
              <w:rPr>
                <w:sz w:val="15"/>
                <w:szCs w:val="15"/>
              </w:rPr>
              <w:t xml:space="preserve">EM:S16</w:t>
            </w:r>
          </w:p>
        </w:tc>
        <w:tc>
          <w:tcPr>
            <w:tcW w:w="2001" w:type="dxa"/>
          </w:tcPr>
          <w:p>
            <w:pPr>
              <w:pStyle w:val="Compact"/>
              <w:jc w:val="left"/>
              <w:spacing w:before="20" w:after="20" w:line="220" w:lineRule="auto"/>
            </w:pPr>
            <w:r>
              <w:rPr>
                <w:sz w:val="15"/>
                <w:szCs w:val="15"/>
              </w:rPr>
              <w:t xml:space="preserve">Banco Bradesco SA</w:t>
            </w:r>
          </w:p>
        </w:tc>
        <w:tc>
          <w:tcPr>
            <w:tcW w:w="3554" w:type="dxa"/>
          </w:tcPr>
          <w:p>
            <w:pPr>
              <w:pStyle w:val="Compact"/>
              <w:jc w:val="left"/>
              <w:spacing w:before="20" w:after="20" w:line="220" w:lineRule="auto"/>
            </w:pPr>
            <w:r>
              <w:rPr>
                <w:sz w:val="15"/>
                <w:szCs w:val="15"/>
              </w:rPr>
              <w:t xml:space="preserve">Relatorio de Analise Economica e Financeira 4T24 (Portuguese)</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24</w:t>
            </w:r>
          </w:p>
        </w:tc>
        <w:tc>
          <w:tcPr>
            <w:tcW w:w="3554" w:type="dxa"/>
          </w:tcPr>
          <w:p>
            <w:pPr>
              <w:pStyle w:val="Compact"/>
              <w:jc w:val="left"/>
              <w:spacing w:before="20" w:after="20" w:line="220" w:lineRule="auto"/>
            </w:pPr>
            <w:r>
              <w:rPr>
                <w:sz w:val="15"/>
                <w:szCs w:val="15"/>
              </w:rPr>
              <w:t xml:space="preserve">https://api.mziq.com/mzfilemanager/v2/d/80f2e993-0a30-421a-9470-a4d5c8ad5e9f/dc350110-f1fb-916f-8d03-7c20cb9c6</w:t>
            </w:r>
          </w:p>
        </w:tc>
      </w:tr>
      <w:tr>
        <w:tc>
          <w:tcPr>
            <w:tcW w:w="1550" w:type="dxa"/>
          </w:tcPr>
          <w:p>
            <w:pPr>
              <w:pStyle w:val="Compact"/>
              <w:jc w:val="left"/>
              <w:spacing w:before="20" w:after="20" w:line="220" w:lineRule="auto"/>
            </w:pPr>
            <w:r>
              <w:rPr>
                <w:sz w:val="15"/>
                <w:szCs w:val="15"/>
              </w:rPr>
              <w:t xml:space="preserve">EM:S17</w:t>
            </w:r>
          </w:p>
        </w:tc>
        <w:tc>
          <w:tcPr>
            <w:tcW w:w="2001" w:type="dxa"/>
          </w:tcPr>
          <w:p>
            <w:pPr>
              <w:pStyle w:val="Compact"/>
              <w:jc w:val="left"/>
              <w:spacing w:before="20" w:after="20" w:line="220" w:lineRule="auto"/>
            </w:pPr>
            <w:r>
              <w:rPr>
                <w:sz w:val="15"/>
                <w:szCs w:val="15"/>
              </w:rPr>
              <w:t xml:space="preserve">Banco Bradesco SA</w:t>
            </w:r>
          </w:p>
        </w:tc>
        <w:tc>
          <w:tcPr>
            <w:tcW w:w="3554" w:type="dxa"/>
          </w:tcPr>
          <w:p>
            <w:pPr>
              <w:pStyle w:val="Compact"/>
              <w:jc w:val="left"/>
              <w:spacing w:before="20" w:after="20" w:line="220" w:lineRule="auto"/>
            </w:pPr>
            <w:r>
              <w:rPr>
                <w:sz w:val="15"/>
                <w:szCs w:val="15"/>
              </w:rPr>
              <w:t xml:space="preserve">Economic and Financial Analysis Report 4Q23 (English, Latibex copy of Bradesco filing)</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24</w:t>
            </w:r>
          </w:p>
        </w:tc>
        <w:tc>
          <w:tcPr>
            <w:tcW w:w="3554" w:type="dxa"/>
          </w:tcPr>
          <w:p>
            <w:pPr>
              <w:pStyle w:val="Compact"/>
              <w:jc w:val="left"/>
              <w:spacing w:before="20" w:after="20" w:line="220" w:lineRule="auto"/>
            </w:pPr>
            <w:r>
              <w:rPr>
                <w:sz w:val="15"/>
                <w:szCs w:val="15"/>
              </w:rPr>
              <w:t xml:space="preserve">https://www.latibex.com/docs/Documentos/esp/hechosrelev/2024/Bradesco%204Q23%20-%20Economic%20and%20Financial%</w:t>
            </w:r>
          </w:p>
        </w:tc>
      </w:tr>
      <w:tr>
        <w:tc>
          <w:tcPr>
            <w:tcW w:w="1550" w:type="dxa"/>
          </w:tcPr>
          <w:p>
            <w:pPr>
              <w:pStyle w:val="Compact"/>
              <w:jc w:val="left"/>
              <w:spacing w:before="20" w:after="20" w:line="220" w:lineRule="auto"/>
            </w:pPr>
            <w:r>
              <w:rPr>
                <w:sz w:val="15"/>
                <w:szCs w:val="15"/>
              </w:rPr>
              <w:t xml:space="preserve">EM:S18</w:t>
            </w:r>
          </w:p>
        </w:tc>
        <w:tc>
          <w:tcPr>
            <w:tcW w:w="2001" w:type="dxa"/>
          </w:tcPr>
          <w:p>
            <w:pPr>
              <w:pStyle w:val="Compact"/>
              <w:jc w:val="left"/>
              <w:spacing w:before="20" w:after="20" w:line="220" w:lineRule="auto"/>
            </w:pPr>
            <w:r>
              <w:rPr>
                <w:sz w:val="15"/>
                <w:szCs w:val="15"/>
              </w:rPr>
              <w:t xml:space="preserve">Banco Bradesco SA</w:t>
            </w:r>
          </w:p>
        </w:tc>
        <w:tc>
          <w:tcPr>
            <w:tcW w:w="3554" w:type="dxa"/>
          </w:tcPr>
          <w:p>
            <w:pPr>
              <w:pStyle w:val="Compact"/>
              <w:jc w:val="left"/>
              <w:spacing w:before="20" w:after="20" w:line="220" w:lineRule="auto"/>
            </w:pPr>
            <w:r>
              <w:rPr>
                <w:sz w:val="15"/>
                <w:szCs w:val="15"/>
              </w:rPr>
              <w:t xml:space="preserve">Relatorio de Analise Economica e Financeira 2T26 (Portuguese)</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19; 37</w:t>
            </w:r>
          </w:p>
        </w:tc>
        <w:tc>
          <w:tcPr>
            <w:tcW w:w="3554" w:type="dxa"/>
          </w:tcPr>
          <w:p>
            <w:pPr>
              <w:pStyle w:val="Compact"/>
              <w:jc w:val="left"/>
              <w:spacing w:before="20" w:after="20" w:line="220" w:lineRule="auto"/>
            </w:pPr>
            <w:r>
              <w:rPr>
                <w:sz w:val="15"/>
                <w:szCs w:val="15"/>
              </w:rPr>
              <w:t xml:space="preserve">https://api.mziq.com/mzfilemanager/v2/d/80f2e993-0a30-421a-9470-a4d5c8ad5e9f/b7c34f8d-92f6-7ba4-f408-d518a7211</w:t>
            </w:r>
          </w:p>
        </w:tc>
      </w:tr>
      <w:tr>
        <w:tc>
          <w:tcPr>
            <w:tcW w:w="1550" w:type="dxa"/>
          </w:tcPr>
          <w:p>
            <w:pPr>
              <w:pStyle w:val="Compact"/>
              <w:jc w:val="left"/>
              <w:spacing w:before="20" w:after="20" w:line="220" w:lineRule="auto"/>
            </w:pPr>
            <w:r>
              <w:rPr>
                <w:sz w:val="15"/>
                <w:szCs w:val="15"/>
              </w:rPr>
              <w:t xml:space="preserve">EM:S19</w:t>
            </w:r>
          </w:p>
        </w:tc>
        <w:tc>
          <w:tcPr>
            <w:tcW w:w="2001" w:type="dxa"/>
          </w:tcPr>
          <w:p>
            <w:pPr>
              <w:pStyle w:val="Compact"/>
              <w:jc w:val="left"/>
              <w:spacing w:before="20" w:after="20" w:line="220" w:lineRule="auto"/>
            </w:pPr>
            <w:r>
              <w:rPr>
                <w:sz w:val="15"/>
                <w:szCs w:val="15"/>
              </w:rPr>
              <w:t xml:space="preserve">Malayan Banking Berhad</w:t>
            </w:r>
          </w:p>
        </w:tc>
        <w:tc>
          <w:tcPr>
            <w:tcW w:w="3554" w:type="dxa"/>
          </w:tcPr>
          <w:p>
            <w:pPr>
              <w:pStyle w:val="Compact"/>
              <w:jc w:val="left"/>
              <w:spacing w:before="20" w:after="20" w:line="220" w:lineRule="auto"/>
            </w:pPr>
            <w:r>
              <w:rPr>
                <w:sz w:val="15"/>
                <w:szCs w:val="15"/>
              </w:rPr>
              <w:t xml:space="preserve">Annual Report 2025 Financial Statements</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146; 246; 247; 250; 251</w:t>
            </w:r>
          </w:p>
        </w:tc>
        <w:tc>
          <w:tcPr>
            <w:tcW w:w="3554" w:type="dxa"/>
          </w:tcPr>
          <w:p>
            <w:pPr>
              <w:pStyle w:val="Compact"/>
              <w:jc w:val="left"/>
              <w:spacing w:before="20" w:after="20" w:line="220" w:lineRule="auto"/>
            </w:pPr>
            <w:r>
              <w:rPr>
                <w:sz w:val="15"/>
                <w:szCs w:val="15"/>
              </w:rPr>
              <w:t xml:space="preserve">https://www.maybank.com/iwov-resources/documents/pdf/annual-report/2025/maybank-ar2025-financial-statements.pd</w:t>
            </w:r>
          </w:p>
        </w:tc>
      </w:tr>
      <w:tr>
        <w:tc>
          <w:tcPr>
            <w:tcW w:w="1550" w:type="dxa"/>
          </w:tcPr>
          <w:p>
            <w:pPr>
              <w:pStyle w:val="Compact"/>
              <w:jc w:val="left"/>
              <w:spacing w:before="20" w:after="20" w:line="220" w:lineRule="auto"/>
            </w:pPr>
            <w:r>
              <w:rPr>
                <w:sz w:val="15"/>
                <w:szCs w:val="15"/>
              </w:rPr>
              <w:t xml:space="preserve">EM:S20</w:t>
            </w:r>
          </w:p>
        </w:tc>
        <w:tc>
          <w:tcPr>
            <w:tcW w:w="2001" w:type="dxa"/>
          </w:tcPr>
          <w:p>
            <w:pPr>
              <w:pStyle w:val="Compact"/>
              <w:jc w:val="left"/>
              <w:spacing w:before="20" w:after="20" w:line="220" w:lineRule="auto"/>
            </w:pPr>
            <w:r>
              <w:rPr>
                <w:sz w:val="15"/>
                <w:szCs w:val="15"/>
              </w:rPr>
              <w:t xml:space="preserve">Malayan Banking Berhad</w:t>
            </w:r>
          </w:p>
        </w:tc>
        <w:tc>
          <w:tcPr>
            <w:tcW w:w="3554" w:type="dxa"/>
          </w:tcPr>
          <w:p>
            <w:pPr>
              <w:pStyle w:val="Compact"/>
              <w:jc w:val="left"/>
              <w:spacing w:before="20" w:after="20" w:line="220" w:lineRule="auto"/>
            </w:pPr>
            <w:r>
              <w:rPr>
                <w:sz w:val="15"/>
                <w:szCs w:val="15"/>
              </w:rPr>
              <w:t xml:space="preserve">Annual Report 2024 Financial Statements</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248</w:t>
            </w:r>
          </w:p>
        </w:tc>
        <w:tc>
          <w:tcPr>
            <w:tcW w:w="3554" w:type="dxa"/>
          </w:tcPr>
          <w:p>
            <w:pPr>
              <w:pStyle w:val="Compact"/>
              <w:jc w:val="left"/>
              <w:spacing w:before="20" w:after="20" w:line="220" w:lineRule="auto"/>
            </w:pPr>
            <w:r>
              <w:rPr>
                <w:sz w:val="15"/>
                <w:szCs w:val="15"/>
              </w:rPr>
              <w:t xml:space="preserve">https://www.maybank.com/iwov-resources/documents/pdf/annual-report/2024/Maybank-AR2024-Financial-Statements.pd</w:t>
            </w:r>
          </w:p>
        </w:tc>
      </w:tr>
      <w:tr>
        <w:tc>
          <w:tcPr>
            <w:tcW w:w="1550" w:type="dxa"/>
          </w:tcPr>
          <w:p>
            <w:pPr>
              <w:pStyle w:val="Compact"/>
              <w:jc w:val="left"/>
              <w:spacing w:before="20" w:after="20" w:line="220" w:lineRule="auto"/>
            </w:pPr>
            <w:r>
              <w:rPr>
                <w:sz w:val="15"/>
                <w:szCs w:val="15"/>
              </w:rPr>
              <w:t xml:space="preserve">EM:S21</w:t>
            </w:r>
          </w:p>
        </w:tc>
        <w:tc>
          <w:tcPr>
            <w:tcW w:w="2001" w:type="dxa"/>
          </w:tcPr>
          <w:p>
            <w:pPr>
              <w:pStyle w:val="Compact"/>
              <w:jc w:val="left"/>
              <w:spacing w:before="20" w:after="20" w:line="220" w:lineRule="auto"/>
            </w:pPr>
            <w:r>
              <w:rPr>
                <w:sz w:val="15"/>
                <w:szCs w:val="15"/>
              </w:rPr>
              <w:t xml:space="preserve">Malayan Banking Berhad</w:t>
            </w:r>
          </w:p>
        </w:tc>
        <w:tc>
          <w:tcPr>
            <w:tcW w:w="3554" w:type="dxa"/>
          </w:tcPr>
          <w:p>
            <w:pPr>
              <w:pStyle w:val="Compact"/>
              <w:jc w:val="left"/>
              <w:spacing w:before="20" w:after="20" w:line="220" w:lineRule="auto"/>
            </w:pPr>
            <w:r>
              <w:rPr>
                <w:sz w:val="15"/>
                <w:szCs w:val="15"/>
              </w:rPr>
              <w:t xml:space="preserve">Annual Report 2023 Financial Statements</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150; 252</w:t>
            </w:r>
          </w:p>
        </w:tc>
        <w:tc>
          <w:tcPr>
            <w:tcW w:w="3554" w:type="dxa"/>
          </w:tcPr>
          <w:p>
            <w:pPr>
              <w:pStyle w:val="Compact"/>
              <w:jc w:val="left"/>
              <w:spacing w:before="20" w:after="20" w:line="220" w:lineRule="auto"/>
            </w:pPr>
            <w:r>
              <w:rPr>
                <w:sz w:val="15"/>
                <w:szCs w:val="15"/>
              </w:rPr>
              <w:t xml:space="preserve">https://www.maybank.com/iwov-resources/documents/pdf/annual-report/2023/Maybank-AR2023-Financial-Statements.pd</w:t>
            </w:r>
          </w:p>
        </w:tc>
      </w:tr>
      <w:tr>
        <w:tc>
          <w:tcPr>
            <w:tcW w:w="1550" w:type="dxa"/>
          </w:tcPr>
          <w:p>
            <w:pPr>
              <w:pStyle w:val="Compact"/>
              <w:jc w:val="left"/>
              <w:spacing w:before="20" w:after="20" w:line="220" w:lineRule="auto"/>
            </w:pPr>
            <w:r>
              <w:rPr>
                <w:sz w:val="15"/>
                <w:szCs w:val="15"/>
              </w:rPr>
              <w:t xml:space="preserve">EM:S22</w:t>
            </w:r>
          </w:p>
        </w:tc>
        <w:tc>
          <w:tcPr>
            <w:tcW w:w="2001" w:type="dxa"/>
          </w:tcPr>
          <w:p>
            <w:pPr>
              <w:pStyle w:val="Compact"/>
              <w:jc w:val="left"/>
              <w:spacing w:before="20" w:after="20" w:line="220" w:lineRule="auto"/>
            </w:pPr>
            <w:r>
              <w:rPr>
                <w:sz w:val="15"/>
                <w:szCs w:val="15"/>
              </w:rPr>
              <w:t xml:space="preserve">Malayan Banking Berhad</w:t>
            </w:r>
          </w:p>
        </w:tc>
        <w:tc>
          <w:tcPr>
            <w:tcW w:w="3554" w:type="dxa"/>
          </w:tcPr>
          <w:p>
            <w:pPr>
              <w:pStyle w:val="Compact"/>
              <w:jc w:val="left"/>
              <w:spacing w:before="20" w:after="20" w:line="220" w:lineRule="auto"/>
            </w:pPr>
            <w:r>
              <w:rPr>
                <w:sz w:val="15"/>
                <w:szCs w:val="15"/>
              </w:rPr>
              <w:t xml:space="preserve">Integrated Annual Report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101; 115; 66</w:t>
            </w:r>
          </w:p>
        </w:tc>
        <w:tc>
          <w:tcPr>
            <w:tcW w:w="3554" w:type="dxa"/>
          </w:tcPr>
          <w:p>
            <w:pPr>
              <w:pStyle w:val="Compact"/>
              <w:jc w:val="left"/>
              <w:spacing w:before="20" w:after="20" w:line="220" w:lineRule="auto"/>
            </w:pPr>
            <w:r>
              <w:rPr>
                <w:sz w:val="15"/>
                <w:szCs w:val="15"/>
              </w:rPr>
              <w:t xml:space="preserve">https://www.maybank.com/iwov-resources/documents/pdf/annual-report/2025/maybank-ar2025-integrated-annual-repor</w:t>
            </w:r>
          </w:p>
        </w:tc>
      </w:tr>
      <w:tr>
        <w:tc>
          <w:tcPr>
            <w:tcW w:w="1550" w:type="dxa"/>
          </w:tcPr>
          <w:p>
            <w:pPr>
              <w:pStyle w:val="Compact"/>
              <w:jc w:val="left"/>
              <w:spacing w:before="20" w:after="20" w:line="220" w:lineRule="auto"/>
            </w:pPr>
            <w:r>
              <w:rPr>
                <w:sz w:val="15"/>
                <w:szCs w:val="15"/>
              </w:rPr>
              <w:t xml:space="preserve">EM:S23</w:t>
            </w:r>
          </w:p>
        </w:tc>
        <w:tc>
          <w:tcPr>
            <w:tcW w:w="2001" w:type="dxa"/>
          </w:tcPr>
          <w:p>
            <w:pPr>
              <w:pStyle w:val="Compact"/>
              <w:jc w:val="left"/>
              <w:spacing w:before="20" w:after="20" w:line="220" w:lineRule="auto"/>
            </w:pPr>
            <w:r>
              <w:rPr>
                <w:sz w:val="15"/>
                <w:szCs w:val="15"/>
              </w:rPr>
              <w:t xml:space="preserve">Malayan Banking Berhad</w:t>
            </w:r>
          </w:p>
        </w:tc>
        <w:tc>
          <w:tcPr>
            <w:tcW w:w="3554" w:type="dxa"/>
          </w:tcPr>
          <w:p>
            <w:pPr>
              <w:pStyle w:val="Compact"/>
              <w:jc w:val="left"/>
              <w:spacing w:before="20" w:after="20" w:line="220" w:lineRule="auto"/>
            </w:pPr>
            <w:r>
              <w:rPr>
                <w:sz w:val="15"/>
                <w:szCs w:val="15"/>
              </w:rPr>
              <w:t xml:space="preserve">Integrated Annual Report 2024</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98; 99</w:t>
            </w:r>
          </w:p>
        </w:tc>
        <w:tc>
          <w:tcPr>
            <w:tcW w:w="3554" w:type="dxa"/>
          </w:tcPr>
          <w:p>
            <w:pPr>
              <w:pStyle w:val="Compact"/>
              <w:jc w:val="left"/>
              <w:spacing w:before="20" w:after="20" w:line="220" w:lineRule="auto"/>
            </w:pPr>
            <w:r>
              <w:rPr>
                <w:sz w:val="15"/>
                <w:szCs w:val="15"/>
              </w:rPr>
              <w:t xml:space="preserve">https://www.maybank.com/iwov-resources/documents/pdf/annual-report/2024/Maybank-AR2024-Integrated-Annual-Repor</w:t>
            </w:r>
          </w:p>
        </w:tc>
      </w:tr>
      <w:tr>
        <w:tc>
          <w:tcPr>
            <w:tcW w:w="1550" w:type="dxa"/>
          </w:tcPr>
          <w:p>
            <w:pPr>
              <w:pStyle w:val="Compact"/>
              <w:jc w:val="left"/>
              <w:spacing w:before="20" w:after="20" w:line="220" w:lineRule="auto"/>
            </w:pPr>
            <w:r>
              <w:rPr>
                <w:sz w:val="15"/>
                <w:szCs w:val="15"/>
              </w:rPr>
              <w:t xml:space="preserve">EM:S24</w:t>
            </w:r>
          </w:p>
        </w:tc>
        <w:tc>
          <w:tcPr>
            <w:tcW w:w="2001" w:type="dxa"/>
          </w:tcPr>
          <w:p>
            <w:pPr>
              <w:pStyle w:val="Compact"/>
              <w:jc w:val="left"/>
              <w:spacing w:before="20" w:after="20" w:line="220" w:lineRule="auto"/>
            </w:pPr>
            <w:r>
              <w:rPr>
                <w:sz w:val="15"/>
                <w:szCs w:val="15"/>
              </w:rPr>
              <w:t xml:space="preserve">Malayan Banking Berhad</w:t>
            </w:r>
          </w:p>
        </w:tc>
        <w:tc>
          <w:tcPr>
            <w:tcW w:w="3554" w:type="dxa"/>
          </w:tcPr>
          <w:p>
            <w:pPr>
              <w:pStyle w:val="Compact"/>
              <w:jc w:val="left"/>
              <w:spacing w:before="20" w:after="20" w:line="220" w:lineRule="auto"/>
            </w:pPr>
            <w:r>
              <w:rPr>
                <w:sz w:val="15"/>
                <w:szCs w:val="15"/>
              </w:rPr>
              <w:t xml:space="preserve">Integrated Annual Report 2023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100</w:t>
            </w:r>
          </w:p>
        </w:tc>
        <w:tc>
          <w:tcPr>
            <w:tcW w:w="3554" w:type="dxa"/>
          </w:tcPr>
          <w:p>
            <w:pPr>
              <w:pStyle w:val="Compact"/>
              <w:jc w:val="left"/>
              <w:spacing w:before="20" w:after="20" w:line="220" w:lineRule="auto"/>
            </w:pPr>
            <w:r>
              <w:rPr>
                <w:sz w:val="15"/>
                <w:szCs w:val="15"/>
              </w:rPr>
              <w:t xml:space="preserve">https://www.maybank.com/iwov-resources/documents/pdf/annual-report/2023/Maybank-AR2023-Integrated-Annual-Repor</w:t>
            </w:r>
          </w:p>
        </w:tc>
      </w:tr>
      <w:tr>
        <w:tc>
          <w:tcPr>
            <w:tcW w:w="1550" w:type="dxa"/>
          </w:tcPr>
          <w:p>
            <w:pPr>
              <w:pStyle w:val="Compact"/>
              <w:jc w:val="left"/>
              <w:spacing w:before="20" w:after="20" w:line="220" w:lineRule="auto"/>
            </w:pPr>
            <w:r>
              <w:rPr>
                <w:sz w:val="15"/>
                <w:szCs w:val="15"/>
              </w:rPr>
              <w:t xml:space="preserve">EM:S25</w:t>
            </w:r>
          </w:p>
        </w:tc>
        <w:tc>
          <w:tcPr>
            <w:tcW w:w="2001" w:type="dxa"/>
          </w:tcPr>
          <w:p>
            <w:pPr>
              <w:pStyle w:val="Compact"/>
              <w:jc w:val="left"/>
              <w:spacing w:before="20" w:after="20" w:line="220" w:lineRule="auto"/>
            </w:pPr>
            <w:r>
              <w:rPr>
                <w:sz w:val="15"/>
                <w:szCs w:val="15"/>
              </w:rPr>
              <w:t xml:space="preserve">Maybank Ageas Holdings Berhad</w:t>
            </w:r>
          </w:p>
        </w:tc>
        <w:tc>
          <w:tcPr>
            <w:tcW w:w="3554" w:type="dxa"/>
          </w:tcPr>
          <w:p>
            <w:pPr>
              <w:pStyle w:val="Compact"/>
              <w:jc w:val="left"/>
              <w:spacing w:before="20" w:after="20" w:line="220" w:lineRule="auto"/>
            </w:pPr>
            <w:r>
              <w:rPr>
                <w:sz w:val="15"/>
                <w:szCs w:val="15"/>
              </w:rPr>
              <w:t xml:space="preserve">Financial statements for the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256; 256-259; 259; 38-39; n/a</w:t>
            </w:r>
          </w:p>
        </w:tc>
        <w:tc>
          <w:tcPr>
            <w:tcW w:w="3554" w:type="dxa"/>
          </w:tcPr>
          <w:p>
            <w:pPr>
              <w:pStyle w:val="Compact"/>
              <w:jc w:val="left"/>
              <w:spacing w:before="20" w:after="20" w:line="220" w:lineRule="auto"/>
            </w:pPr>
            <w:r>
              <w:rPr>
                <w:sz w:val="15"/>
                <w:szCs w:val="15"/>
              </w:rPr>
              <w:t xml:space="preserve">https://www.etiqa.com/?jet_download=9a661240282561504dead12737a94a404301963e</w:t>
            </w:r>
          </w:p>
        </w:tc>
      </w:tr>
      <w:tr>
        <w:tc>
          <w:tcPr>
            <w:tcW w:w="1550" w:type="dxa"/>
          </w:tcPr>
          <w:p>
            <w:pPr>
              <w:pStyle w:val="Compact"/>
              <w:jc w:val="left"/>
              <w:spacing w:before="20" w:after="20" w:line="220" w:lineRule="auto"/>
            </w:pPr>
            <w:r>
              <w:rPr>
                <w:sz w:val="15"/>
                <w:szCs w:val="15"/>
              </w:rPr>
              <w:t xml:space="preserve">EM:S26</w:t>
            </w:r>
          </w:p>
        </w:tc>
        <w:tc>
          <w:tcPr>
            <w:tcW w:w="2001" w:type="dxa"/>
          </w:tcPr>
          <w:p>
            <w:pPr>
              <w:pStyle w:val="Compact"/>
              <w:jc w:val="left"/>
              <w:spacing w:before="20" w:after="20" w:line="220" w:lineRule="auto"/>
            </w:pPr>
            <w:r>
              <w:rPr>
                <w:sz w:val="15"/>
                <w:szCs w:val="15"/>
              </w:rPr>
              <w:t xml:space="preserve">Maybank Ageas Holdings Berhad</w:t>
            </w:r>
          </w:p>
        </w:tc>
        <w:tc>
          <w:tcPr>
            <w:tcW w:w="3554" w:type="dxa"/>
          </w:tcPr>
          <w:p>
            <w:pPr>
              <w:pStyle w:val="Compact"/>
              <w:jc w:val="left"/>
              <w:spacing w:before="20" w:after="20" w:line="220" w:lineRule="auto"/>
            </w:pPr>
            <w:r>
              <w:rPr>
                <w:sz w:val="15"/>
                <w:szCs w:val="15"/>
              </w:rPr>
              <w:t xml:space="preserve">Unaudited interim condensed financial statements, six months ended 30 June 2026</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4-5</w:t>
            </w:r>
          </w:p>
        </w:tc>
        <w:tc>
          <w:tcPr>
            <w:tcW w:w="3554" w:type="dxa"/>
          </w:tcPr>
          <w:p>
            <w:pPr>
              <w:pStyle w:val="Compact"/>
              <w:jc w:val="left"/>
              <w:spacing w:before="20" w:after="20" w:line="220" w:lineRule="auto"/>
            </w:pPr>
            <w:r>
              <w:rPr>
                <w:sz w:val="15"/>
                <w:szCs w:val="15"/>
              </w:rPr>
              <w:t xml:space="preserve">https://www.etiqa.com/?jet_download=9627f52dfaed2166b1e15bda369f84c66097ca14</w:t>
            </w:r>
          </w:p>
        </w:tc>
      </w:tr>
      <w:tr>
        <w:tc>
          <w:tcPr>
            <w:tcW w:w="1550" w:type="dxa"/>
          </w:tcPr>
          <w:p>
            <w:pPr>
              <w:pStyle w:val="Compact"/>
              <w:jc w:val="left"/>
              <w:spacing w:before="20" w:after="20" w:line="220" w:lineRule="auto"/>
            </w:pPr>
            <w:r>
              <w:rPr>
                <w:sz w:val="15"/>
                <w:szCs w:val="15"/>
              </w:rPr>
              <w:t xml:space="preserve">EM:S27</w:t>
            </w:r>
          </w:p>
        </w:tc>
        <w:tc>
          <w:tcPr>
            <w:tcW w:w="2001" w:type="dxa"/>
          </w:tcPr>
          <w:p>
            <w:pPr>
              <w:pStyle w:val="Compact"/>
              <w:jc w:val="left"/>
              <w:spacing w:before="20" w:after="20" w:line="220" w:lineRule="auto"/>
            </w:pPr>
            <w:r>
              <w:rPr>
                <w:sz w:val="15"/>
                <w:szCs w:val="15"/>
              </w:rPr>
              <w:t xml:space="preserve">Etiqa General Insurance Berhad</w:t>
            </w:r>
          </w:p>
        </w:tc>
        <w:tc>
          <w:tcPr>
            <w:tcW w:w="3554" w:type="dxa"/>
          </w:tcPr>
          <w:p>
            <w:pPr>
              <w:pStyle w:val="Compact"/>
              <w:jc w:val="left"/>
              <w:spacing w:before="20" w:after="20" w:line="220" w:lineRule="auto"/>
            </w:pPr>
            <w:r>
              <w:rPr>
                <w:sz w:val="15"/>
                <w:szCs w:val="15"/>
              </w:rPr>
              <w:t xml:space="preserve">Financial statements for the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103; 103-105; 104; 32</w:t>
            </w:r>
          </w:p>
        </w:tc>
        <w:tc>
          <w:tcPr>
            <w:tcW w:w="3554" w:type="dxa"/>
          </w:tcPr>
          <w:p>
            <w:pPr>
              <w:pStyle w:val="Compact"/>
              <w:jc w:val="left"/>
              <w:spacing w:before="20" w:after="20" w:line="220" w:lineRule="auto"/>
            </w:pPr>
            <w:r>
              <w:rPr>
                <w:sz w:val="15"/>
                <w:szCs w:val="15"/>
              </w:rPr>
              <w:t xml:space="preserve">https://www.etiqa.com/?jet_download=0158aa9ad9cb924db1581dabbe77d789371963c5</w:t>
            </w:r>
          </w:p>
        </w:tc>
      </w:tr>
      <w:tr>
        <w:tc>
          <w:tcPr>
            <w:tcW w:w="1550" w:type="dxa"/>
          </w:tcPr>
          <w:p>
            <w:pPr>
              <w:pStyle w:val="Compact"/>
              <w:jc w:val="left"/>
              <w:spacing w:before="20" w:after="20" w:line="220" w:lineRule="auto"/>
            </w:pPr>
            <w:r>
              <w:rPr>
                <w:sz w:val="15"/>
                <w:szCs w:val="15"/>
              </w:rPr>
              <w:t xml:space="preserve">EM:S28</w:t>
            </w:r>
          </w:p>
        </w:tc>
        <w:tc>
          <w:tcPr>
            <w:tcW w:w="2001" w:type="dxa"/>
          </w:tcPr>
          <w:p>
            <w:pPr>
              <w:pStyle w:val="Compact"/>
              <w:jc w:val="left"/>
              <w:spacing w:before="20" w:after="20" w:line="220" w:lineRule="auto"/>
            </w:pPr>
            <w:r>
              <w:rPr>
                <w:sz w:val="15"/>
                <w:szCs w:val="15"/>
              </w:rPr>
              <w:t xml:space="preserve">Etiqa Life Insurance Berhad</w:t>
            </w:r>
          </w:p>
        </w:tc>
        <w:tc>
          <w:tcPr>
            <w:tcW w:w="3554" w:type="dxa"/>
          </w:tcPr>
          <w:p>
            <w:pPr>
              <w:pStyle w:val="Compact"/>
              <w:jc w:val="left"/>
              <w:spacing w:before="20" w:after="20" w:line="220" w:lineRule="auto"/>
            </w:pPr>
            <w:r>
              <w:rPr>
                <w:sz w:val="15"/>
                <w:szCs w:val="15"/>
              </w:rPr>
              <w:t xml:space="preserve">Financial statements for the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140-142; 141; 32</w:t>
            </w:r>
          </w:p>
        </w:tc>
        <w:tc>
          <w:tcPr>
            <w:tcW w:w="3554" w:type="dxa"/>
          </w:tcPr>
          <w:p>
            <w:pPr>
              <w:pStyle w:val="Compact"/>
              <w:jc w:val="left"/>
              <w:spacing w:before="20" w:after="20" w:line="220" w:lineRule="auto"/>
            </w:pPr>
            <w:r>
              <w:rPr>
                <w:sz w:val="15"/>
                <w:szCs w:val="15"/>
              </w:rPr>
              <w:t xml:space="preserve">https://www.etiqa.com/?jet_download=0047527c62fecf3ac9f6665475722f4fef656fc1</w:t>
            </w:r>
          </w:p>
        </w:tc>
      </w:tr>
      <w:tr>
        <w:tc>
          <w:tcPr>
            <w:tcW w:w="1550" w:type="dxa"/>
          </w:tcPr>
          <w:p>
            <w:pPr>
              <w:pStyle w:val="Compact"/>
              <w:jc w:val="left"/>
              <w:spacing w:before="20" w:after="20" w:line="220" w:lineRule="auto"/>
            </w:pPr>
            <w:r>
              <w:rPr>
                <w:sz w:val="15"/>
                <w:szCs w:val="15"/>
              </w:rPr>
              <w:t xml:space="preserve">EM:S29</w:t>
            </w:r>
          </w:p>
        </w:tc>
        <w:tc>
          <w:tcPr>
            <w:tcW w:w="2001" w:type="dxa"/>
          </w:tcPr>
          <w:p>
            <w:pPr>
              <w:pStyle w:val="Compact"/>
              <w:jc w:val="left"/>
              <w:spacing w:before="20" w:after="20" w:line="220" w:lineRule="auto"/>
            </w:pPr>
            <w:r>
              <w:rPr>
                <w:sz w:val="15"/>
                <w:szCs w:val="15"/>
              </w:rPr>
              <w:t xml:space="preserve">Etiqa Family Takaful Berhad</w:t>
            </w:r>
          </w:p>
        </w:tc>
        <w:tc>
          <w:tcPr>
            <w:tcW w:w="3554" w:type="dxa"/>
          </w:tcPr>
          <w:p>
            <w:pPr>
              <w:pStyle w:val="Compact"/>
              <w:jc w:val="left"/>
              <w:spacing w:before="20" w:after="20" w:line="220" w:lineRule="auto"/>
            </w:pPr>
            <w:r>
              <w:rPr>
                <w:sz w:val="15"/>
                <w:szCs w:val="15"/>
              </w:rPr>
              <w:t xml:space="preserve">Financial statements for the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150-152; 35</w:t>
            </w:r>
          </w:p>
        </w:tc>
        <w:tc>
          <w:tcPr>
            <w:tcW w:w="3554" w:type="dxa"/>
          </w:tcPr>
          <w:p>
            <w:pPr>
              <w:pStyle w:val="Compact"/>
              <w:jc w:val="left"/>
              <w:spacing w:before="20" w:after="20" w:line="220" w:lineRule="auto"/>
            </w:pPr>
            <w:r>
              <w:rPr>
                <w:sz w:val="15"/>
                <w:szCs w:val="15"/>
              </w:rPr>
              <w:t xml:space="preserve">https://www.etiqa.com/?jet_download=90bc5479e6b89c617408b6c19df642680abd547c</w:t>
            </w:r>
          </w:p>
        </w:tc>
      </w:tr>
      <w:tr>
        <w:tc>
          <w:tcPr>
            <w:tcW w:w="1550" w:type="dxa"/>
          </w:tcPr>
          <w:p>
            <w:pPr>
              <w:pStyle w:val="Compact"/>
              <w:jc w:val="left"/>
              <w:spacing w:before="20" w:after="20" w:line="220" w:lineRule="auto"/>
            </w:pPr>
            <w:r>
              <w:rPr>
                <w:sz w:val="15"/>
                <w:szCs w:val="15"/>
              </w:rPr>
              <w:t xml:space="preserve">EM:S30</w:t>
            </w:r>
          </w:p>
        </w:tc>
        <w:tc>
          <w:tcPr>
            <w:tcW w:w="2001" w:type="dxa"/>
          </w:tcPr>
          <w:p>
            <w:pPr>
              <w:pStyle w:val="Compact"/>
              <w:jc w:val="left"/>
              <w:spacing w:before="20" w:after="20" w:line="220" w:lineRule="auto"/>
            </w:pPr>
            <w:r>
              <w:rPr>
                <w:sz w:val="15"/>
                <w:szCs w:val="15"/>
              </w:rPr>
              <w:t xml:space="preserve">Etiqa General Takaful Berhad</w:t>
            </w:r>
          </w:p>
        </w:tc>
        <w:tc>
          <w:tcPr>
            <w:tcW w:w="3554" w:type="dxa"/>
          </w:tcPr>
          <w:p>
            <w:pPr>
              <w:pStyle w:val="Compact"/>
              <w:jc w:val="left"/>
              <w:spacing w:before="20" w:after="20" w:line="220" w:lineRule="auto"/>
            </w:pPr>
            <w:r>
              <w:rPr>
                <w:sz w:val="15"/>
                <w:szCs w:val="15"/>
              </w:rPr>
              <w:t xml:space="preserve">Financial statements for the year ended 31 December 2025</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115; 115-116; 39</w:t>
            </w:r>
          </w:p>
        </w:tc>
        <w:tc>
          <w:tcPr>
            <w:tcW w:w="3554" w:type="dxa"/>
          </w:tcPr>
          <w:p>
            <w:pPr>
              <w:pStyle w:val="Compact"/>
              <w:jc w:val="left"/>
              <w:spacing w:before="20" w:after="20" w:line="220" w:lineRule="auto"/>
            </w:pPr>
            <w:r>
              <w:rPr>
                <w:sz w:val="15"/>
                <w:szCs w:val="15"/>
              </w:rPr>
              <w:t xml:space="preserve">https://www.etiqa.com/?jet_download=0b0a8f9f950dc83a59b0540e090561f61e0e3d16</w:t>
            </w:r>
          </w:p>
        </w:tc>
      </w:tr>
      <w:tr>
        <w:tc>
          <w:tcPr>
            <w:tcW w:w="1550" w:type="dxa"/>
          </w:tcPr>
          <w:p>
            <w:pPr>
              <w:pStyle w:val="Compact"/>
              <w:jc w:val="left"/>
              <w:spacing w:before="20" w:after="20" w:line="220" w:lineRule="auto"/>
            </w:pPr>
            <w:r>
              <w:rPr>
                <w:sz w:val="15"/>
                <w:szCs w:val="15"/>
              </w:rPr>
              <w:t xml:space="preserve">EM:S31</w:t>
            </w:r>
          </w:p>
        </w:tc>
        <w:tc>
          <w:tcPr>
            <w:tcW w:w="2001" w:type="dxa"/>
          </w:tcPr>
          <w:p>
            <w:pPr>
              <w:pStyle w:val="Compact"/>
              <w:jc w:val="left"/>
              <w:spacing w:before="20" w:after="20" w:line="220" w:lineRule="auto"/>
            </w:pPr>
            <w:r>
              <w:rPr>
                <w:sz w:val="15"/>
                <w:szCs w:val="15"/>
              </w:rPr>
              <w:t xml:space="preserve">Etiqa General Insurance Berhad</w:t>
            </w:r>
          </w:p>
        </w:tc>
        <w:tc>
          <w:tcPr>
            <w:tcW w:w="3554" w:type="dxa"/>
          </w:tcPr>
          <w:p>
            <w:pPr>
              <w:pStyle w:val="Compact"/>
              <w:jc w:val="left"/>
              <w:spacing w:before="20" w:after="20" w:line="220" w:lineRule="auto"/>
            </w:pPr>
            <w:r>
              <w:rPr>
                <w:sz w:val="15"/>
                <w:szCs w:val="15"/>
              </w:rPr>
              <w:t xml:space="preserve">Unaudited interim financial statements, six months ended 30 June 2026</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4</w:t>
            </w:r>
          </w:p>
        </w:tc>
        <w:tc>
          <w:tcPr>
            <w:tcW w:w="3554" w:type="dxa"/>
          </w:tcPr>
          <w:p>
            <w:pPr>
              <w:pStyle w:val="Compact"/>
              <w:jc w:val="left"/>
              <w:spacing w:before="20" w:after="20" w:line="220" w:lineRule="auto"/>
            </w:pPr>
            <w:r>
              <w:rPr>
                <w:sz w:val="15"/>
                <w:szCs w:val="15"/>
              </w:rPr>
              <w:t xml:space="preserve">https://www.etiqa.com/?jet_download=abfb83cc12f5dd805994cee8d529da0823fe63b9</w:t>
            </w:r>
          </w:p>
        </w:tc>
      </w:tr>
      <w:tr>
        <w:tc>
          <w:tcPr>
            <w:tcW w:w="1550" w:type="dxa"/>
          </w:tcPr>
          <w:p>
            <w:pPr>
              <w:pStyle w:val="Compact"/>
              <w:jc w:val="left"/>
              <w:spacing w:before="20" w:after="20" w:line="220" w:lineRule="auto"/>
            </w:pPr>
            <w:r>
              <w:rPr>
                <w:sz w:val="15"/>
                <w:szCs w:val="15"/>
              </w:rPr>
              <w:t xml:space="preserve">EM:S32</w:t>
            </w:r>
          </w:p>
        </w:tc>
        <w:tc>
          <w:tcPr>
            <w:tcW w:w="2001" w:type="dxa"/>
          </w:tcPr>
          <w:p>
            <w:pPr>
              <w:pStyle w:val="Compact"/>
              <w:jc w:val="left"/>
              <w:spacing w:before="20" w:after="20" w:line="220" w:lineRule="auto"/>
            </w:pPr>
            <w:r>
              <w:rPr>
                <w:sz w:val="15"/>
                <w:szCs w:val="15"/>
              </w:rPr>
              <w:t xml:space="preserve">Etiqa Life Insurance Berhad</w:t>
            </w:r>
          </w:p>
        </w:tc>
        <w:tc>
          <w:tcPr>
            <w:tcW w:w="3554" w:type="dxa"/>
          </w:tcPr>
          <w:p>
            <w:pPr>
              <w:pStyle w:val="Compact"/>
              <w:jc w:val="left"/>
              <w:spacing w:before="20" w:after="20" w:line="220" w:lineRule="auto"/>
            </w:pPr>
            <w:r>
              <w:rPr>
                <w:sz w:val="15"/>
                <w:szCs w:val="15"/>
              </w:rPr>
              <w:t xml:space="preserve">Unaudited interim financial statements, six months ended 30 June 2026</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4</w:t>
            </w:r>
          </w:p>
        </w:tc>
        <w:tc>
          <w:tcPr>
            <w:tcW w:w="3554" w:type="dxa"/>
          </w:tcPr>
          <w:p>
            <w:pPr>
              <w:pStyle w:val="Compact"/>
              <w:jc w:val="left"/>
              <w:spacing w:before="20" w:after="20" w:line="220" w:lineRule="auto"/>
            </w:pPr>
            <w:r>
              <w:rPr>
                <w:sz w:val="15"/>
                <w:szCs w:val="15"/>
              </w:rPr>
              <w:t xml:space="preserve">https://www.etiqa.com/?jet_download=318cafc6f50ed6ba3e16866a8d1b21b7cf5f2994</w:t>
            </w:r>
          </w:p>
        </w:tc>
      </w:tr>
      <w:tr>
        <w:tc>
          <w:tcPr>
            <w:tcW w:w="1550" w:type="dxa"/>
          </w:tcPr>
          <w:p>
            <w:pPr>
              <w:pStyle w:val="Compact"/>
              <w:jc w:val="left"/>
              <w:spacing w:before="20" w:after="20" w:line="220" w:lineRule="auto"/>
            </w:pPr>
            <w:r>
              <w:rPr>
                <w:sz w:val="15"/>
                <w:szCs w:val="15"/>
              </w:rPr>
              <w:t xml:space="preserve">EM:S33</w:t>
            </w:r>
          </w:p>
        </w:tc>
        <w:tc>
          <w:tcPr>
            <w:tcW w:w="2001" w:type="dxa"/>
          </w:tcPr>
          <w:p>
            <w:pPr>
              <w:pStyle w:val="Compact"/>
              <w:jc w:val="left"/>
              <w:spacing w:before="20" w:after="20" w:line="220" w:lineRule="auto"/>
            </w:pPr>
            <w:r>
              <w:rPr>
                <w:sz w:val="15"/>
                <w:szCs w:val="15"/>
              </w:rPr>
              <w:t xml:space="preserve">Etiqa Family Takaful Berhad</w:t>
            </w:r>
          </w:p>
        </w:tc>
        <w:tc>
          <w:tcPr>
            <w:tcW w:w="3554" w:type="dxa"/>
          </w:tcPr>
          <w:p>
            <w:pPr>
              <w:pStyle w:val="Compact"/>
              <w:jc w:val="left"/>
              <w:spacing w:before="20" w:after="20" w:line="220" w:lineRule="auto"/>
            </w:pPr>
            <w:r>
              <w:rPr>
                <w:sz w:val="15"/>
                <w:szCs w:val="15"/>
              </w:rPr>
              <w:t xml:space="preserve">Unaudited interim financial statements, six months ended 30 June 2026</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4</w:t>
            </w:r>
          </w:p>
        </w:tc>
        <w:tc>
          <w:tcPr>
            <w:tcW w:w="3554" w:type="dxa"/>
          </w:tcPr>
          <w:p>
            <w:pPr>
              <w:pStyle w:val="Compact"/>
              <w:jc w:val="left"/>
              <w:spacing w:before="20" w:after="20" w:line="220" w:lineRule="auto"/>
            </w:pPr>
            <w:r>
              <w:rPr>
                <w:sz w:val="15"/>
                <w:szCs w:val="15"/>
              </w:rPr>
              <w:t xml:space="preserve">https://www.etiqa.com/?jet_download=5d3207d32f7e97a6359b419132392f8bf484b4f3</w:t>
            </w:r>
          </w:p>
        </w:tc>
      </w:tr>
      <w:tr>
        <w:tc>
          <w:tcPr>
            <w:tcW w:w="1550" w:type="dxa"/>
          </w:tcPr>
          <w:p>
            <w:pPr>
              <w:pStyle w:val="Compact"/>
              <w:jc w:val="left"/>
              <w:spacing w:before="20" w:after="20" w:line="220" w:lineRule="auto"/>
            </w:pPr>
            <w:r>
              <w:rPr>
                <w:sz w:val="15"/>
                <w:szCs w:val="15"/>
              </w:rPr>
              <w:t xml:space="preserve">EM:S34</w:t>
            </w:r>
          </w:p>
        </w:tc>
        <w:tc>
          <w:tcPr>
            <w:tcW w:w="2001" w:type="dxa"/>
          </w:tcPr>
          <w:p>
            <w:pPr>
              <w:pStyle w:val="Compact"/>
              <w:jc w:val="left"/>
              <w:spacing w:before="20" w:after="20" w:line="220" w:lineRule="auto"/>
            </w:pPr>
            <w:r>
              <w:rPr>
                <w:sz w:val="15"/>
                <w:szCs w:val="15"/>
              </w:rPr>
              <w:t xml:space="preserve">Etiqa General Takaful Berhad</w:t>
            </w:r>
          </w:p>
        </w:tc>
        <w:tc>
          <w:tcPr>
            <w:tcW w:w="3554" w:type="dxa"/>
          </w:tcPr>
          <w:p>
            <w:pPr>
              <w:pStyle w:val="Compact"/>
              <w:jc w:val="left"/>
              <w:spacing w:before="20" w:after="20" w:line="220" w:lineRule="auto"/>
            </w:pPr>
            <w:r>
              <w:rPr>
                <w:sz w:val="15"/>
                <w:szCs w:val="15"/>
              </w:rPr>
              <w:t xml:space="preserve">Unaudited interim financial statements, six months ended 30 June 2026</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4</w:t>
            </w:r>
          </w:p>
        </w:tc>
        <w:tc>
          <w:tcPr>
            <w:tcW w:w="3554" w:type="dxa"/>
          </w:tcPr>
          <w:p>
            <w:pPr>
              <w:pStyle w:val="Compact"/>
              <w:jc w:val="left"/>
              <w:spacing w:before="20" w:after="20" w:line="220" w:lineRule="auto"/>
            </w:pPr>
            <w:r>
              <w:rPr>
                <w:sz w:val="15"/>
                <w:szCs w:val="15"/>
              </w:rPr>
              <w:t xml:space="preserve">https://www.etiqa.com/?jet_download=3770d0b5a6275f8f06971b8f5b908e54eed2ae9e</w:t>
            </w:r>
          </w:p>
        </w:tc>
      </w:tr>
      <w:tr>
        <w:tc>
          <w:tcPr>
            <w:tcW w:w="1550" w:type="dxa"/>
          </w:tcPr>
          <w:p>
            <w:pPr>
              <w:pStyle w:val="Compact"/>
              <w:jc w:val="left"/>
              <w:spacing w:before="20" w:after="20" w:line="220" w:lineRule="auto"/>
            </w:pPr>
            <w:r>
              <w:rPr>
                <w:sz w:val="15"/>
                <w:szCs w:val="15"/>
              </w:rPr>
              <w:t xml:space="preserve">EM:S35</w:t>
            </w:r>
          </w:p>
        </w:tc>
        <w:tc>
          <w:tcPr>
            <w:tcW w:w="2001" w:type="dxa"/>
          </w:tcPr>
          <w:p>
            <w:pPr>
              <w:pStyle w:val="Compact"/>
              <w:jc w:val="left"/>
              <w:spacing w:before="20" w:after="20" w:line="220" w:lineRule="auto"/>
            </w:pPr>
            <w:r>
              <w:rPr>
                <w:sz w:val="15"/>
                <w:szCs w:val="15"/>
              </w:rPr>
              <w:t xml:space="preserve">Malayan Banking Berhad (mirror copy host</w:t>
            </w:r>
          </w:p>
        </w:tc>
        <w:tc>
          <w:tcPr>
            <w:tcW w:w="3554" w:type="dxa"/>
          </w:tcPr>
          <w:p>
            <w:pPr>
              <w:pStyle w:val="Compact"/>
              <w:jc w:val="left"/>
              <w:spacing w:before="20" w:after="20" w:line="220" w:lineRule="auto"/>
            </w:pPr>
            <w:r>
              <w:rPr>
                <w:sz w:val="15"/>
                <w:szCs w:val="15"/>
              </w:rPr>
              <w:t xml:space="preserve">Investor presentation, financial results first half FY2026 (copy of Maybank analyst deck)</w:t>
            </w:r>
          </w:p>
        </w:tc>
        <w:tc>
          <w:tcPr>
            <w:tcW w:w="1636" w:type="dxa"/>
          </w:tcPr>
          <w:p>
            <w:pPr>
              <w:pStyle w:val="Compact"/>
              <w:jc w:val="left"/>
              <w:spacing w:before="20" w:after="20" w:line="220" w:lineRule="auto"/>
            </w:pPr>
            <w:r>
              <w:rPr>
                <w:sz w:val="15"/>
                <w:szCs w:val="15"/>
              </w:rPr>
              <w:t xml:space="preserve">1H2026</w:t>
            </w:r>
          </w:p>
        </w:tc>
        <w:tc>
          <w:tcPr>
            <w:tcW w:w="2273" w:type="dxa"/>
          </w:tcPr>
          <w:p>
            <w:pPr>
              <w:pStyle w:val="Compact"/>
              <w:jc w:val="left"/>
              <w:spacing w:before="20" w:after="20" w:line="220" w:lineRule="auto"/>
            </w:pPr>
            <w:r>
              <w:rPr>
                <w:sz w:val="15"/>
                <w:szCs w:val="15"/>
              </w:rPr>
              <w:t xml:space="preserve">35</w:t>
            </w:r>
          </w:p>
        </w:tc>
        <w:tc>
          <w:tcPr>
            <w:tcW w:w="3554" w:type="dxa"/>
          </w:tcPr>
          <w:p>
            <w:pPr>
              <w:pStyle w:val="Compact"/>
              <w:jc w:val="left"/>
              <w:spacing w:before="20" w:after="20" w:line="220" w:lineRule="auto"/>
            </w:pPr>
            <w:r>
              <w:rPr>
                <w:sz w:val="15"/>
                <w:szCs w:val="15"/>
              </w:rPr>
              <w:t xml:space="preserve">https://www.malaysianwireless.com/wp-content/uploads/2026/08/Maybank-group-analyst-presentation-fy2026-2q.pdf</w:t>
            </w:r>
          </w:p>
        </w:tc>
      </w:tr>
      <w:tr>
        <w:tc>
          <w:tcPr>
            <w:tcW w:w="1550" w:type="dxa"/>
          </w:tcPr>
          <w:p>
            <w:pPr>
              <w:pStyle w:val="Compact"/>
              <w:jc w:val="left"/>
              <w:spacing w:before="20" w:after="20" w:line="220" w:lineRule="auto"/>
            </w:pPr>
            <w:r>
              <w:rPr>
                <w:sz w:val="15"/>
                <w:szCs w:val="15"/>
              </w:rPr>
              <w:t xml:space="preserve">PR:S01</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Reviewed preliminary annual results 2018, SENS announcement (11 Mar 2019)</w:t>
            </w:r>
          </w:p>
        </w:tc>
        <w:tc>
          <w:tcPr>
            <w:tcW w:w="1636" w:type="dxa"/>
          </w:tcPr>
          <w:p>
            <w:pPr>
              <w:pStyle w:val="Compact"/>
              <w:jc w:val="left"/>
              <w:spacing w:before="20" w:after="20" w:line="220" w:lineRule="auto"/>
            </w:pPr>
            <w:r>
              <w:rPr>
                <w:sz w:val="15"/>
                <w:szCs w:val="15"/>
              </w:rPr>
              <w:t xml:space="preserve">FY2018</w:t>
            </w:r>
          </w:p>
        </w:tc>
        <w:tc>
          <w:tcPr>
            <w:tcW w:w="2273" w:type="dxa"/>
          </w:tcPr>
          <w:p>
            <w:pPr>
              <w:pStyle w:val="Compact"/>
              <w:jc w:val="left"/>
              <w:spacing w:before="20" w:after="20" w:line="220" w:lineRule="auto"/>
            </w:pPr>
            <w:r>
              <w:rPr>
                <w:sz w:val="15"/>
                <w:szCs w:val="15"/>
              </w:rPr>
              <w:t xml:space="preserve">3,7,8,20,41,65</w:t>
            </w:r>
          </w:p>
        </w:tc>
        <w:tc>
          <w:tcPr>
            <w:tcW w:w="3554" w:type="dxa"/>
          </w:tcPr>
          <w:p>
            <w:pPr>
              <w:pStyle w:val="Compact"/>
              <w:jc w:val="left"/>
              <w:spacing w:before="20" w:after="20" w:line="220" w:lineRule="auto"/>
            </w:pPr>
            <w:r>
              <w:rPr>
                <w:sz w:val="15"/>
                <w:szCs w:val="15"/>
              </w:rPr>
              <w:t xml:space="preserve">https://www.oldmutual.com/om-docs/blt94385d0dc50b6d06/oml-reviewed-preliminary-annual-results-2018—sens-anno</w:t>
            </w:r>
          </w:p>
        </w:tc>
      </w:tr>
      <w:tr>
        <w:tc>
          <w:tcPr>
            <w:tcW w:w="1550" w:type="dxa"/>
          </w:tcPr>
          <w:p>
            <w:pPr>
              <w:pStyle w:val="Compact"/>
              <w:jc w:val="left"/>
              <w:spacing w:before="20" w:after="20" w:line="220" w:lineRule="auto"/>
            </w:pPr>
            <w:r>
              <w:rPr>
                <w:sz w:val="15"/>
                <w:szCs w:val="15"/>
              </w:rPr>
              <w:t xml:space="preserve">PR:S02</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Interim results announcement H1 2018 (31 Aug 2018)</w:t>
            </w:r>
          </w:p>
        </w:tc>
        <w:tc>
          <w:tcPr>
            <w:tcW w:w="1636" w:type="dxa"/>
          </w:tcPr>
          <w:p>
            <w:pPr>
              <w:pStyle w:val="Compact"/>
              <w:jc w:val="left"/>
              <w:spacing w:before="20" w:after="20" w:line="220" w:lineRule="auto"/>
            </w:pPr>
            <w:r>
              <w:rPr>
                <w:sz w:val="15"/>
                <w:szCs w:val="15"/>
              </w:rPr>
              <w:t xml:space="preserve">H1 2018</w:t>
            </w:r>
          </w:p>
        </w:tc>
        <w:tc>
          <w:tcPr>
            <w:tcW w:w="2273" w:type="dxa"/>
          </w:tcPr>
          <w:p>
            <w:pPr>
              <w:pStyle w:val="Compact"/>
              <w:jc w:val="left"/>
              <w:spacing w:before="20" w:after="20" w:line="220" w:lineRule="auto"/>
            </w:pPr>
            <w:r>
              <w:rPr>
                <w:sz w:val="15"/>
                <w:szCs w:val="15"/>
              </w:rPr>
              <w:t xml:space="preserve">3,20,26</w:t>
            </w:r>
          </w:p>
        </w:tc>
        <w:tc>
          <w:tcPr>
            <w:tcW w:w="3554" w:type="dxa"/>
          </w:tcPr>
          <w:p>
            <w:pPr>
              <w:pStyle w:val="Compact"/>
              <w:jc w:val="left"/>
              <w:spacing w:before="20" w:after="20" w:line="220" w:lineRule="auto"/>
            </w:pPr>
            <w:r>
              <w:rPr>
                <w:sz w:val="15"/>
                <w:szCs w:val="15"/>
              </w:rPr>
              <w:t xml:space="preserve">https://www.oldmutual.com/om-docs/bltb6fbdebdc568bc50/2018-08-31-interim-results-announcement.pdf</w:t>
            </w:r>
          </w:p>
        </w:tc>
      </w:tr>
      <w:tr>
        <w:tc>
          <w:tcPr>
            <w:tcW w:w="1550" w:type="dxa"/>
          </w:tcPr>
          <w:p>
            <w:pPr>
              <w:pStyle w:val="Compact"/>
              <w:jc w:val="left"/>
              <w:spacing w:before="20" w:after="20" w:line="220" w:lineRule="auto"/>
            </w:pPr>
            <w:r>
              <w:rPr>
                <w:sz w:val="15"/>
                <w:szCs w:val="15"/>
              </w:rPr>
              <w:t xml:space="preserve">PR:S03</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2019 annual results presentation (Mar 2020)</w:t>
            </w:r>
          </w:p>
        </w:tc>
        <w:tc>
          <w:tcPr>
            <w:tcW w:w="1636" w:type="dxa"/>
          </w:tcPr>
          <w:p>
            <w:pPr>
              <w:pStyle w:val="Compact"/>
              <w:jc w:val="left"/>
              <w:spacing w:before="20" w:after="20" w:line="220" w:lineRule="auto"/>
            </w:pPr>
            <w:r>
              <w:rPr>
                <w:sz w:val="15"/>
                <w:szCs w:val="15"/>
              </w:rPr>
              <w:t xml:space="preserve">FY2019</w:t>
            </w:r>
          </w:p>
        </w:tc>
        <w:tc>
          <w:tcPr>
            <w:tcW w:w="2273" w:type="dxa"/>
          </w:tcPr>
          <w:p>
            <w:pPr>
              <w:pStyle w:val="Compact"/>
              <w:jc w:val="left"/>
              <w:spacing w:before="20" w:after="20" w:line="220" w:lineRule="auto"/>
            </w:pPr>
            <w:r>
              <w:rPr>
                <w:sz w:val="15"/>
                <w:szCs w:val="15"/>
              </w:rPr>
              <w:t xml:space="preserve">3,18,26</w:t>
            </w:r>
          </w:p>
        </w:tc>
        <w:tc>
          <w:tcPr>
            <w:tcW w:w="3554" w:type="dxa"/>
          </w:tcPr>
          <w:p>
            <w:pPr>
              <w:pStyle w:val="Compact"/>
              <w:jc w:val="left"/>
              <w:spacing w:before="20" w:after="20" w:line="220" w:lineRule="auto"/>
            </w:pPr>
            <w:r>
              <w:rPr>
                <w:sz w:val="15"/>
                <w:szCs w:val="15"/>
              </w:rPr>
              <w:t xml:space="preserve">https://www.oldmutual.com/om-docs/blt3300f15073d32a20/2019-annual-results-presentation.pdf</w:t>
            </w:r>
          </w:p>
        </w:tc>
      </w:tr>
      <w:tr>
        <w:tc>
          <w:tcPr>
            <w:tcW w:w="1550" w:type="dxa"/>
          </w:tcPr>
          <w:p>
            <w:pPr>
              <w:pStyle w:val="Compact"/>
              <w:jc w:val="left"/>
              <w:spacing w:before="20" w:after="20" w:line="220" w:lineRule="auto"/>
            </w:pPr>
            <w:r>
              <w:rPr>
                <w:sz w:val="15"/>
                <w:szCs w:val="15"/>
              </w:rPr>
              <w:t xml:space="preserve">PR:S04</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2019 annual results transcript</w:t>
            </w:r>
          </w:p>
        </w:tc>
        <w:tc>
          <w:tcPr>
            <w:tcW w:w="1636" w:type="dxa"/>
          </w:tcPr>
          <w:p>
            <w:pPr>
              <w:pStyle w:val="Compact"/>
              <w:jc w:val="left"/>
              <w:spacing w:before="20" w:after="20" w:line="220" w:lineRule="auto"/>
            </w:pPr>
            <w:r>
              <w:rPr>
                <w:sz w:val="15"/>
                <w:szCs w:val="15"/>
              </w:rPr>
              <w:t xml:space="preserve">FY2019</w:t>
            </w:r>
          </w:p>
        </w:tc>
        <w:tc>
          <w:tcPr>
            <w:tcW w:w="2273" w:type="dxa"/>
          </w:tcPr>
          <w:p>
            <w:pPr>
              <w:pStyle w:val="Compact"/>
              <w:jc w:val="left"/>
              <w:spacing w:before="20" w:after="20" w:line="220" w:lineRule="auto"/>
            </w:pPr>
            <w:r>
              <w:rPr>
                <w:sz w:val="15"/>
                <w:szCs w:val="15"/>
              </w:rPr>
              <w:t xml:space="preserve">1,5</w:t>
            </w:r>
          </w:p>
        </w:tc>
        <w:tc>
          <w:tcPr>
            <w:tcW w:w="3554" w:type="dxa"/>
          </w:tcPr>
          <w:p>
            <w:pPr>
              <w:pStyle w:val="Compact"/>
              <w:jc w:val="left"/>
              <w:spacing w:before="20" w:after="20" w:line="220" w:lineRule="auto"/>
            </w:pPr>
            <w:r>
              <w:rPr>
                <w:sz w:val="15"/>
                <w:szCs w:val="15"/>
              </w:rPr>
              <w:t xml:space="preserve">https://www.oldmutual.com/om-docs/blt6752dc07acf4b8c7/old-mutual-annual-results-transcript.pdf</w:t>
            </w:r>
          </w:p>
        </w:tc>
      </w:tr>
      <w:tr>
        <w:tc>
          <w:tcPr>
            <w:tcW w:w="1550" w:type="dxa"/>
          </w:tcPr>
          <w:p>
            <w:pPr>
              <w:pStyle w:val="Compact"/>
              <w:jc w:val="left"/>
              <w:spacing w:before="20" w:after="20" w:line="220" w:lineRule="auto"/>
            </w:pPr>
            <w:r>
              <w:rPr>
                <w:sz w:val="15"/>
                <w:szCs w:val="15"/>
              </w:rPr>
              <w:t xml:space="preserve">PR:S05</w:t>
            </w:r>
          </w:p>
        </w:tc>
        <w:tc>
          <w:tcPr>
            <w:tcW w:w="2001" w:type="dxa"/>
          </w:tcPr>
          <w:p>
            <w:pPr>
              <w:pStyle w:val="Compact"/>
              <w:jc w:val="left"/>
              <w:spacing w:before="20" w:after="20" w:line="220" w:lineRule="auto"/>
            </w:pPr>
            <w:r>
              <w:rPr>
                <w:sz w:val="15"/>
                <w:szCs w:val="15"/>
              </w:rPr>
              <w:t xml:space="preserve">Old Mutual plc</w:t>
            </w:r>
          </w:p>
        </w:tc>
        <w:tc>
          <w:tcPr>
            <w:tcW w:w="3554" w:type="dxa"/>
          </w:tcPr>
          <w:p>
            <w:pPr>
              <w:pStyle w:val="Compact"/>
              <w:jc w:val="left"/>
              <w:spacing w:before="20" w:after="20" w:line="220" w:lineRule="auto"/>
            </w:pPr>
            <w:r>
              <w:rPr>
                <w:sz w:val="15"/>
                <w:szCs w:val="15"/>
              </w:rPr>
              <w:t xml:space="preserve">Old Mutual Ltd showcase presentation (1 Nov 2017)</w:t>
            </w:r>
          </w:p>
        </w:tc>
        <w:tc>
          <w:tcPr>
            <w:tcW w:w="1636" w:type="dxa"/>
          </w:tcPr>
          <w:p>
            <w:pPr>
              <w:pStyle w:val="Compact"/>
              <w:jc w:val="left"/>
              <w:spacing w:before="20" w:after="20" w:line="220" w:lineRule="auto"/>
            </w:pPr>
            <w:r>
              <w:rPr>
                <w:sz w:val="15"/>
                <w:szCs w:val="15"/>
              </w:rPr>
              <w:t xml:space="preserve">2017</w:t>
            </w:r>
          </w:p>
        </w:tc>
        <w:tc>
          <w:tcPr>
            <w:tcW w:w="2273" w:type="dxa"/>
          </w:tcPr>
          <w:p>
            <w:pPr>
              <w:pStyle w:val="Compact"/>
              <w:jc w:val="left"/>
              <w:spacing w:before="20" w:after="20" w:line="220" w:lineRule="auto"/>
            </w:pPr>
            <w:r>
              <w:rPr>
                <w:sz w:val="15"/>
                <w:szCs w:val="15"/>
              </w:rPr>
              <w:t xml:space="preserve">5,11,141</w:t>
            </w:r>
          </w:p>
        </w:tc>
        <w:tc>
          <w:tcPr>
            <w:tcW w:w="3554" w:type="dxa"/>
          </w:tcPr>
          <w:p>
            <w:pPr>
              <w:pStyle w:val="Compact"/>
              <w:jc w:val="left"/>
              <w:spacing w:before="20" w:after="20" w:line="220" w:lineRule="auto"/>
            </w:pPr>
            <w:r>
              <w:rPr>
                <w:sz w:val="15"/>
                <w:szCs w:val="15"/>
              </w:rPr>
              <w:t xml:space="preserve">https://www.oldmutual.com/om-docs/blt9aa483b2ff6e198f/2017-11-01-old-mutual-ltd-showcase-presentation.pdf</w:t>
            </w:r>
          </w:p>
        </w:tc>
      </w:tr>
      <w:tr>
        <w:tc>
          <w:tcPr>
            <w:tcW w:w="1550" w:type="dxa"/>
          </w:tcPr>
          <w:p>
            <w:pPr>
              <w:pStyle w:val="Compact"/>
              <w:jc w:val="left"/>
              <w:spacing w:before="20" w:after="20" w:line="220" w:lineRule="auto"/>
            </w:pPr>
            <w:r>
              <w:rPr>
                <w:sz w:val="15"/>
                <w:szCs w:val="15"/>
              </w:rPr>
              <w:t xml:space="preserve">PR:S06</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Interim results booklet H1 2020</w:t>
            </w:r>
          </w:p>
        </w:tc>
        <w:tc>
          <w:tcPr>
            <w:tcW w:w="1636" w:type="dxa"/>
          </w:tcPr>
          <w:p>
            <w:pPr>
              <w:pStyle w:val="Compact"/>
              <w:jc w:val="left"/>
              <w:spacing w:before="20" w:after="20" w:line="220" w:lineRule="auto"/>
            </w:pPr>
            <w:r>
              <w:rPr>
                <w:sz w:val="15"/>
                <w:szCs w:val="15"/>
              </w:rPr>
              <w:t xml:space="preserve">H1 2020</w:t>
            </w:r>
          </w:p>
        </w:tc>
        <w:tc>
          <w:tcPr>
            <w:tcW w:w="2273" w:type="dxa"/>
          </w:tcPr>
          <w:p>
            <w:pPr>
              <w:pStyle w:val="Compact"/>
              <w:jc w:val="left"/>
              <w:spacing w:before="20" w:after="20" w:line="220" w:lineRule="auto"/>
            </w:pPr>
            <w:r>
              <w:rPr>
                <w:sz w:val="15"/>
                <w:szCs w:val="15"/>
              </w:rPr>
              <w:t xml:space="preserve">5,11,15</w:t>
            </w:r>
          </w:p>
        </w:tc>
        <w:tc>
          <w:tcPr>
            <w:tcW w:w="3554" w:type="dxa"/>
          </w:tcPr>
          <w:p>
            <w:pPr>
              <w:pStyle w:val="Compact"/>
              <w:jc w:val="left"/>
              <w:spacing w:before="20" w:after="20" w:line="220" w:lineRule="auto"/>
            </w:pPr>
            <w:r>
              <w:rPr>
                <w:sz w:val="15"/>
                <w:szCs w:val="15"/>
              </w:rPr>
              <w:t xml:space="preserve">https://www.oldmutual.com/om-docs/bltac7d97c6c2edf76d/Interim_booklet_double_page.pdf</w:t>
            </w:r>
          </w:p>
        </w:tc>
      </w:tr>
      <w:tr>
        <w:tc>
          <w:tcPr>
            <w:tcW w:w="1550" w:type="dxa"/>
          </w:tcPr>
          <w:p>
            <w:pPr>
              <w:pStyle w:val="Compact"/>
              <w:jc w:val="left"/>
              <w:spacing w:before="20" w:after="20" w:line="220" w:lineRule="auto"/>
            </w:pPr>
            <w:r>
              <w:rPr>
                <w:sz w:val="15"/>
                <w:szCs w:val="15"/>
              </w:rPr>
              <w:t xml:space="preserve">PR:S07</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2022 annual results presentation (14 Mar 2023)</w:t>
            </w:r>
          </w:p>
        </w:tc>
        <w:tc>
          <w:tcPr>
            <w:tcW w:w="1636" w:type="dxa"/>
          </w:tcPr>
          <w:p>
            <w:pPr>
              <w:pStyle w:val="Compact"/>
              <w:jc w:val="left"/>
              <w:spacing w:before="20" w:after="20" w:line="220" w:lineRule="auto"/>
            </w:pPr>
            <w:r>
              <w:rPr>
                <w:sz w:val="15"/>
                <w:szCs w:val="15"/>
              </w:rPr>
              <w:t xml:space="preserve">FY2022</w:t>
            </w:r>
          </w:p>
        </w:tc>
        <w:tc>
          <w:tcPr>
            <w:tcW w:w="2273" w:type="dxa"/>
          </w:tcPr>
          <w:p>
            <w:pPr>
              <w:pStyle w:val="Compact"/>
              <w:jc w:val="left"/>
              <w:spacing w:before="20" w:after="20" w:line="220" w:lineRule="auto"/>
            </w:pPr>
            <w:r>
              <w:rPr>
                <w:sz w:val="15"/>
                <w:szCs w:val="15"/>
              </w:rPr>
              <w:t xml:space="preserve">6,29</w:t>
            </w:r>
          </w:p>
        </w:tc>
        <w:tc>
          <w:tcPr>
            <w:tcW w:w="3554" w:type="dxa"/>
          </w:tcPr>
          <w:p>
            <w:pPr>
              <w:pStyle w:val="Compact"/>
              <w:jc w:val="left"/>
              <w:spacing w:before="20" w:after="20" w:line="220" w:lineRule="auto"/>
            </w:pPr>
            <w:r>
              <w:rPr>
                <w:sz w:val="15"/>
                <w:szCs w:val="15"/>
              </w:rPr>
              <w:t xml:space="preserve">https://www.oldmutual.com/v3/assets/bltdd392fd32dda3ce8/blt95a03a0bc59399dc/67850383f0d6055e769a0171/2022_Annu</w:t>
            </w:r>
          </w:p>
        </w:tc>
      </w:tr>
      <w:tr>
        <w:tc>
          <w:tcPr>
            <w:tcW w:w="1550" w:type="dxa"/>
          </w:tcPr>
          <w:p>
            <w:pPr>
              <w:pStyle w:val="Compact"/>
              <w:jc w:val="left"/>
              <w:spacing w:before="20" w:after="20" w:line="220" w:lineRule="auto"/>
            </w:pPr>
            <w:r>
              <w:rPr>
                <w:sz w:val="15"/>
                <w:szCs w:val="15"/>
              </w:rPr>
              <w:t xml:space="preserve">PR:S08</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2022 annual results media release (14 Mar 2023)</w:t>
            </w:r>
          </w:p>
        </w:tc>
        <w:tc>
          <w:tcPr>
            <w:tcW w:w="1636" w:type="dxa"/>
          </w:tcPr>
          <w:p>
            <w:pPr>
              <w:pStyle w:val="Compact"/>
              <w:jc w:val="left"/>
              <w:spacing w:before="20" w:after="20" w:line="220" w:lineRule="auto"/>
            </w:pPr>
            <w:r>
              <w:rPr>
                <w:sz w:val="15"/>
                <w:szCs w:val="15"/>
              </w:rPr>
              <w:t xml:space="preserve">FY2022</w:t>
            </w:r>
          </w:p>
        </w:tc>
        <w:tc>
          <w:tcPr>
            <w:tcW w:w="2273" w:type="dxa"/>
          </w:tcPr>
          <w:p>
            <w:pPr>
              <w:pStyle w:val="Compact"/>
              <w:jc w:val="left"/>
              <w:spacing w:before="20" w:after="20" w:line="220" w:lineRule="auto"/>
            </w:pPr>
            <w:r>
              <w:rPr>
                <w:sz w:val="15"/>
                <w:szCs w:val="15"/>
              </w:rPr>
              <w:t xml:space="preserve">2</w:t>
            </w:r>
          </w:p>
        </w:tc>
        <w:tc>
          <w:tcPr>
            <w:tcW w:w="3554" w:type="dxa"/>
          </w:tcPr>
          <w:p>
            <w:pPr>
              <w:pStyle w:val="Compact"/>
              <w:jc w:val="left"/>
              <w:spacing w:before="20" w:after="20" w:line="220" w:lineRule="auto"/>
            </w:pPr>
            <w:r>
              <w:rPr>
                <w:sz w:val="15"/>
                <w:szCs w:val="15"/>
              </w:rPr>
              <w:t xml:space="preserve">https://www.oldmutual.com/v3/assets/bltdd392fd32dda3ce8/blt0df49b48e41a1d0d/6785037a7d46530e768be4fb/media_rel</w:t>
            </w:r>
          </w:p>
        </w:tc>
      </w:tr>
      <w:tr>
        <w:tc>
          <w:tcPr>
            <w:tcW w:w="1550" w:type="dxa"/>
          </w:tcPr>
          <w:p>
            <w:pPr>
              <w:pStyle w:val="Compact"/>
              <w:jc w:val="left"/>
              <w:spacing w:before="20" w:after="20" w:line="220" w:lineRule="auto"/>
            </w:pPr>
            <w:r>
              <w:rPr>
                <w:sz w:val="15"/>
                <w:szCs w:val="15"/>
              </w:rPr>
              <w:t xml:space="preserve">PR:S09</w:t>
            </w:r>
          </w:p>
        </w:tc>
        <w:tc>
          <w:tcPr>
            <w:tcW w:w="2001" w:type="dxa"/>
          </w:tcPr>
          <w:p>
            <w:pPr>
              <w:pStyle w:val="Compact"/>
              <w:jc w:val="left"/>
              <w:spacing w:before="20" w:after="20" w:line="220" w:lineRule="auto"/>
            </w:pPr>
            <w:r>
              <w:rPr>
                <w:sz w:val="15"/>
                <w:szCs w:val="15"/>
              </w:rPr>
              <w:t xml:space="preserve">Old Mutual Limited</w:t>
            </w:r>
          </w:p>
        </w:tc>
        <w:tc>
          <w:tcPr>
            <w:tcW w:w="3554" w:type="dxa"/>
          </w:tcPr>
          <w:p>
            <w:pPr>
              <w:pStyle w:val="Compact"/>
              <w:jc w:val="left"/>
              <w:spacing w:before="20" w:after="20" w:line="220" w:lineRule="auto"/>
            </w:pPr>
            <w:r>
              <w:rPr>
                <w:sz w:val="15"/>
                <w:szCs w:val="15"/>
              </w:rPr>
              <w:t xml:space="preserve">2022 annual results transcript</w:t>
            </w:r>
          </w:p>
        </w:tc>
        <w:tc>
          <w:tcPr>
            <w:tcW w:w="1636" w:type="dxa"/>
          </w:tcPr>
          <w:p>
            <w:pPr>
              <w:pStyle w:val="Compact"/>
              <w:jc w:val="left"/>
              <w:spacing w:before="20" w:after="20" w:line="220" w:lineRule="auto"/>
            </w:pPr>
            <w:r>
              <w:rPr>
                <w:sz w:val="15"/>
                <w:szCs w:val="15"/>
              </w:rPr>
              <w:t xml:space="preserve">FY2022</w:t>
            </w:r>
          </w:p>
        </w:tc>
        <w:tc>
          <w:tcPr>
            <w:tcW w:w="2273" w:type="dxa"/>
          </w:tcPr>
          <w:p>
            <w:pPr>
              <w:pStyle w:val="Compact"/>
              <w:jc w:val="left"/>
              <w:spacing w:before="20" w:after="20" w:line="220" w:lineRule="auto"/>
            </w:pPr>
            <w:r>
              <w:rPr>
                <w:sz w:val="15"/>
                <w:szCs w:val="15"/>
              </w:rPr>
              <w:t xml:space="preserve">2</w:t>
            </w:r>
          </w:p>
        </w:tc>
        <w:tc>
          <w:tcPr>
            <w:tcW w:w="3554" w:type="dxa"/>
          </w:tcPr>
          <w:p>
            <w:pPr>
              <w:pStyle w:val="Compact"/>
              <w:jc w:val="left"/>
              <w:spacing w:before="20" w:after="20" w:line="220" w:lineRule="auto"/>
            </w:pPr>
            <w:r>
              <w:rPr>
                <w:sz w:val="15"/>
                <w:szCs w:val="15"/>
              </w:rPr>
              <w:t xml:space="preserve">https://www.oldmutual.com/v3/assets/bltdd392fd32dda3ce8/blt6f52d9250e65e7c6/67850352336ad0ac3020b1c2/Transcrip</w:t>
            </w:r>
          </w:p>
        </w:tc>
      </w:tr>
      <w:tr>
        <w:tc>
          <w:tcPr>
            <w:tcW w:w="1550" w:type="dxa"/>
          </w:tcPr>
          <w:p>
            <w:pPr>
              <w:pStyle w:val="Compact"/>
              <w:jc w:val="left"/>
              <w:spacing w:before="20" w:after="20" w:line="220" w:lineRule="auto"/>
            </w:pPr>
            <w:r>
              <w:rPr>
                <w:sz w:val="15"/>
                <w:szCs w:val="15"/>
              </w:rPr>
              <w:t xml:space="preserve">PR:S10</w:t>
            </w:r>
          </w:p>
        </w:tc>
        <w:tc>
          <w:tcPr>
            <w:tcW w:w="2001" w:type="dxa"/>
          </w:tcPr>
          <w:p>
            <w:pPr>
              <w:pStyle w:val="Compact"/>
              <w:jc w:val="left"/>
              <w:spacing w:before="20" w:after="20" w:line="220" w:lineRule="auto"/>
            </w:pPr>
            <w:r>
              <w:rPr>
                <w:sz w:val="15"/>
                <w:szCs w:val="15"/>
              </w:rPr>
              <w:t xml:space="preserve">MMI Holdings</w:t>
            </w:r>
          </w:p>
        </w:tc>
        <w:tc>
          <w:tcPr>
            <w:tcW w:w="3554" w:type="dxa"/>
          </w:tcPr>
          <w:p>
            <w:pPr>
              <w:pStyle w:val="Compact"/>
              <w:jc w:val="left"/>
              <w:spacing w:before="20" w:after="20" w:line="220" w:lineRule="auto"/>
            </w:pPr>
            <w:r>
              <w:rPr>
                <w:sz w:val="15"/>
                <w:szCs w:val="15"/>
              </w:rPr>
              <w:t xml:space="preserve">Audited group results for the year ended 30 June 2016, investor update</w:t>
            </w:r>
          </w:p>
        </w:tc>
        <w:tc>
          <w:tcPr>
            <w:tcW w:w="1636" w:type="dxa"/>
          </w:tcPr>
          <w:p>
            <w:pPr>
              <w:pStyle w:val="Compact"/>
              <w:jc w:val="left"/>
              <w:spacing w:before="20" w:after="20" w:line="220" w:lineRule="auto"/>
            </w:pPr>
            <w:r>
              <w:rPr>
                <w:sz w:val="15"/>
                <w:szCs w:val="15"/>
              </w:rPr>
              <w:t xml:space="preserve">FY2016</w:t>
            </w:r>
          </w:p>
        </w:tc>
        <w:tc>
          <w:tcPr>
            <w:tcW w:w="2273" w:type="dxa"/>
          </w:tcPr>
          <w:p>
            <w:pPr>
              <w:pStyle w:val="Compact"/>
              <w:jc w:val="left"/>
              <w:spacing w:before="20" w:after="20" w:line="220" w:lineRule="auto"/>
            </w:pPr>
            <w:r>
              <w:rPr>
                <w:sz w:val="15"/>
                <w:szCs w:val="15"/>
              </w:rPr>
              <w:t xml:space="preserve">2,8</w:t>
            </w:r>
          </w:p>
        </w:tc>
        <w:tc>
          <w:tcPr>
            <w:tcW w:w="3554" w:type="dxa"/>
          </w:tcPr>
          <w:p>
            <w:pPr>
              <w:pStyle w:val="Compact"/>
              <w:jc w:val="left"/>
              <w:spacing w:before="20" w:after="20" w:line="220" w:lineRule="auto"/>
            </w:pPr>
            <w:r>
              <w:rPr>
                <w:sz w:val="15"/>
                <w:szCs w:val="15"/>
              </w:rPr>
              <w:t xml:space="preserve">https://wwpre.momentumgroupltd.co.za/remote-assets/s3/clt_mmh_s3/static-assets/documents/investor-relations/op</w:t>
            </w:r>
          </w:p>
        </w:tc>
      </w:tr>
      <w:tr>
        <w:tc>
          <w:tcPr>
            <w:tcW w:w="1550" w:type="dxa"/>
          </w:tcPr>
          <w:p>
            <w:pPr>
              <w:pStyle w:val="Compact"/>
              <w:jc w:val="left"/>
              <w:spacing w:before="20" w:after="20" w:line="220" w:lineRule="auto"/>
            </w:pPr>
            <w:r>
              <w:rPr>
                <w:sz w:val="15"/>
                <w:szCs w:val="15"/>
              </w:rPr>
              <w:t xml:space="preserve">PR:S11</w:t>
            </w:r>
          </w:p>
        </w:tc>
        <w:tc>
          <w:tcPr>
            <w:tcW w:w="2001" w:type="dxa"/>
          </w:tcPr>
          <w:p>
            <w:pPr>
              <w:pStyle w:val="Compact"/>
              <w:jc w:val="left"/>
              <w:spacing w:before="20" w:after="20" w:line="220" w:lineRule="auto"/>
            </w:pPr>
            <w:r>
              <w:rPr>
                <w:sz w:val="15"/>
                <w:szCs w:val="15"/>
              </w:rPr>
              <w:t xml:space="preserve">MMI Holdings</w:t>
            </w:r>
          </w:p>
        </w:tc>
        <w:tc>
          <w:tcPr>
            <w:tcW w:w="3554" w:type="dxa"/>
          </w:tcPr>
          <w:p>
            <w:pPr>
              <w:pStyle w:val="Compact"/>
              <w:jc w:val="left"/>
              <w:spacing w:before="20" w:after="20" w:line="220" w:lineRule="auto"/>
            </w:pPr>
            <w:r>
              <w:rPr>
                <w:sz w:val="15"/>
                <w:szCs w:val="15"/>
              </w:rPr>
              <w:t xml:space="preserve">Media release: MMI Holdings announces year-end results to 30 June 2017 (6 Sep 2017)</w:t>
            </w:r>
          </w:p>
        </w:tc>
        <w:tc>
          <w:tcPr>
            <w:tcW w:w="1636" w:type="dxa"/>
          </w:tcPr>
          <w:p>
            <w:pPr>
              <w:pStyle w:val="Compact"/>
              <w:jc w:val="left"/>
              <w:spacing w:before="20" w:after="20" w:line="220" w:lineRule="auto"/>
            </w:pPr>
            <w:r>
              <w:rPr>
                <w:sz w:val="15"/>
                <w:szCs w:val="15"/>
              </w:rPr>
              <w:t xml:space="preserve">FY2017</w:t>
            </w:r>
          </w:p>
        </w:tc>
        <w:tc>
          <w:tcPr>
            <w:tcW w:w="2273" w:type="dxa"/>
          </w:tcPr>
          <w:p>
            <w:pPr>
              <w:pStyle w:val="Compact"/>
              <w:jc w:val="left"/>
              <w:spacing w:before="20" w:after="20" w:line="220" w:lineRule="auto"/>
            </w:pPr>
            <w:r>
              <w:rPr>
                <w:sz w:val="15"/>
                <w:szCs w:val="15"/>
              </w:rPr>
              <w:t xml:space="preserve">4</w:t>
            </w:r>
          </w:p>
        </w:tc>
        <w:tc>
          <w:tcPr>
            <w:tcW w:w="3554" w:type="dxa"/>
          </w:tcPr>
          <w:p>
            <w:pPr>
              <w:pStyle w:val="Compact"/>
              <w:jc w:val="left"/>
              <w:spacing w:before="20" w:after="20" w:line="220" w:lineRule="auto"/>
            </w:pPr>
            <w:r>
              <w:rPr>
                <w:sz w:val="15"/>
                <w:szCs w:val="15"/>
              </w:rPr>
              <w:t xml:space="preserve">https://momentumgroupltd.co.za/remote-assets/s3/clt_mmh_s3/static-assets/documents/media/2017/2017-09-06-MMI_H</w:t>
            </w:r>
          </w:p>
        </w:tc>
      </w:tr>
      <w:tr>
        <w:tc>
          <w:tcPr>
            <w:tcW w:w="1550" w:type="dxa"/>
          </w:tcPr>
          <w:p>
            <w:pPr>
              <w:pStyle w:val="Compact"/>
              <w:jc w:val="left"/>
              <w:spacing w:before="20" w:after="20" w:line="220" w:lineRule="auto"/>
            </w:pPr>
            <w:r>
              <w:rPr>
                <w:sz w:val="15"/>
                <w:szCs w:val="15"/>
              </w:rPr>
              <w:t xml:space="preserve">PR:S12</w:t>
            </w:r>
          </w:p>
        </w:tc>
        <w:tc>
          <w:tcPr>
            <w:tcW w:w="2001" w:type="dxa"/>
          </w:tcPr>
          <w:p>
            <w:pPr>
              <w:pStyle w:val="Compact"/>
              <w:jc w:val="left"/>
              <w:spacing w:before="20" w:after="20" w:line="220" w:lineRule="auto"/>
            </w:pPr>
            <w:r>
              <w:rPr>
                <w:sz w:val="15"/>
                <w:szCs w:val="15"/>
              </w:rPr>
              <w:t xml:space="preserve">Momentum Metropolitan Holdings</w:t>
            </w:r>
          </w:p>
        </w:tc>
        <w:tc>
          <w:tcPr>
            <w:tcW w:w="3554" w:type="dxa"/>
          </w:tcPr>
          <w:p>
            <w:pPr>
              <w:pStyle w:val="Compact"/>
              <w:jc w:val="left"/>
              <w:spacing w:before="20" w:after="20" w:line="220" w:lineRule="auto"/>
            </w:pPr>
            <w:r>
              <w:rPr>
                <w:sz w:val="15"/>
                <w:szCs w:val="15"/>
              </w:rPr>
              <w:t xml:space="preserve">Financial results presentation FY2019 (Sep 2019)</w:t>
            </w:r>
          </w:p>
        </w:tc>
        <w:tc>
          <w:tcPr>
            <w:tcW w:w="1636" w:type="dxa"/>
          </w:tcPr>
          <w:p>
            <w:pPr>
              <w:pStyle w:val="Compact"/>
              <w:jc w:val="left"/>
              <w:spacing w:before="20" w:after="20" w:line="220" w:lineRule="auto"/>
            </w:pPr>
            <w:r>
              <w:rPr>
                <w:sz w:val="15"/>
                <w:szCs w:val="15"/>
              </w:rPr>
              <w:t xml:space="preserve">FY2019</w:t>
            </w:r>
          </w:p>
        </w:tc>
        <w:tc>
          <w:tcPr>
            <w:tcW w:w="2273" w:type="dxa"/>
          </w:tcPr>
          <w:p>
            <w:pPr>
              <w:pStyle w:val="Compact"/>
              <w:jc w:val="left"/>
              <w:spacing w:before="20" w:after="20" w:line="220" w:lineRule="auto"/>
            </w:pPr>
            <w:r>
              <w:rPr>
                <w:sz w:val="15"/>
                <w:szCs w:val="15"/>
              </w:rPr>
              <w:t xml:space="preserve">33,34</w:t>
            </w:r>
          </w:p>
        </w:tc>
        <w:tc>
          <w:tcPr>
            <w:tcW w:w="3554" w:type="dxa"/>
          </w:tcPr>
          <w:p>
            <w:pPr>
              <w:pStyle w:val="Compact"/>
              <w:jc w:val="left"/>
              <w:spacing w:before="20" w:after="20" w:line="220" w:lineRule="auto"/>
            </w:pPr>
            <w:r>
              <w:rPr>
                <w:sz w:val="15"/>
                <w:szCs w:val="15"/>
              </w:rPr>
              <w:t xml:space="preserve">https://momentumgroupltd.co.za/remote-assets/s3/clt_mmh_s3/static-assets/documents/presentations/2019/Momentum</w:t>
            </w:r>
          </w:p>
        </w:tc>
      </w:tr>
      <w:tr>
        <w:tc>
          <w:tcPr>
            <w:tcW w:w="1550" w:type="dxa"/>
          </w:tcPr>
          <w:p>
            <w:pPr>
              <w:pStyle w:val="Compact"/>
              <w:jc w:val="left"/>
              <w:spacing w:before="20" w:after="20" w:line="220" w:lineRule="auto"/>
            </w:pPr>
            <w:r>
              <w:rPr>
                <w:sz w:val="15"/>
                <w:szCs w:val="15"/>
              </w:rPr>
              <w:t xml:space="preserve">PR:S13</w:t>
            </w:r>
          </w:p>
        </w:tc>
        <w:tc>
          <w:tcPr>
            <w:tcW w:w="2001" w:type="dxa"/>
          </w:tcPr>
          <w:p>
            <w:pPr>
              <w:pStyle w:val="Compact"/>
              <w:jc w:val="left"/>
              <w:spacing w:before="20" w:after="20" w:line="220" w:lineRule="auto"/>
            </w:pPr>
            <w:r>
              <w:rPr>
                <w:sz w:val="15"/>
                <w:szCs w:val="15"/>
              </w:rPr>
              <w:t xml:space="preserve">Momentum Metropolitan Holdings</w:t>
            </w:r>
          </w:p>
        </w:tc>
        <w:tc>
          <w:tcPr>
            <w:tcW w:w="3554" w:type="dxa"/>
          </w:tcPr>
          <w:p>
            <w:pPr>
              <w:pStyle w:val="Compact"/>
              <w:jc w:val="left"/>
              <w:spacing w:before="20" w:after="20" w:line="220" w:lineRule="auto"/>
            </w:pPr>
            <w:r>
              <w:rPr>
                <w:sz w:val="15"/>
                <w:szCs w:val="15"/>
              </w:rPr>
              <w:t xml:space="preserve">Interim results presentation 1H F2020 (Mar 2020)</w:t>
            </w:r>
          </w:p>
        </w:tc>
        <w:tc>
          <w:tcPr>
            <w:tcW w:w="1636" w:type="dxa"/>
          </w:tcPr>
          <w:p>
            <w:pPr>
              <w:pStyle w:val="Compact"/>
              <w:jc w:val="left"/>
              <w:spacing w:before="20" w:after="20" w:line="220" w:lineRule="auto"/>
            </w:pPr>
            <w:r>
              <w:rPr>
                <w:sz w:val="15"/>
                <w:szCs w:val="15"/>
              </w:rPr>
              <w:t xml:space="preserve">H1 FY2020</w:t>
            </w:r>
          </w:p>
        </w:tc>
        <w:tc>
          <w:tcPr>
            <w:tcW w:w="2273" w:type="dxa"/>
          </w:tcPr>
          <w:p>
            <w:pPr>
              <w:pStyle w:val="Compact"/>
              <w:jc w:val="left"/>
              <w:spacing w:before="20" w:after="20" w:line="220" w:lineRule="auto"/>
            </w:pPr>
            <w:r>
              <w:rPr>
                <w:sz w:val="15"/>
                <w:szCs w:val="15"/>
              </w:rPr>
              <w:t xml:space="preserve">30,31,48</w:t>
            </w:r>
          </w:p>
        </w:tc>
        <w:tc>
          <w:tcPr>
            <w:tcW w:w="3554" w:type="dxa"/>
          </w:tcPr>
          <w:p>
            <w:pPr>
              <w:pStyle w:val="Compact"/>
              <w:jc w:val="left"/>
              <w:spacing w:before="20" w:after="20" w:line="220" w:lineRule="auto"/>
            </w:pPr>
            <w:r>
              <w:rPr>
                <w:sz w:val="15"/>
                <w:szCs w:val="15"/>
              </w:rPr>
              <w:t xml:space="preserve">https://momentumgroupltd.co.za/remote-assets/s3/clt_mmh_s3/static-assets/documents/presentations/2020/Interim+</w:t>
            </w:r>
          </w:p>
        </w:tc>
      </w:tr>
      <w:tr>
        <w:tc>
          <w:tcPr>
            <w:tcW w:w="1550" w:type="dxa"/>
          </w:tcPr>
          <w:p>
            <w:pPr>
              <w:pStyle w:val="Compact"/>
              <w:jc w:val="left"/>
              <w:spacing w:before="20" w:after="20" w:line="220" w:lineRule="auto"/>
            </w:pPr>
            <w:r>
              <w:rPr>
                <w:sz w:val="15"/>
                <w:szCs w:val="15"/>
              </w:rPr>
              <w:t xml:space="preserve">PR:S14</w:t>
            </w:r>
          </w:p>
        </w:tc>
        <w:tc>
          <w:tcPr>
            <w:tcW w:w="2001" w:type="dxa"/>
          </w:tcPr>
          <w:p>
            <w:pPr>
              <w:pStyle w:val="Compact"/>
              <w:jc w:val="left"/>
              <w:spacing w:before="20" w:after="20" w:line="220" w:lineRule="auto"/>
            </w:pPr>
            <w:r>
              <w:rPr>
                <w:sz w:val="15"/>
                <w:szCs w:val="15"/>
              </w:rPr>
              <w:t xml:space="preserve">Momentum Metropolitan Holdings</w:t>
            </w:r>
          </w:p>
        </w:tc>
        <w:tc>
          <w:tcPr>
            <w:tcW w:w="3554" w:type="dxa"/>
          </w:tcPr>
          <w:p>
            <w:pPr>
              <w:pStyle w:val="Compact"/>
              <w:jc w:val="left"/>
              <w:spacing w:before="20" w:after="20" w:line="220" w:lineRule="auto"/>
            </w:pPr>
            <w:r>
              <w:rPr>
                <w:sz w:val="15"/>
                <w:szCs w:val="15"/>
              </w:rPr>
              <w:t xml:space="preserve">Investor conference deck: Capital management to shift gears (recap of Reset and Grow, c.20</w:t>
            </w:r>
          </w:p>
        </w:tc>
        <w:tc>
          <w:tcPr>
            <w:tcW w:w="1636" w:type="dxa"/>
          </w:tcPr>
          <w:p>
            <w:pPr>
              <w:pStyle w:val="Compact"/>
              <w:jc w:val="left"/>
              <w:spacing w:before="20" w:after="20" w:line="220" w:lineRule="auto"/>
            </w:pPr>
            <w:r>
              <w:rPr>
                <w:sz w:val="15"/>
                <w:szCs w:val="15"/>
              </w:rPr>
              <w:t xml:space="preserve">FY2021</w:t>
            </w:r>
          </w:p>
        </w:tc>
        <w:tc>
          <w:tcPr>
            <w:tcW w:w="2273" w:type="dxa"/>
          </w:tcPr>
          <w:p>
            <w:pPr>
              <w:pStyle w:val="Compact"/>
              <w:jc w:val="left"/>
              <w:spacing w:before="20" w:after="20" w:line="220" w:lineRule="auto"/>
            </w:pPr>
            <w:r>
              <w:rPr>
                <w:sz w:val="15"/>
                <w:szCs w:val="15"/>
              </w:rPr>
              <w:t xml:space="preserve">4,13</w:t>
            </w:r>
          </w:p>
        </w:tc>
        <w:tc>
          <w:tcPr>
            <w:tcW w:w="3554" w:type="dxa"/>
          </w:tcPr>
          <w:p>
            <w:pPr>
              <w:pStyle w:val="Compact"/>
              <w:jc w:val="left"/>
              <w:spacing w:before="20" w:after="20" w:line="220" w:lineRule="auto"/>
            </w:pPr>
            <w:r>
              <w:rPr>
                <w:sz w:val="15"/>
                <w:szCs w:val="15"/>
              </w:rPr>
              <w:t xml:space="preserve">https://wwpre.momentumgroupltd.co.za/remote-assets/s3/clt_mmh_s3/static-assets/documents/investor-relations/in</w:t>
            </w:r>
          </w:p>
        </w:tc>
      </w:tr>
      <w:tr>
        <w:tc>
          <w:tcPr>
            <w:tcW w:w="1550" w:type="dxa"/>
          </w:tcPr>
          <w:p>
            <w:pPr>
              <w:pStyle w:val="Compact"/>
              <w:jc w:val="left"/>
              <w:spacing w:before="20" w:after="20" w:line="220" w:lineRule="auto"/>
            </w:pPr>
            <w:r>
              <w:rPr>
                <w:sz w:val="15"/>
                <w:szCs w:val="15"/>
              </w:rPr>
              <w:t xml:space="preserve">PR:S15</w:t>
            </w:r>
          </w:p>
        </w:tc>
        <w:tc>
          <w:tcPr>
            <w:tcW w:w="2001" w:type="dxa"/>
          </w:tcPr>
          <w:p>
            <w:pPr>
              <w:pStyle w:val="Compact"/>
              <w:jc w:val="left"/>
              <w:spacing w:before="20" w:after="20" w:line="220" w:lineRule="auto"/>
            </w:pPr>
            <w:r>
              <w:rPr>
                <w:sz w:val="15"/>
                <w:szCs w:val="15"/>
              </w:rPr>
              <w:t xml:space="preserve">Momentum Metropolitan Holdings</w:t>
            </w:r>
          </w:p>
        </w:tc>
        <w:tc>
          <w:tcPr>
            <w:tcW w:w="3554" w:type="dxa"/>
          </w:tcPr>
          <w:p>
            <w:pPr>
              <w:pStyle w:val="Compact"/>
              <w:jc w:val="left"/>
              <w:spacing w:before="20" w:after="20" w:line="220" w:lineRule="auto"/>
            </w:pPr>
            <w:r>
              <w:rPr>
                <w:sz w:val="15"/>
                <w:szCs w:val="15"/>
              </w:rPr>
              <w:t xml:space="preserve">Results presentation F2023 (Sep 2023)</w:t>
            </w:r>
          </w:p>
        </w:tc>
        <w:tc>
          <w:tcPr>
            <w:tcW w:w="1636" w:type="dxa"/>
          </w:tcPr>
          <w:p>
            <w:pPr>
              <w:pStyle w:val="Compact"/>
              <w:jc w:val="left"/>
              <w:spacing w:before="20" w:after="20" w:line="220" w:lineRule="auto"/>
            </w:pPr>
            <w:r>
              <w:rPr>
                <w:sz w:val="15"/>
                <w:szCs w:val="15"/>
              </w:rPr>
              <w:t xml:space="preserve">FY2023</w:t>
            </w:r>
          </w:p>
        </w:tc>
        <w:tc>
          <w:tcPr>
            <w:tcW w:w="2273" w:type="dxa"/>
          </w:tcPr>
          <w:p>
            <w:pPr>
              <w:pStyle w:val="Compact"/>
              <w:jc w:val="left"/>
              <w:spacing w:before="20" w:after="20" w:line="220" w:lineRule="auto"/>
            </w:pPr>
            <w:r>
              <w:rPr>
                <w:sz w:val="15"/>
                <w:szCs w:val="15"/>
              </w:rPr>
              <w:t xml:space="preserve">10</w:t>
            </w:r>
          </w:p>
        </w:tc>
        <w:tc>
          <w:tcPr>
            <w:tcW w:w="3554" w:type="dxa"/>
          </w:tcPr>
          <w:p>
            <w:pPr>
              <w:pStyle w:val="Compact"/>
              <w:jc w:val="left"/>
              <w:spacing w:before="20" w:after="20" w:line="220" w:lineRule="auto"/>
            </w:pPr>
            <w:r>
              <w:rPr>
                <w:sz w:val="15"/>
                <w:szCs w:val="15"/>
              </w:rPr>
              <w:t xml:space="preserve">https://wwtst.momentumgroupltd.co.za/remote-assets/s3/clt_mmh_s3/docs/annual-res-23/results-presentation-f2023</w:t>
            </w:r>
          </w:p>
        </w:tc>
      </w:tr>
      <w:tr>
        <w:tc>
          <w:tcPr>
            <w:tcW w:w="1550" w:type="dxa"/>
          </w:tcPr>
          <w:p>
            <w:pPr>
              <w:pStyle w:val="Compact"/>
              <w:jc w:val="left"/>
              <w:spacing w:before="20" w:after="20" w:line="220" w:lineRule="auto"/>
            </w:pPr>
            <w:r>
              <w:rPr>
                <w:sz w:val="15"/>
                <w:szCs w:val="15"/>
              </w:rPr>
              <w:t xml:space="preserve">PR:S16</w:t>
            </w:r>
          </w:p>
        </w:tc>
        <w:tc>
          <w:tcPr>
            <w:tcW w:w="2001" w:type="dxa"/>
          </w:tcPr>
          <w:p>
            <w:pPr>
              <w:pStyle w:val="Compact"/>
              <w:jc w:val="left"/>
              <w:spacing w:before="20" w:after="20" w:line="220" w:lineRule="auto"/>
            </w:pPr>
            <w:r>
              <w:rPr>
                <w:sz w:val="15"/>
                <w:szCs w:val="15"/>
              </w:rPr>
              <w:t xml:space="preserve">Momentum Group</w:t>
            </w:r>
          </w:p>
        </w:tc>
        <w:tc>
          <w:tcPr>
            <w:tcW w:w="3554" w:type="dxa"/>
          </w:tcPr>
          <w:p>
            <w:pPr>
              <w:pStyle w:val="Compact"/>
              <w:jc w:val="left"/>
              <w:spacing w:before="20" w:after="20" w:line="220" w:lineRule="auto"/>
            </w:pPr>
            <w:r>
              <w:rPr>
                <w:sz w:val="15"/>
                <w:szCs w:val="15"/>
              </w:rPr>
              <w:t xml:space="preserve">Interim results presentation 1H F2025 (Mar 2025)</w:t>
            </w:r>
          </w:p>
        </w:tc>
        <w:tc>
          <w:tcPr>
            <w:tcW w:w="1636" w:type="dxa"/>
          </w:tcPr>
          <w:p>
            <w:pPr>
              <w:pStyle w:val="Compact"/>
              <w:jc w:val="left"/>
              <w:spacing w:before="20" w:after="20" w:line="220" w:lineRule="auto"/>
            </w:pPr>
            <w:r>
              <w:rPr>
                <w:sz w:val="15"/>
                <w:szCs w:val="15"/>
              </w:rPr>
              <w:t xml:space="preserve">H1 FY2025</w:t>
            </w:r>
          </w:p>
        </w:tc>
        <w:tc>
          <w:tcPr>
            <w:tcW w:w="2273" w:type="dxa"/>
          </w:tcPr>
          <w:p>
            <w:pPr>
              <w:pStyle w:val="Compact"/>
              <w:jc w:val="left"/>
              <w:spacing w:before="20" w:after="20" w:line="220" w:lineRule="auto"/>
            </w:pPr>
            <w:r>
              <w:rPr>
                <w:sz w:val="15"/>
                <w:szCs w:val="15"/>
              </w:rPr>
              <w:t xml:space="preserve">10</w:t>
            </w:r>
          </w:p>
        </w:tc>
        <w:tc>
          <w:tcPr>
            <w:tcW w:w="3554" w:type="dxa"/>
          </w:tcPr>
          <w:p>
            <w:pPr>
              <w:pStyle w:val="Compact"/>
              <w:jc w:val="left"/>
              <w:spacing w:before="20" w:after="20" w:line="220" w:lineRule="auto"/>
            </w:pPr>
            <w:r>
              <w:rPr>
                <w:sz w:val="15"/>
                <w:szCs w:val="15"/>
              </w:rPr>
              <w:t xml:space="preserve">https://wwtst.momentumgroupltd.co.za/remote-assets/s3/clt_mmh_s3/docs/interim-res-25/interim-results-presentat</w:t>
            </w:r>
          </w:p>
        </w:tc>
      </w:tr>
      <w:tr>
        <w:tc>
          <w:tcPr>
            <w:tcW w:w="1550" w:type="dxa"/>
          </w:tcPr>
          <w:p>
            <w:pPr>
              <w:pStyle w:val="Compact"/>
              <w:jc w:val="left"/>
              <w:spacing w:before="20" w:after="20" w:line="220" w:lineRule="auto"/>
            </w:pPr>
            <w:r>
              <w:rPr>
                <w:sz w:val="15"/>
                <w:szCs w:val="15"/>
              </w:rPr>
              <w:t xml:space="preserve">PR:S17</w:t>
            </w:r>
          </w:p>
        </w:tc>
        <w:tc>
          <w:tcPr>
            <w:tcW w:w="2001" w:type="dxa"/>
          </w:tcPr>
          <w:p>
            <w:pPr>
              <w:pStyle w:val="Compact"/>
              <w:jc w:val="left"/>
              <w:spacing w:before="20" w:after="20" w:line="220" w:lineRule="auto"/>
            </w:pPr>
            <w:r>
              <w:rPr>
                <w:sz w:val="15"/>
                <w:szCs w:val="15"/>
              </w:rPr>
              <w:t xml:space="preserve">Aviva plc</w:t>
            </w:r>
          </w:p>
        </w:tc>
        <w:tc>
          <w:tcPr>
            <w:tcW w:w="3554" w:type="dxa"/>
          </w:tcPr>
          <w:p>
            <w:pPr>
              <w:pStyle w:val="Compact"/>
              <w:jc w:val="left"/>
              <w:spacing w:before="20" w:after="20" w:line="220" w:lineRule="auto"/>
            </w:pPr>
            <w:r>
              <w:rPr>
                <w:sz w:val="15"/>
                <w:szCs w:val="15"/>
              </w:rPr>
              <w:t xml:space="preserve">2015 preliminary results announcement, RNS part 1 of 5 (10 Mar 2016)</w:t>
            </w:r>
          </w:p>
        </w:tc>
        <w:tc>
          <w:tcPr>
            <w:tcW w:w="1636" w:type="dxa"/>
          </w:tcPr>
          <w:p>
            <w:pPr>
              <w:pStyle w:val="Compact"/>
              <w:jc w:val="left"/>
              <w:spacing w:before="20" w:after="20" w:line="220" w:lineRule="auto"/>
            </w:pPr>
            <w:r>
              <w:rPr>
                <w:sz w:val="15"/>
                <w:szCs w:val="15"/>
              </w:rPr>
              <w:t xml:space="preserve">FY2015</w:t>
            </w:r>
          </w:p>
        </w:tc>
        <w:tc>
          <w:tcPr>
            <w:tcW w:w="2273" w:type="dxa"/>
          </w:tcPr>
          <w:p>
            <w:pPr>
              <w:pStyle w:val="Compact"/>
              <w:jc w:val="left"/>
              <w:spacing w:before="20" w:after="20" w:line="220" w:lineRule="auto"/>
            </w:pPr>
            <w:r>
              <w:rPr>
                <w:sz w:val="15"/>
                <w:szCs w:val="15"/>
              </w:rPr>
              <w:t xml:space="preserve">Overview; Group CEO review; CFO review (</w:t>
            </w:r>
          </w:p>
        </w:tc>
        <w:tc>
          <w:tcPr>
            <w:tcW w:w="3554" w:type="dxa"/>
          </w:tcPr>
          <w:p>
            <w:pPr>
              <w:pStyle w:val="Compact"/>
              <w:jc w:val="left"/>
              <w:spacing w:before="20" w:after="20" w:line="220" w:lineRule="auto"/>
            </w:pPr>
            <w:r>
              <w:rPr>
                <w:sz w:val="15"/>
                <w:szCs w:val="15"/>
              </w:rPr>
              <w:t xml:space="preserve">https://www.investegate.co.uk/announcement/rns/aviva–av./final-results-part-1-of-5/4522723</w:t>
            </w:r>
          </w:p>
        </w:tc>
      </w:tr>
      <w:tr>
        <w:tc>
          <w:tcPr>
            <w:tcW w:w="1550" w:type="dxa"/>
          </w:tcPr>
          <w:p>
            <w:pPr>
              <w:pStyle w:val="Compact"/>
              <w:jc w:val="left"/>
              <w:spacing w:before="20" w:after="20" w:line="220" w:lineRule="auto"/>
            </w:pPr>
            <w:r>
              <w:rPr>
                <w:sz w:val="15"/>
                <w:szCs w:val="15"/>
              </w:rPr>
              <w:t xml:space="preserve">PR:S18</w:t>
            </w:r>
          </w:p>
        </w:tc>
        <w:tc>
          <w:tcPr>
            <w:tcW w:w="2001" w:type="dxa"/>
          </w:tcPr>
          <w:p>
            <w:pPr>
              <w:pStyle w:val="Compact"/>
              <w:jc w:val="left"/>
              <w:spacing w:before="20" w:after="20" w:line="220" w:lineRule="auto"/>
            </w:pPr>
            <w:r>
              <w:rPr>
                <w:sz w:val="15"/>
                <w:szCs w:val="15"/>
              </w:rPr>
              <w:t xml:space="preserve">Aviva plc</w:t>
            </w:r>
          </w:p>
        </w:tc>
        <w:tc>
          <w:tcPr>
            <w:tcW w:w="3554" w:type="dxa"/>
          </w:tcPr>
          <w:p>
            <w:pPr>
              <w:pStyle w:val="Compact"/>
              <w:jc w:val="left"/>
              <w:spacing w:before="20" w:after="20" w:line="220" w:lineRule="auto"/>
            </w:pPr>
            <w:r>
              <w:rPr>
                <w:sz w:val="15"/>
                <w:szCs w:val="15"/>
              </w:rPr>
              <w:t xml:space="preserve">Half Year Report 2015, RNS part 1 of 5 (6 Aug 2015)</w:t>
            </w:r>
          </w:p>
        </w:tc>
        <w:tc>
          <w:tcPr>
            <w:tcW w:w="1636" w:type="dxa"/>
          </w:tcPr>
          <w:p>
            <w:pPr>
              <w:pStyle w:val="Compact"/>
              <w:jc w:val="left"/>
              <w:spacing w:before="20" w:after="20" w:line="220" w:lineRule="auto"/>
            </w:pPr>
            <w:r>
              <w:rPr>
                <w:sz w:val="15"/>
                <w:szCs w:val="15"/>
              </w:rPr>
              <w:t xml:space="preserve">H1 2015</w:t>
            </w:r>
          </w:p>
        </w:tc>
        <w:tc>
          <w:tcPr>
            <w:tcW w:w="2273" w:type="dxa"/>
          </w:tcPr>
          <w:p>
            <w:pPr>
              <w:pStyle w:val="Compact"/>
              <w:jc w:val="left"/>
              <w:spacing w:before="20" w:after="20" w:line="220" w:lineRule="auto"/>
            </w:pPr>
            <w:r>
              <w:rPr>
                <w:sz w:val="15"/>
                <w:szCs w:val="15"/>
              </w:rPr>
              <w:t xml:space="preserve">Overview; CFO review (HTML)</w:t>
            </w:r>
          </w:p>
        </w:tc>
        <w:tc>
          <w:tcPr>
            <w:tcW w:w="3554" w:type="dxa"/>
          </w:tcPr>
          <w:p>
            <w:pPr>
              <w:pStyle w:val="Compact"/>
              <w:jc w:val="left"/>
              <w:spacing w:before="20" w:after="20" w:line="220" w:lineRule="auto"/>
            </w:pPr>
            <w:r>
              <w:rPr>
                <w:sz w:val="15"/>
                <w:szCs w:val="15"/>
              </w:rPr>
              <w:t xml:space="preserve">https://www.investegate.co.uk/announcement/rns/aviva–av./half-yearly-report-part-1-of-5/4155890</w:t>
            </w:r>
          </w:p>
        </w:tc>
      </w:tr>
      <w:tr>
        <w:tc>
          <w:tcPr>
            <w:tcW w:w="1550" w:type="dxa"/>
          </w:tcPr>
          <w:p>
            <w:pPr>
              <w:pStyle w:val="Compact"/>
              <w:jc w:val="left"/>
              <w:spacing w:before="20" w:after="20" w:line="220" w:lineRule="auto"/>
            </w:pPr>
            <w:r>
              <w:rPr>
                <w:sz w:val="15"/>
                <w:szCs w:val="15"/>
              </w:rPr>
              <w:t xml:space="preserve">PR:S19</w:t>
            </w:r>
          </w:p>
        </w:tc>
        <w:tc>
          <w:tcPr>
            <w:tcW w:w="2001" w:type="dxa"/>
          </w:tcPr>
          <w:p>
            <w:pPr>
              <w:pStyle w:val="Compact"/>
              <w:jc w:val="left"/>
              <w:spacing w:before="20" w:after="20" w:line="220" w:lineRule="auto"/>
            </w:pPr>
            <w:r>
              <w:rPr>
                <w:sz w:val="15"/>
                <w:szCs w:val="15"/>
              </w:rPr>
              <w:t xml:space="preserve">Aviva plc</w:t>
            </w:r>
          </w:p>
        </w:tc>
        <w:tc>
          <w:tcPr>
            <w:tcW w:w="3554" w:type="dxa"/>
          </w:tcPr>
          <w:p>
            <w:pPr>
              <w:pStyle w:val="Compact"/>
              <w:jc w:val="left"/>
              <w:spacing w:before="20" w:after="20" w:line="220" w:lineRule="auto"/>
            </w:pPr>
            <w:r>
              <w:rPr>
                <w:sz w:val="15"/>
                <w:szCs w:val="15"/>
              </w:rPr>
              <w:t xml:space="preserve">2017 preliminary results announcement, RNS 0478H (8 Mar 2018)</w:t>
            </w:r>
          </w:p>
        </w:tc>
        <w:tc>
          <w:tcPr>
            <w:tcW w:w="1636" w:type="dxa"/>
          </w:tcPr>
          <w:p>
            <w:pPr>
              <w:pStyle w:val="Compact"/>
              <w:jc w:val="left"/>
              <w:spacing w:before="20" w:after="20" w:line="220" w:lineRule="auto"/>
            </w:pPr>
            <w:r>
              <w:rPr>
                <w:sz w:val="15"/>
                <w:szCs w:val="15"/>
              </w:rPr>
              <w:t xml:space="preserve">FY2017</w:t>
            </w:r>
          </w:p>
        </w:tc>
        <w:tc>
          <w:tcPr>
            <w:tcW w:w="2273" w:type="dxa"/>
          </w:tcPr>
          <w:p>
            <w:pPr>
              <w:pStyle w:val="Compact"/>
              <w:jc w:val="left"/>
              <w:spacing w:before="20" w:after="20" w:line="220" w:lineRule="auto"/>
            </w:pPr>
            <w:r>
              <w:rPr>
                <w:sz w:val="15"/>
                <w:szCs w:val="15"/>
              </w:rPr>
              <w:t xml:space="preserve">CFO review: capital and remittances (HTM</w:t>
            </w:r>
          </w:p>
        </w:tc>
        <w:tc>
          <w:tcPr>
            <w:tcW w:w="3554" w:type="dxa"/>
          </w:tcPr>
          <w:p>
            <w:pPr>
              <w:pStyle w:val="Compact"/>
              <w:jc w:val="left"/>
              <w:spacing w:before="20" w:after="20" w:line="220" w:lineRule="auto"/>
            </w:pPr>
            <w:r>
              <w:rPr>
                <w:sz w:val="15"/>
                <w:szCs w:val="15"/>
              </w:rPr>
              <w:t xml:space="preserve">https://data.fca.org.uk/artefacts/NSM/data-migration/LSE20180308070002_13558968.html</w:t>
            </w:r>
          </w:p>
        </w:tc>
      </w:tr>
      <w:tr>
        <w:tc>
          <w:tcPr>
            <w:tcW w:w="1550" w:type="dxa"/>
          </w:tcPr>
          <w:p>
            <w:pPr>
              <w:pStyle w:val="Compact"/>
              <w:jc w:val="left"/>
              <w:spacing w:before="20" w:after="20" w:line="220" w:lineRule="auto"/>
            </w:pPr>
            <w:r>
              <w:rPr>
                <w:sz w:val="15"/>
                <w:szCs w:val="15"/>
              </w:rPr>
              <w:t xml:space="preserve">PR:S20</w:t>
            </w:r>
          </w:p>
        </w:tc>
        <w:tc>
          <w:tcPr>
            <w:tcW w:w="2001" w:type="dxa"/>
          </w:tcPr>
          <w:p>
            <w:pPr>
              <w:pStyle w:val="Compact"/>
              <w:jc w:val="left"/>
              <w:spacing w:before="20" w:after="20" w:line="220" w:lineRule="auto"/>
            </w:pPr>
            <w:r>
              <w:rPr>
                <w:sz w:val="15"/>
                <w:szCs w:val="15"/>
              </w:rPr>
              <w:t xml:space="preserve">Aviva plc</w:t>
            </w:r>
          </w:p>
        </w:tc>
        <w:tc>
          <w:tcPr>
            <w:tcW w:w="3554" w:type="dxa"/>
          </w:tcPr>
          <w:p>
            <w:pPr>
              <w:pStyle w:val="Compact"/>
              <w:jc w:val="left"/>
              <w:spacing w:before="20" w:after="20" w:line="220" w:lineRule="auto"/>
            </w:pPr>
            <w:r>
              <w:rPr>
                <w:sz w:val="15"/>
                <w:szCs w:val="15"/>
              </w:rPr>
              <w:t xml:space="preserve">Investor update / Capital Markets Day 2019 RNS (20 Nov 2019)</w:t>
            </w:r>
          </w:p>
        </w:tc>
        <w:tc>
          <w:tcPr>
            <w:tcW w:w="1636" w:type="dxa"/>
          </w:tcPr>
          <w:p>
            <w:pPr>
              <w:pStyle w:val="Compact"/>
              <w:jc w:val="left"/>
              <w:spacing w:before="20" w:after="20" w:line="220" w:lineRule="auto"/>
            </w:pPr>
            <w:r>
              <w:rPr>
                <w:sz w:val="15"/>
                <w:szCs w:val="15"/>
              </w:rPr>
              <w:t xml:space="preserve">FY2019</w:t>
            </w:r>
          </w:p>
        </w:tc>
        <w:tc>
          <w:tcPr>
            <w:tcW w:w="2273" w:type="dxa"/>
          </w:tcPr>
          <w:p>
            <w:pPr>
              <w:pStyle w:val="Compact"/>
              <w:jc w:val="left"/>
              <w:spacing w:before="20" w:after="20" w:line="220" w:lineRule="auto"/>
            </w:pPr>
            <w:r>
              <w:rPr>
                <w:sz w:val="15"/>
                <w:szCs w:val="15"/>
              </w:rPr>
              <w:t xml:space="preserve">Cost reduction paragraph (HTML)</w:t>
            </w:r>
          </w:p>
        </w:tc>
        <w:tc>
          <w:tcPr>
            <w:tcW w:w="3554" w:type="dxa"/>
          </w:tcPr>
          <w:p>
            <w:pPr>
              <w:pStyle w:val="Compact"/>
              <w:jc w:val="left"/>
              <w:spacing w:before="20" w:after="20" w:line="220" w:lineRule="auto"/>
            </w:pPr>
            <w:r>
              <w:rPr>
                <w:sz w:val="15"/>
                <w:szCs w:val="15"/>
              </w:rPr>
              <w:t xml:space="preserve">https://www.investegate.co.uk/announcement/rns/aviva–av./aviva-plc-investor-update/5717220</w:t>
            </w:r>
          </w:p>
        </w:tc>
      </w:tr>
      <w:tr>
        <w:tc>
          <w:tcPr>
            <w:tcW w:w="1550" w:type="dxa"/>
          </w:tcPr>
          <w:p>
            <w:pPr>
              <w:pStyle w:val="Compact"/>
              <w:jc w:val="left"/>
              <w:spacing w:before="20" w:after="20" w:line="220" w:lineRule="auto"/>
            </w:pPr>
            <w:r>
              <w:rPr>
                <w:sz w:val="15"/>
                <w:szCs w:val="15"/>
              </w:rPr>
              <w:t xml:space="preserve">PR:S21</w:t>
            </w:r>
          </w:p>
        </w:tc>
        <w:tc>
          <w:tcPr>
            <w:tcW w:w="2001" w:type="dxa"/>
          </w:tcPr>
          <w:p>
            <w:pPr>
              <w:pStyle w:val="Compact"/>
              <w:jc w:val="left"/>
              <w:spacing w:before="20" w:after="20" w:line="220" w:lineRule="auto"/>
            </w:pPr>
            <w:r>
              <w:rPr>
                <w:sz w:val="15"/>
                <w:szCs w:val="15"/>
              </w:rPr>
              <w:t xml:space="preserve">Aviva plc</w:t>
            </w:r>
          </w:p>
        </w:tc>
        <w:tc>
          <w:tcPr>
            <w:tcW w:w="3554" w:type="dxa"/>
          </w:tcPr>
          <w:p>
            <w:pPr>
              <w:pStyle w:val="Compact"/>
              <w:jc w:val="left"/>
              <w:spacing w:before="20" w:after="20" w:line="220" w:lineRule="auto"/>
            </w:pPr>
            <w:r>
              <w:rPr>
                <w:sz w:val="15"/>
                <w:szCs w:val="15"/>
              </w:rPr>
              <w:t xml:space="preserve">2021 results announcement, RNS 2979D (2 Mar 2022)</w:t>
            </w:r>
          </w:p>
        </w:tc>
        <w:tc>
          <w:tcPr>
            <w:tcW w:w="1636" w:type="dxa"/>
          </w:tcPr>
          <w:p>
            <w:pPr>
              <w:pStyle w:val="Compact"/>
              <w:jc w:val="left"/>
              <w:spacing w:before="20" w:after="20" w:line="220" w:lineRule="auto"/>
            </w:pPr>
            <w:r>
              <w:rPr>
                <w:sz w:val="15"/>
                <w:szCs w:val="15"/>
              </w:rPr>
              <w:t xml:space="preserve">FY2021</w:t>
            </w:r>
          </w:p>
        </w:tc>
        <w:tc>
          <w:tcPr>
            <w:tcW w:w="2273" w:type="dxa"/>
          </w:tcPr>
          <w:p>
            <w:pPr>
              <w:pStyle w:val="Compact"/>
              <w:jc w:val="left"/>
              <w:spacing w:before="20" w:after="20" w:line="220" w:lineRule="auto"/>
            </w:pPr>
            <w:r>
              <w:rPr>
                <w:sz w:val="15"/>
                <w:szCs w:val="15"/>
              </w:rPr>
              <w:t xml:space="preserve">Highlights; Group CEO review; CFO review</w:t>
            </w:r>
          </w:p>
        </w:tc>
        <w:tc>
          <w:tcPr>
            <w:tcW w:w="3554" w:type="dxa"/>
          </w:tcPr>
          <w:p>
            <w:pPr>
              <w:pStyle w:val="Compact"/>
              <w:jc w:val="left"/>
              <w:spacing w:before="20" w:after="20" w:line="220" w:lineRule="auto"/>
            </w:pPr>
            <w:r>
              <w:rPr>
                <w:sz w:val="15"/>
                <w:szCs w:val="15"/>
              </w:rPr>
              <w:t xml:space="preserve">https://data.fca.org.uk/artefacts/NSM/RNS/4288294.html</w:t>
            </w:r>
          </w:p>
        </w:tc>
      </w:tr>
      <w:tr>
        <w:tc>
          <w:tcPr>
            <w:tcW w:w="1550" w:type="dxa"/>
          </w:tcPr>
          <w:p>
            <w:pPr>
              <w:pStyle w:val="Compact"/>
              <w:jc w:val="left"/>
              <w:spacing w:before="20" w:after="20" w:line="220" w:lineRule="auto"/>
            </w:pPr>
            <w:r>
              <w:rPr>
                <w:sz w:val="15"/>
                <w:szCs w:val="15"/>
              </w:rPr>
              <w:t xml:space="preserve">PR:S22</w:t>
            </w:r>
          </w:p>
        </w:tc>
        <w:tc>
          <w:tcPr>
            <w:tcW w:w="2001" w:type="dxa"/>
          </w:tcPr>
          <w:p>
            <w:pPr>
              <w:pStyle w:val="Compact"/>
              <w:jc w:val="left"/>
              <w:spacing w:before="20" w:after="20" w:line="220" w:lineRule="auto"/>
            </w:pPr>
            <w:r>
              <w:rPr>
                <w:sz w:val="15"/>
                <w:szCs w:val="15"/>
              </w:rPr>
              <w:t xml:space="preserve">Aviva plc</w:t>
            </w:r>
          </w:p>
        </w:tc>
        <w:tc>
          <w:tcPr>
            <w:tcW w:w="3554" w:type="dxa"/>
          </w:tcPr>
          <w:p>
            <w:pPr>
              <w:pStyle w:val="Compact"/>
              <w:jc w:val="left"/>
              <w:spacing w:before="20" w:after="20" w:line="220" w:lineRule="auto"/>
            </w:pPr>
            <w:r>
              <w:rPr>
                <w:sz w:val="15"/>
                <w:szCs w:val="15"/>
              </w:rPr>
              <w:t xml:space="preserve">2022 results announcement web page (9 Mar 2023)</w:t>
            </w:r>
          </w:p>
        </w:tc>
        <w:tc>
          <w:tcPr>
            <w:tcW w:w="1636" w:type="dxa"/>
          </w:tcPr>
          <w:p>
            <w:pPr>
              <w:pStyle w:val="Compact"/>
              <w:jc w:val="left"/>
              <w:spacing w:before="20" w:after="20" w:line="220" w:lineRule="auto"/>
            </w:pPr>
            <w:r>
              <w:rPr>
                <w:sz w:val="15"/>
                <w:szCs w:val="15"/>
              </w:rPr>
              <w:t xml:space="preserve">FY2022</w:t>
            </w:r>
          </w:p>
        </w:tc>
        <w:tc>
          <w:tcPr>
            <w:tcW w:w="2273" w:type="dxa"/>
          </w:tcPr>
          <w:p>
            <w:pPr>
              <w:pStyle w:val="Compact"/>
              <w:jc w:val="left"/>
              <w:spacing w:before="20" w:after="20" w:line="220" w:lineRule="auto"/>
            </w:pPr>
            <w:r>
              <w:rPr>
                <w:sz w:val="15"/>
                <w:szCs w:val="15"/>
              </w:rPr>
              <w:t xml:space="preserve">Highlights (HTML)</w:t>
            </w:r>
          </w:p>
        </w:tc>
        <w:tc>
          <w:tcPr>
            <w:tcW w:w="3554" w:type="dxa"/>
          </w:tcPr>
          <w:p>
            <w:pPr>
              <w:pStyle w:val="Compact"/>
              <w:jc w:val="left"/>
              <w:spacing w:before="20" w:after="20" w:line="220" w:lineRule="auto"/>
            </w:pPr>
            <w:r>
              <w:rPr>
                <w:sz w:val="15"/>
                <w:szCs w:val="15"/>
              </w:rPr>
              <w:t xml:space="preserve">https://www.aviva.com/newsroom/news-releases/2023/03/FY2022-results-announcement/</w:t>
            </w:r>
          </w:p>
        </w:tc>
      </w:tr>
      <w:tr>
        <w:tc>
          <w:tcPr>
            <w:tcW w:w="1550" w:type="dxa"/>
          </w:tcPr>
          <w:p>
            <w:pPr>
              <w:pStyle w:val="Compact"/>
              <w:jc w:val="left"/>
              <w:spacing w:before="20" w:after="20" w:line="220" w:lineRule="auto"/>
            </w:pPr>
            <w:r>
              <w:rPr>
                <w:sz w:val="15"/>
                <w:szCs w:val="15"/>
              </w:rPr>
              <w:t xml:space="preserve">PR:S23</w:t>
            </w:r>
          </w:p>
        </w:tc>
        <w:tc>
          <w:tcPr>
            <w:tcW w:w="2001" w:type="dxa"/>
          </w:tcPr>
          <w:p>
            <w:pPr>
              <w:pStyle w:val="Compact"/>
              <w:jc w:val="left"/>
              <w:spacing w:before="20" w:after="20" w:line="220" w:lineRule="auto"/>
            </w:pPr>
            <w:r>
              <w:rPr>
                <w:sz w:val="15"/>
                <w:szCs w:val="15"/>
              </w:rPr>
              <w:t xml:space="preserve">Zurich Insurance Group</w:t>
            </w:r>
          </w:p>
        </w:tc>
        <w:tc>
          <w:tcPr>
            <w:tcW w:w="3554" w:type="dxa"/>
          </w:tcPr>
          <w:p>
            <w:pPr>
              <w:pStyle w:val="Compact"/>
              <w:jc w:val="left"/>
              <w:spacing w:before="20" w:after="20" w:line="220" w:lineRule="auto"/>
            </w:pPr>
            <w:r>
              <w:rPr>
                <w:sz w:val="15"/>
                <w:szCs w:val="15"/>
              </w:rPr>
              <w:t xml:space="preserve">Media release: Zurich sets new financial targets (Investor Day, 17 Nov 2016)</w:t>
            </w:r>
          </w:p>
        </w:tc>
        <w:tc>
          <w:tcPr>
            <w:tcW w:w="1636" w:type="dxa"/>
          </w:tcPr>
          <w:p>
            <w:pPr>
              <w:pStyle w:val="Compact"/>
              <w:jc w:val="left"/>
              <w:spacing w:before="20" w:after="20" w:line="220" w:lineRule="auto"/>
            </w:pPr>
            <w:r>
              <w:rPr>
                <w:sz w:val="15"/>
                <w:szCs w:val="15"/>
              </w:rPr>
              <w:t xml:space="preserve">FY2016</w:t>
            </w:r>
          </w:p>
        </w:tc>
        <w:tc>
          <w:tcPr>
            <w:tcW w:w="2273" w:type="dxa"/>
          </w:tcPr>
          <w:p>
            <w:pPr>
              <w:pStyle w:val="Compact"/>
              <w:jc w:val="left"/>
              <w:spacing w:before="20" w:after="20" w:line="220" w:lineRule="auto"/>
            </w:pPr>
            <w:r>
              <w:rPr>
                <w:sz w:val="15"/>
                <w:szCs w:val="15"/>
              </w:rPr>
              <w:t xml:space="preserve">Financial targets section (HTML)</w:t>
            </w:r>
          </w:p>
        </w:tc>
        <w:tc>
          <w:tcPr>
            <w:tcW w:w="3554" w:type="dxa"/>
          </w:tcPr>
          <w:p>
            <w:pPr>
              <w:pStyle w:val="Compact"/>
              <w:jc w:val="left"/>
              <w:spacing w:before="20" w:after="20" w:line="220" w:lineRule="auto"/>
            </w:pPr>
            <w:r>
              <w:rPr>
                <w:sz w:val="15"/>
                <w:szCs w:val="15"/>
              </w:rPr>
              <w:t xml:space="preserve">https://www.zurich.com/en/media/news-releases/2016/2016-1117-01</w:t>
            </w:r>
          </w:p>
        </w:tc>
      </w:tr>
      <w:tr>
        <w:tc>
          <w:tcPr>
            <w:tcW w:w="1550" w:type="dxa"/>
          </w:tcPr>
          <w:p>
            <w:pPr>
              <w:pStyle w:val="Compact"/>
              <w:jc w:val="left"/>
              <w:spacing w:before="20" w:after="20" w:line="220" w:lineRule="auto"/>
            </w:pPr>
            <w:r>
              <w:rPr>
                <w:sz w:val="15"/>
                <w:szCs w:val="15"/>
              </w:rPr>
              <w:t xml:space="preserve">PR:S24</w:t>
            </w:r>
          </w:p>
        </w:tc>
        <w:tc>
          <w:tcPr>
            <w:tcW w:w="2001" w:type="dxa"/>
          </w:tcPr>
          <w:p>
            <w:pPr>
              <w:pStyle w:val="Compact"/>
              <w:jc w:val="left"/>
              <w:spacing w:before="20" w:after="20" w:line="220" w:lineRule="auto"/>
            </w:pPr>
            <w:r>
              <w:rPr>
                <w:sz w:val="15"/>
                <w:szCs w:val="15"/>
              </w:rPr>
              <w:t xml:space="preserve">Zurich Insurance Group</w:t>
            </w:r>
          </w:p>
        </w:tc>
        <w:tc>
          <w:tcPr>
            <w:tcW w:w="3554" w:type="dxa"/>
          </w:tcPr>
          <w:p>
            <w:pPr>
              <w:pStyle w:val="Compact"/>
              <w:jc w:val="left"/>
              <w:spacing w:before="20" w:after="20" w:line="220" w:lineRule="auto"/>
            </w:pPr>
            <w:r>
              <w:rPr>
                <w:sz w:val="15"/>
                <w:szCs w:val="15"/>
              </w:rPr>
              <w:t xml:space="preserve">Media release: Zurich exceeds all 2017-2019 targets (13 Feb 2020)</w:t>
            </w:r>
          </w:p>
        </w:tc>
        <w:tc>
          <w:tcPr>
            <w:tcW w:w="1636" w:type="dxa"/>
          </w:tcPr>
          <w:p>
            <w:pPr>
              <w:pStyle w:val="Compact"/>
              <w:jc w:val="left"/>
              <w:spacing w:before="20" w:after="20" w:line="220" w:lineRule="auto"/>
            </w:pPr>
            <w:r>
              <w:rPr>
                <w:sz w:val="15"/>
                <w:szCs w:val="15"/>
              </w:rPr>
              <w:t xml:space="preserve">FY2019</w:t>
            </w:r>
          </w:p>
        </w:tc>
        <w:tc>
          <w:tcPr>
            <w:tcW w:w="2273" w:type="dxa"/>
          </w:tcPr>
          <w:p>
            <w:pPr>
              <w:pStyle w:val="Compact"/>
              <w:jc w:val="left"/>
              <w:spacing w:before="20" w:after="20" w:line="220" w:lineRule="auto"/>
            </w:pPr>
            <w:r>
              <w:rPr>
                <w:sz w:val="15"/>
                <w:szCs w:val="15"/>
              </w:rPr>
              <w:t xml:space="preserve">Highlights (HTML)</w:t>
            </w:r>
          </w:p>
        </w:tc>
        <w:tc>
          <w:tcPr>
            <w:tcW w:w="3554" w:type="dxa"/>
          </w:tcPr>
          <w:p>
            <w:pPr>
              <w:pStyle w:val="Compact"/>
              <w:jc w:val="left"/>
              <w:spacing w:before="20" w:after="20" w:line="220" w:lineRule="auto"/>
            </w:pPr>
            <w:r>
              <w:rPr>
                <w:sz w:val="15"/>
                <w:szCs w:val="15"/>
              </w:rPr>
              <w:t xml:space="preserve">https://www.zurich.com/en/media/news-releases/2020/2020-0213-01</w:t>
            </w:r>
          </w:p>
        </w:tc>
      </w:tr>
      <w:tr>
        <w:tc>
          <w:tcPr>
            <w:tcW w:w="1550" w:type="dxa"/>
          </w:tcPr>
          <w:p>
            <w:pPr>
              <w:pStyle w:val="Compact"/>
              <w:jc w:val="left"/>
              <w:spacing w:before="20" w:after="20" w:line="220" w:lineRule="auto"/>
            </w:pPr>
            <w:r>
              <w:rPr>
                <w:sz w:val="15"/>
                <w:szCs w:val="15"/>
              </w:rPr>
              <w:t xml:space="preserve">PR:S25</w:t>
            </w:r>
          </w:p>
        </w:tc>
        <w:tc>
          <w:tcPr>
            <w:tcW w:w="2001" w:type="dxa"/>
          </w:tcPr>
          <w:p>
            <w:pPr>
              <w:pStyle w:val="Compact"/>
              <w:jc w:val="left"/>
              <w:spacing w:before="20" w:after="20" w:line="220" w:lineRule="auto"/>
            </w:pPr>
            <w:r>
              <w:rPr>
                <w:sz w:val="15"/>
                <w:szCs w:val="15"/>
              </w:rPr>
              <w:t xml:space="preserve">Manulife Financial Corporation</w:t>
            </w:r>
          </w:p>
        </w:tc>
        <w:tc>
          <w:tcPr>
            <w:tcW w:w="3554" w:type="dxa"/>
          </w:tcPr>
          <w:p>
            <w:pPr>
              <w:pStyle w:val="Compact"/>
              <w:jc w:val="left"/>
              <w:spacing w:before="20" w:after="20" w:line="220" w:lineRule="auto"/>
            </w:pPr>
            <w:r>
              <w:rPr>
                <w:sz w:val="15"/>
                <w:szCs w:val="15"/>
              </w:rPr>
              <w:t xml:space="preserve">Form 6-K exhibit 99.1: Manulife Investor Day 2018 news release (27 Jun 2018)</w:t>
            </w:r>
          </w:p>
        </w:tc>
        <w:tc>
          <w:tcPr>
            <w:tcW w:w="1636" w:type="dxa"/>
          </w:tcPr>
          <w:p>
            <w:pPr>
              <w:pStyle w:val="Compact"/>
              <w:jc w:val="left"/>
              <w:spacing w:before="20" w:after="20" w:line="220" w:lineRule="auto"/>
            </w:pPr>
            <w:r>
              <w:rPr>
                <w:sz w:val="15"/>
                <w:szCs w:val="15"/>
              </w:rPr>
              <w:t xml:space="preserve">FY2018</w:t>
            </w:r>
          </w:p>
        </w:tc>
        <w:tc>
          <w:tcPr>
            <w:tcW w:w="2273" w:type="dxa"/>
          </w:tcPr>
          <w:p>
            <w:pPr>
              <w:pStyle w:val="Compact"/>
              <w:jc w:val="left"/>
              <w:spacing w:before="20" w:after="20" w:line="220" w:lineRule="auto"/>
            </w:pPr>
            <w:r>
              <w:rPr>
                <w:sz w:val="15"/>
                <w:szCs w:val="15"/>
              </w:rPr>
              <w:t xml:space="preserve">News release (HTML; fetched via WebFetch</w:t>
            </w:r>
          </w:p>
        </w:tc>
        <w:tc>
          <w:tcPr>
            <w:tcW w:w="3554" w:type="dxa"/>
          </w:tcPr>
          <w:p>
            <w:pPr>
              <w:pStyle w:val="Compact"/>
              <w:jc w:val="left"/>
              <w:spacing w:before="20" w:after="20" w:line="220" w:lineRule="auto"/>
            </w:pPr>
            <w:r>
              <w:rPr>
                <w:sz w:val="15"/>
                <w:szCs w:val="15"/>
              </w:rPr>
              <w:t xml:space="preserve">https://www.sec.gov/Archives/edgar/data/0001086888/000108688818000069/exhibit99-1.htm</w:t>
            </w:r>
          </w:p>
        </w:tc>
      </w:tr>
      <w:tr>
        <w:tc>
          <w:tcPr>
            <w:tcW w:w="1550" w:type="dxa"/>
          </w:tcPr>
          <w:p>
            <w:pPr>
              <w:pStyle w:val="Compact"/>
              <w:jc w:val="left"/>
              <w:spacing w:before="20" w:after="20" w:line="220" w:lineRule="auto"/>
            </w:pPr>
            <w:r>
              <w:rPr>
                <w:sz w:val="15"/>
                <w:szCs w:val="15"/>
              </w:rPr>
              <w:t xml:space="preserve">PR:S26</w:t>
            </w:r>
          </w:p>
        </w:tc>
        <w:tc>
          <w:tcPr>
            <w:tcW w:w="2001" w:type="dxa"/>
          </w:tcPr>
          <w:p>
            <w:pPr>
              <w:pStyle w:val="Compact"/>
              <w:jc w:val="left"/>
              <w:spacing w:before="20" w:after="20" w:line="220" w:lineRule="auto"/>
            </w:pPr>
            <w:r>
              <w:rPr>
                <w:sz w:val="15"/>
                <w:szCs w:val="15"/>
              </w:rPr>
              <w:t xml:space="preserve">Manulife Financial Corporation</w:t>
            </w:r>
          </w:p>
        </w:tc>
        <w:tc>
          <w:tcPr>
            <w:tcW w:w="3554" w:type="dxa"/>
          </w:tcPr>
          <w:p>
            <w:pPr>
              <w:pStyle w:val="Compact"/>
              <w:jc w:val="left"/>
              <w:spacing w:before="20" w:after="20" w:line="220" w:lineRule="auto"/>
            </w:pPr>
            <w:r>
              <w:rPr>
                <w:sz w:val="15"/>
                <w:szCs w:val="15"/>
              </w:rPr>
              <w:t xml:space="preserve">Form 40-F exhibit 99.2: 2020 Management’s Discussion and Analysis (10 Feb 2021)</w:t>
            </w:r>
          </w:p>
        </w:tc>
        <w:tc>
          <w:tcPr>
            <w:tcW w:w="1636" w:type="dxa"/>
          </w:tcPr>
          <w:p>
            <w:pPr>
              <w:pStyle w:val="Compact"/>
              <w:jc w:val="left"/>
              <w:spacing w:before="20" w:after="20" w:line="220" w:lineRule="auto"/>
            </w:pPr>
            <w:r>
              <w:rPr>
                <w:sz w:val="15"/>
                <w:szCs w:val="15"/>
              </w:rPr>
              <w:t xml:space="preserve">FY2020</w:t>
            </w:r>
          </w:p>
        </w:tc>
        <w:tc>
          <w:tcPr>
            <w:tcW w:w="2273" w:type="dxa"/>
          </w:tcPr>
          <w:p>
            <w:pPr>
              <w:pStyle w:val="Compact"/>
              <w:jc w:val="left"/>
              <w:spacing w:before="20" w:after="20" w:line="220" w:lineRule="auto"/>
            </w:pPr>
            <w:r>
              <w:rPr>
                <w:sz w:val="15"/>
                <w:szCs w:val="15"/>
              </w:rPr>
              <w:t xml:space="preserve">MD&amp;A highlights (HTML; fetched via WebFe</w:t>
            </w:r>
          </w:p>
        </w:tc>
        <w:tc>
          <w:tcPr>
            <w:tcW w:w="3554" w:type="dxa"/>
          </w:tcPr>
          <w:p>
            <w:pPr>
              <w:pStyle w:val="Compact"/>
              <w:jc w:val="left"/>
              <w:spacing w:before="20" w:after="20" w:line="220" w:lineRule="auto"/>
            </w:pPr>
            <w:r>
              <w:rPr>
                <w:sz w:val="15"/>
                <w:szCs w:val="15"/>
              </w:rPr>
              <w:t xml:space="preserve">https://www.sec.gov/Archives/edgar/data/1086888/000119312521036502/d848626dex992.htm</w:t>
            </w:r>
          </w:p>
        </w:tc>
      </w:tr>
      <w:tr>
        <w:tc>
          <w:tcPr>
            <w:tcW w:w="1550" w:type="dxa"/>
          </w:tcPr>
          <w:p>
            <w:pPr>
              <w:pStyle w:val="Compact"/>
              <w:jc w:val="left"/>
              <w:spacing w:before="20" w:after="20" w:line="220" w:lineRule="auto"/>
            </w:pPr>
            <w:r>
              <w:rPr>
                <w:sz w:val="15"/>
                <w:szCs w:val="15"/>
              </w:rPr>
              <w:t xml:space="preserve">PR:S27</w:t>
            </w:r>
          </w:p>
        </w:tc>
        <w:tc>
          <w:tcPr>
            <w:tcW w:w="2001" w:type="dxa"/>
          </w:tcPr>
          <w:p>
            <w:pPr>
              <w:pStyle w:val="Compact"/>
              <w:jc w:val="left"/>
              <w:spacing w:before="20" w:after="20" w:line="220" w:lineRule="auto"/>
            </w:pPr>
            <w:r>
              <w:rPr>
                <w:sz w:val="15"/>
                <w:szCs w:val="15"/>
              </w:rPr>
              <w:t xml:space="preserve">MetLife, Inc.</w:t>
            </w:r>
          </w:p>
        </w:tc>
        <w:tc>
          <w:tcPr>
            <w:tcW w:w="3554" w:type="dxa"/>
          </w:tcPr>
          <w:p>
            <w:pPr>
              <w:pStyle w:val="Compact"/>
              <w:jc w:val="left"/>
              <w:spacing w:before="20" w:after="20" w:line="220" w:lineRule="auto"/>
            </w:pPr>
            <w:r>
              <w:rPr>
                <w:sz w:val="15"/>
                <w:szCs w:val="15"/>
              </w:rPr>
              <w:t xml:space="preserve">Form 8-K exhibit 99.1: Investor Day slide presentations (10 Nov 2016)</w:t>
            </w:r>
          </w:p>
        </w:tc>
        <w:tc>
          <w:tcPr>
            <w:tcW w:w="1636" w:type="dxa"/>
          </w:tcPr>
          <w:p>
            <w:pPr>
              <w:pStyle w:val="Compact"/>
              <w:jc w:val="left"/>
              <w:spacing w:before="20" w:after="20" w:line="220" w:lineRule="auto"/>
            </w:pPr>
            <w:r>
              <w:rPr>
                <w:sz w:val="15"/>
                <w:szCs w:val="15"/>
              </w:rPr>
              <w:t xml:space="preserve">FY2016</w:t>
            </w:r>
          </w:p>
        </w:tc>
        <w:tc>
          <w:tcPr>
            <w:tcW w:w="2273" w:type="dxa"/>
          </w:tcPr>
          <w:p>
            <w:pPr>
              <w:pStyle w:val="Compact"/>
              <w:jc w:val="left"/>
              <w:spacing w:before="20" w:after="20" w:line="220" w:lineRule="auto"/>
            </w:pPr>
            <w:r>
              <w:rPr>
                <w:sz w:val="15"/>
                <w:szCs w:val="15"/>
              </w:rPr>
              <w:t xml:space="preserve">Slides 57-59 (HTML; fetched via WebFetch</w:t>
            </w:r>
          </w:p>
        </w:tc>
        <w:tc>
          <w:tcPr>
            <w:tcW w:w="3554" w:type="dxa"/>
          </w:tcPr>
          <w:p>
            <w:pPr>
              <w:pStyle w:val="Compact"/>
              <w:jc w:val="left"/>
              <w:spacing w:before="20" w:after="20" w:line="220" w:lineRule="auto"/>
            </w:pPr>
            <w:r>
              <w:rPr>
                <w:sz w:val="15"/>
                <w:szCs w:val="15"/>
              </w:rPr>
              <w:t xml:space="preserve">https://www.sec.gov/Archives/edgar/data/1099219/000119312516765107/d282827dex991.htm</w:t>
            </w:r>
          </w:p>
        </w:tc>
      </w:tr>
      <w:tr>
        <w:tc>
          <w:tcPr>
            <w:tcW w:w="1550" w:type="dxa"/>
          </w:tcPr>
          <w:p>
            <w:pPr>
              <w:pStyle w:val="Compact"/>
              <w:jc w:val="left"/>
              <w:spacing w:before="20" w:after="20" w:line="220" w:lineRule="auto"/>
            </w:pPr>
            <w:r>
              <w:rPr>
                <w:sz w:val="15"/>
                <w:szCs w:val="15"/>
              </w:rPr>
              <w:t xml:space="preserve">PR:S28</w:t>
            </w:r>
          </w:p>
        </w:tc>
        <w:tc>
          <w:tcPr>
            <w:tcW w:w="2001" w:type="dxa"/>
          </w:tcPr>
          <w:p>
            <w:pPr>
              <w:pStyle w:val="Compact"/>
              <w:jc w:val="left"/>
              <w:spacing w:before="20" w:after="20" w:line="220" w:lineRule="auto"/>
            </w:pPr>
            <w:r>
              <w:rPr>
                <w:sz w:val="15"/>
                <w:szCs w:val="15"/>
              </w:rPr>
              <w:t xml:space="preserve">Phoenix Group Holdings</w:t>
            </w:r>
          </w:p>
        </w:tc>
        <w:tc>
          <w:tcPr>
            <w:tcW w:w="3554" w:type="dxa"/>
          </w:tcPr>
          <w:p>
            <w:pPr>
              <w:pStyle w:val="Compact"/>
              <w:jc w:val="left"/>
              <w:spacing w:before="20" w:after="20" w:line="220" w:lineRule="auto"/>
            </w:pPr>
            <w:r>
              <w:rPr>
                <w:sz w:val="15"/>
                <w:szCs w:val="15"/>
              </w:rPr>
              <w:t xml:space="preserve">2018 full year results RNS 8542R (5 Mar 2019)</w:t>
            </w:r>
          </w:p>
        </w:tc>
        <w:tc>
          <w:tcPr>
            <w:tcW w:w="1636" w:type="dxa"/>
          </w:tcPr>
          <w:p>
            <w:pPr>
              <w:pStyle w:val="Compact"/>
              <w:jc w:val="left"/>
              <w:spacing w:before="20" w:after="20" w:line="220" w:lineRule="auto"/>
            </w:pPr>
            <w:r>
              <w:rPr>
                <w:sz w:val="15"/>
                <w:szCs w:val="15"/>
              </w:rPr>
              <w:t xml:space="preserve">FY2018</w:t>
            </w:r>
          </w:p>
        </w:tc>
        <w:tc>
          <w:tcPr>
            <w:tcW w:w="2273" w:type="dxa"/>
          </w:tcPr>
          <w:p>
            <w:pPr>
              <w:pStyle w:val="Compact"/>
              <w:jc w:val="left"/>
              <w:spacing w:before="20" w:after="20" w:line="220" w:lineRule="auto"/>
            </w:pPr>
            <w:r>
              <w:rPr>
                <w:sz w:val="15"/>
                <w:szCs w:val="15"/>
              </w:rPr>
              <w:t xml:space="preserve">Highlights; CEO report: cost and capital</w:t>
            </w:r>
          </w:p>
        </w:tc>
        <w:tc>
          <w:tcPr>
            <w:tcW w:w="3554" w:type="dxa"/>
          </w:tcPr>
          <w:p>
            <w:pPr>
              <w:pStyle w:val="Compact"/>
              <w:jc w:val="left"/>
              <w:spacing w:before="20" w:after="20" w:line="220" w:lineRule="auto"/>
            </w:pPr>
            <w:r>
              <w:rPr>
                <w:sz w:val="15"/>
                <w:szCs w:val="15"/>
              </w:rPr>
              <w:t xml:space="preserve">https://data.fca.org.uk/artefacts/NSM/data-migration/LSE20190305070022_13989855.html</w:t>
            </w:r>
          </w:p>
        </w:tc>
      </w:tr>
      <w:tr>
        <w:tc>
          <w:tcPr>
            <w:tcW w:w="1550" w:type="dxa"/>
          </w:tcPr>
          <w:p>
            <w:pPr>
              <w:pStyle w:val="Compact"/>
              <w:jc w:val="left"/>
              <w:spacing w:before="20" w:after="20" w:line="220" w:lineRule="auto"/>
            </w:pPr>
            <w:r>
              <w:rPr>
                <w:sz w:val="15"/>
                <w:szCs w:val="15"/>
              </w:rPr>
              <w:t xml:space="preserve">PR:S29</w:t>
            </w:r>
          </w:p>
        </w:tc>
        <w:tc>
          <w:tcPr>
            <w:tcW w:w="2001" w:type="dxa"/>
          </w:tcPr>
          <w:p>
            <w:pPr>
              <w:pStyle w:val="Compact"/>
              <w:jc w:val="left"/>
              <w:spacing w:before="20" w:after="20" w:line="220" w:lineRule="auto"/>
            </w:pPr>
            <w:r>
              <w:rPr>
                <w:sz w:val="15"/>
                <w:szCs w:val="15"/>
              </w:rPr>
              <w:t xml:space="preserve">Phoenix Group Holdings</w:t>
            </w:r>
          </w:p>
        </w:tc>
        <w:tc>
          <w:tcPr>
            <w:tcW w:w="3554" w:type="dxa"/>
          </w:tcPr>
          <w:p>
            <w:pPr>
              <w:pStyle w:val="Compact"/>
              <w:jc w:val="left"/>
              <w:spacing w:before="20" w:after="20" w:line="220" w:lineRule="auto"/>
            </w:pPr>
            <w:r>
              <w:rPr>
                <w:sz w:val="15"/>
                <w:szCs w:val="15"/>
              </w:rPr>
              <w:t xml:space="preserve">2019 annual financial results RNS (9 Mar 2020)</w:t>
            </w:r>
          </w:p>
        </w:tc>
        <w:tc>
          <w:tcPr>
            <w:tcW w:w="1636" w:type="dxa"/>
          </w:tcPr>
          <w:p>
            <w:pPr>
              <w:pStyle w:val="Compact"/>
              <w:jc w:val="left"/>
              <w:spacing w:before="20" w:after="20" w:line="220" w:lineRule="auto"/>
            </w:pPr>
            <w:r>
              <w:rPr>
                <w:sz w:val="15"/>
                <w:szCs w:val="15"/>
              </w:rPr>
              <w:t xml:space="preserve">FY2019</w:t>
            </w:r>
          </w:p>
        </w:tc>
        <w:tc>
          <w:tcPr>
            <w:tcW w:w="2273" w:type="dxa"/>
          </w:tcPr>
          <w:p>
            <w:pPr>
              <w:pStyle w:val="Compact"/>
              <w:jc w:val="left"/>
              <w:spacing w:before="20" w:after="20" w:line="220" w:lineRule="auto"/>
            </w:pPr>
            <w:r>
              <w:rPr>
                <w:sz w:val="15"/>
                <w:szCs w:val="15"/>
              </w:rPr>
              <w:t xml:space="preserve">Highlights; CEO report (HTML)</w:t>
            </w:r>
          </w:p>
        </w:tc>
        <w:tc>
          <w:tcPr>
            <w:tcW w:w="3554" w:type="dxa"/>
          </w:tcPr>
          <w:p>
            <w:pPr>
              <w:pStyle w:val="Compact"/>
              <w:jc w:val="left"/>
              <w:spacing w:before="20" w:after="20" w:line="220" w:lineRule="auto"/>
            </w:pPr>
            <w:r>
              <w:rPr>
                <w:sz w:val="15"/>
                <w:szCs w:val="15"/>
              </w:rPr>
              <w:t xml:space="preserve">https://www.investegate.co.uk/announcement/rns/standard-life-plc–sdlf/2019-annual-financial-results/5932638</w:t>
            </w:r>
          </w:p>
        </w:tc>
      </w:tr>
      <w:tr>
        <w:tc>
          <w:tcPr>
            <w:tcW w:w="1550" w:type="dxa"/>
          </w:tcPr>
          <w:p>
            <w:pPr>
              <w:pStyle w:val="Compact"/>
              <w:jc w:val="left"/>
              <w:spacing w:before="20" w:after="20" w:line="220" w:lineRule="auto"/>
            </w:pPr>
            <w:r>
              <w:rPr>
                <w:sz w:val="15"/>
                <w:szCs w:val="15"/>
              </w:rPr>
              <w:t xml:space="preserve">PR:S30</w:t>
            </w:r>
          </w:p>
        </w:tc>
        <w:tc>
          <w:tcPr>
            <w:tcW w:w="2001" w:type="dxa"/>
          </w:tcPr>
          <w:p>
            <w:pPr>
              <w:pStyle w:val="Compact"/>
              <w:jc w:val="left"/>
              <w:spacing w:before="20" w:after="20" w:line="220" w:lineRule="auto"/>
            </w:pPr>
            <w:r>
              <w:rPr>
                <w:sz w:val="15"/>
                <w:szCs w:val="15"/>
              </w:rPr>
              <w:t xml:space="preserve">Phoenix Group Holdings</w:t>
            </w:r>
          </w:p>
        </w:tc>
        <w:tc>
          <w:tcPr>
            <w:tcW w:w="3554" w:type="dxa"/>
          </w:tcPr>
          <w:p>
            <w:pPr>
              <w:pStyle w:val="Compact"/>
              <w:jc w:val="left"/>
              <w:spacing w:before="20" w:after="20" w:line="220" w:lineRule="auto"/>
            </w:pPr>
            <w:r>
              <w:rPr>
                <w:sz w:val="15"/>
                <w:szCs w:val="15"/>
              </w:rPr>
              <w:t xml:space="preserve">2020 full year results RNS 4087R (8 Mar 2021)</w:t>
            </w:r>
          </w:p>
        </w:tc>
        <w:tc>
          <w:tcPr>
            <w:tcW w:w="1636" w:type="dxa"/>
          </w:tcPr>
          <w:p>
            <w:pPr>
              <w:pStyle w:val="Compact"/>
              <w:jc w:val="left"/>
              <w:spacing w:before="20" w:after="20" w:line="220" w:lineRule="auto"/>
            </w:pPr>
            <w:r>
              <w:rPr>
                <w:sz w:val="15"/>
                <w:szCs w:val="15"/>
              </w:rPr>
              <w:t xml:space="preserve">FY2020</w:t>
            </w:r>
          </w:p>
        </w:tc>
        <w:tc>
          <w:tcPr>
            <w:tcW w:w="2273" w:type="dxa"/>
          </w:tcPr>
          <w:p>
            <w:pPr>
              <w:pStyle w:val="Compact"/>
              <w:jc w:val="left"/>
              <w:spacing w:before="20" w:after="20" w:line="220" w:lineRule="auto"/>
            </w:pPr>
            <w:r>
              <w:rPr>
                <w:sz w:val="15"/>
                <w:szCs w:val="15"/>
              </w:rPr>
              <w:t xml:space="preserve">Highlights; Solvency II management actio</w:t>
            </w:r>
          </w:p>
        </w:tc>
        <w:tc>
          <w:tcPr>
            <w:tcW w:w="3554" w:type="dxa"/>
          </w:tcPr>
          <w:p>
            <w:pPr>
              <w:pStyle w:val="Compact"/>
              <w:jc w:val="left"/>
              <w:spacing w:before="20" w:after="20" w:line="220" w:lineRule="auto"/>
            </w:pPr>
            <w:r>
              <w:rPr>
                <w:sz w:val="15"/>
                <w:szCs w:val="15"/>
              </w:rPr>
              <w:t xml:space="preserve">https://data.fca.org.uk/artefacts/NSM/RNS/3902414.html</w:t>
            </w:r>
          </w:p>
        </w:tc>
      </w:tr>
      <w:tr>
        <w:tc>
          <w:tcPr>
            <w:tcW w:w="1550" w:type="dxa"/>
          </w:tcPr>
          <w:p>
            <w:pPr>
              <w:pStyle w:val="Compact"/>
              <w:jc w:val="left"/>
              <w:spacing w:before="20" w:after="20" w:line="220" w:lineRule="auto"/>
            </w:pPr>
            <w:r>
              <w:rPr>
                <w:sz w:val="15"/>
                <w:szCs w:val="15"/>
              </w:rPr>
              <w:t xml:space="preserve">PR:S31</w:t>
            </w:r>
          </w:p>
        </w:tc>
        <w:tc>
          <w:tcPr>
            <w:tcW w:w="2001" w:type="dxa"/>
          </w:tcPr>
          <w:p>
            <w:pPr>
              <w:pStyle w:val="Compact"/>
              <w:jc w:val="left"/>
              <w:spacing w:before="20" w:after="20" w:line="220" w:lineRule="auto"/>
            </w:pPr>
            <w:r>
              <w:rPr>
                <w:sz w:val="15"/>
                <w:szCs w:val="15"/>
              </w:rPr>
              <w:t xml:space="preserve">Phoenix Group Holdings</w:t>
            </w:r>
          </w:p>
        </w:tc>
        <w:tc>
          <w:tcPr>
            <w:tcW w:w="3554" w:type="dxa"/>
          </w:tcPr>
          <w:p>
            <w:pPr>
              <w:pStyle w:val="Compact"/>
              <w:jc w:val="left"/>
              <w:spacing w:before="20" w:after="20" w:line="220" w:lineRule="auto"/>
            </w:pPr>
            <w:r>
              <w:rPr>
                <w:sz w:val="15"/>
                <w:szCs w:val="15"/>
              </w:rPr>
              <w:t xml:space="preserve">2024 full year results RNS (17 Mar 2025)</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Highlights (HTML)</w:t>
            </w:r>
          </w:p>
        </w:tc>
        <w:tc>
          <w:tcPr>
            <w:tcW w:w="3554" w:type="dxa"/>
          </w:tcPr>
          <w:p>
            <w:pPr>
              <w:pStyle w:val="Compact"/>
              <w:jc w:val="left"/>
              <w:spacing w:before="20" w:after="20" w:line="220" w:lineRule="auto"/>
            </w:pPr>
            <w:r>
              <w:rPr>
                <w:sz w:val="15"/>
                <w:szCs w:val="15"/>
              </w:rPr>
              <w:t xml:space="preserve">https://data.fca.org.uk/artefacts/NSM/RNS/5576444.html</w:t>
            </w:r>
          </w:p>
        </w:tc>
      </w:tr>
      <w:tr>
        <w:tc>
          <w:tcPr>
            <w:tcW w:w="1550" w:type="dxa"/>
          </w:tcPr>
          <w:p>
            <w:pPr>
              <w:pStyle w:val="Compact"/>
              <w:jc w:val="left"/>
              <w:spacing w:before="20" w:after="20" w:line="220" w:lineRule="auto"/>
            </w:pPr>
            <w:r>
              <w:rPr>
                <w:sz w:val="15"/>
                <w:szCs w:val="15"/>
              </w:rPr>
              <w:t xml:space="preserve">PR:S32</w:t>
            </w:r>
          </w:p>
        </w:tc>
        <w:tc>
          <w:tcPr>
            <w:tcW w:w="2001" w:type="dxa"/>
          </w:tcPr>
          <w:p>
            <w:pPr>
              <w:pStyle w:val="Compact"/>
              <w:jc w:val="left"/>
              <w:spacing w:before="20" w:after="20" w:line="220" w:lineRule="auto"/>
            </w:pPr>
            <w:r>
              <w:rPr>
                <w:sz w:val="15"/>
                <w:szCs w:val="15"/>
              </w:rPr>
              <w:t xml:space="preserve">Aegon N.V.</w:t>
            </w:r>
          </w:p>
        </w:tc>
        <w:tc>
          <w:tcPr>
            <w:tcW w:w="3554" w:type="dxa"/>
          </w:tcPr>
          <w:p>
            <w:pPr>
              <w:pStyle w:val="Compact"/>
              <w:jc w:val="left"/>
              <w:spacing w:before="20" w:after="20" w:line="220" w:lineRule="auto"/>
            </w:pPr>
            <w:r>
              <w:rPr>
                <w:sz w:val="15"/>
                <w:szCs w:val="15"/>
              </w:rPr>
              <w:t xml:space="preserve">Press release: Capital Markets Day 2020 (10 Dec 2020)</w:t>
            </w:r>
          </w:p>
        </w:tc>
        <w:tc>
          <w:tcPr>
            <w:tcW w:w="1636" w:type="dxa"/>
          </w:tcPr>
          <w:p>
            <w:pPr>
              <w:pStyle w:val="Compact"/>
              <w:jc w:val="left"/>
              <w:spacing w:before="20" w:after="20" w:line="220" w:lineRule="auto"/>
            </w:pPr>
            <w:r>
              <w:rPr>
                <w:sz w:val="15"/>
                <w:szCs w:val="15"/>
              </w:rPr>
              <w:t xml:space="preserve">FY2020</w:t>
            </w:r>
          </w:p>
        </w:tc>
        <w:tc>
          <w:tcPr>
            <w:tcW w:w="2273" w:type="dxa"/>
          </w:tcPr>
          <w:p>
            <w:pPr>
              <w:pStyle w:val="Compact"/>
              <w:jc w:val="left"/>
              <w:spacing w:before="20" w:after="20" w:line="220" w:lineRule="auto"/>
            </w:pPr>
            <w:r>
              <w:rPr>
                <w:sz w:val="15"/>
                <w:szCs w:val="15"/>
              </w:rPr>
              <w:t xml:space="preserve">1,2</w:t>
            </w:r>
          </w:p>
        </w:tc>
        <w:tc>
          <w:tcPr>
            <w:tcW w:w="3554" w:type="dxa"/>
          </w:tcPr>
          <w:p>
            <w:pPr>
              <w:pStyle w:val="Compact"/>
              <w:jc w:val="left"/>
              <w:spacing w:before="20" w:after="20" w:line="220" w:lineRule="auto"/>
            </w:pPr>
            <w:r>
              <w:rPr>
                <w:sz w:val="15"/>
                <w:szCs w:val="15"/>
              </w:rPr>
              <w:t xml:space="preserve">https://wwwedit-aegon-com.aegon.com/sites/default/files/file/2023-05/pr-aegon-capital-markets-day-2020.pdf</w:t>
            </w:r>
          </w:p>
        </w:tc>
      </w:tr>
      <w:tr>
        <w:tc>
          <w:tcPr>
            <w:tcW w:w="1550" w:type="dxa"/>
          </w:tcPr>
          <w:p>
            <w:pPr>
              <w:pStyle w:val="Compact"/>
              <w:jc w:val="left"/>
              <w:spacing w:before="20" w:after="20" w:line="220" w:lineRule="auto"/>
            </w:pPr>
            <w:r>
              <w:rPr>
                <w:sz w:val="15"/>
                <w:szCs w:val="15"/>
              </w:rPr>
              <w:t xml:space="preserve">PR:S33</w:t>
            </w:r>
          </w:p>
        </w:tc>
        <w:tc>
          <w:tcPr>
            <w:tcW w:w="2001" w:type="dxa"/>
          </w:tcPr>
          <w:p>
            <w:pPr>
              <w:pStyle w:val="Compact"/>
              <w:jc w:val="left"/>
              <w:spacing w:before="20" w:after="20" w:line="220" w:lineRule="auto"/>
            </w:pPr>
            <w:r>
              <w:rPr>
                <w:sz w:val="15"/>
                <w:szCs w:val="15"/>
              </w:rPr>
              <w:t xml:space="preserve">Aegon N.V.</w:t>
            </w:r>
          </w:p>
        </w:tc>
        <w:tc>
          <w:tcPr>
            <w:tcW w:w="3554" w:type="dxa"/>
          </w:tcPr>
          <w:p>
            <w:pPr>
              <w:pStyle w:val="Compact"/>
              <w:jc w:val="left"/>
              <w:spacing w:before="20" w:after="20" w:line="220" w:lineRule="auto"/>
            </w:pPr>
            <w:r>
              <w:rPr>
                <w:sz w:val="15"/>
                <w:szCs w:val="15"/>
              </w:rPr>
              <w:t xml:space="preserve">4Q 2022 results presentation (Mar 2023)</w:t>
            </w:r>
          </w:p>
        </w:tc>
        <w:tc>
          <w:tcPr>
            <w:tcW w:w="1636" w:type="dxa"/>
          </w:tcPr>
          <w:p>
            <w:pPr>
              <w:pStyle w:val="Compact"/>
              <w:jc w:val="left"/>
              <w:spacing w:before="20" w:after="20" w:line="220" w:lineRule="auto"/>
            </w:pPr>
            <w:r>
              <w:rPr>
                <w:sz w:val="15"/>
                <w:szCs w:val="15"/>
              </w:rPr>
              <w:t xml:space="preserve">FY2022</w:t>
            </w:r>
          </w:p>
        </w:tc>
        <w:tc>
          <w:tcPr>
            <w:tcW w:w="2273" w:type="dxa"/>
          </w:tcPr>
          <w:p>
            <w:pPr>
              <w:pStyle w:val="Compact"/>
              <w:jc w:val="left"/>
              <w:spacing w:before="20" w:after="20" w:line="220" w:lineRule="auto"/>
            </w:pPr>
            <w:r>
              <w:rPr>
                <w:sz w:val="15"/>
                <w:szCs w:val="15"/>
              </w:rPr>
              <w:t xml:space="preserve">8,11</w:t>
            </w:r>
          </w:p>
        </w:tc>
        <w:tc>
          <w:tcPr>
            <w:tcW w:w="3554" w:type="dxa"/>
          </w:tcPr>
          <w:p>
            <w:pPr>
              <w:pStyle w:val="Compact"/>
              <w:jc w:val="left"/>
              <w:spacing w:before="20" w:after="20" w:line="220" w:lineRule="auto"/>
            </w:pPr>
            <w:r>
              <w:rPr>
                <w:sz w:val="15"/>
                <w:szCs w:val="15"/>
              </w:rPr>
              <w:t xml:space="preserve">https://www.aegon.com/sites/default/files/file/2023-03/aegon-4q-2022-presentation_0.pdf</w:t>
            </w:r>
          </w:p>
        </w:tc>
      </w:tr>
      <w:tr>
        <w:tc>
          <w:tcPr>
            <w:tcW w:w="1550" w:type="dxa"/>
          </w:tcPr>
          <w:p>
            <w:pPr>
              <w:pStyle w:val="Compact"/>
              <w:jc w:val="left"/>
              <w:spacing w:before="20" w:after="20" w:line="220" w:lineRule="auto"/>
            </w:pPr>
            <w:r>
              <w:rPr>
                <w:sz w:val="15"/>
                <w:szCs w:val="15"/>
              </w:rPr>
              <w:t xml:space="preserve">PR:S34</w:t>
            </w:r>
          </w:p>
        </w:tc>
        <w:tc>
          <w:tcPr>
            <w:tcW w:w="2001" w:type="dxa"/>
          </w:tcPr>
          <w:p>
            <w:pPr>
              <w:pStyle w:val="Compact"/>
              <w:jc w:val="left"/>
              <w:spacing w:before="20" w:after="20" w:line="220" w:lineRule="auto"/>
            </w:pPr>
            <w:r>
              <w:rPr>
                <w:sz w:val="15"/>
                <w:szCs w:val="15"/>
              </w:rPr>
              <w:t xml:space="preserve">Aegon Ltd.</w:t>
            </w:r>
          </w:p>
        </w:tc>
        <w:tc>
          <w:tcPr>
            <w:tcW w:w="3554" w:type="dxa"/>
          </w:tcPr>
          <w:p>
            <w:pPr>
              <w:pStyle w:val="Compact"/>
              <w:jc w:val="left"/>
              <w:spacing w:before="20" w:after="20" w:line="220" w:lineRule="auto"/>
            </w:pPr>
            <w:r>
              <w:rPr>
                <w:sz w:val="15"/>
                <w:szCs w:val="15"/>
              </w:rPr>
              <w:t xml:space="preserve">Press release: Aegon reports second half year 2023 results (Feb 2024)</w:t>
            </w:r>
          </w:p>
        </w:tc>
        <w:tc>
          <w:tcPr>
            <w:tcW w:w="1636" w:type="dxa"/>
          </w:tcPr>
          <w:p>
            <w:pPr>
              <w:pStyle w:val="Compact"/>
              <w:jc w:val="left"/>
              <w:spacing w:before="20" w:after="20" w:line="220" w:lineRule="auto"/>
            </w:pPr>
            <w:r>
              <w:rPr>
                <w:sz w:val="15"/>
                <w:szCs w:val="15"/>
              </w:rPr>
              <w:t xml:space="preserve">2H 2023</w:t>
            </w:r>
          </w:p>
        </w:tc>
        <w:tc>
          <w:tcPr>
            <w:tcW w:w="2273" w:type="dxa"/>
          </w:tcPr>
          <w:p>
            <w:pPr>
              <w:pStyle w:val="Compact"/>
              <w:jc w:val="left"/>
              <w:spacing w:before="20" w:after="20" w:line="220" w:lineRule="auto"/>
            </w:pPr>
            <w:r>
              <w:rPr>
                <w:sz w:val="15"/>
                <w:szCs w:val="15"/>
              </w:rPr>
              <w:t xml:space="preserve">17,21,22</w:t>
            </w:r>
          </w:p>
        </w:tc>
        <w:tc>
          <w:tcPr>
            <w:tcW w:w="3554" w:type="dxa"/>
          </w:tcPr>
          <w:p>
            <w:pPr>
              <w:pStyle w:val="Compact"/>
              <w:jc w:val="left"/>
              <w:spacing w:before="20" w:after="20" w:line="220" w:lineRule="auto"/>
            </w:pPr>
            <w:r>
              <w:rPr>
                <w:sz w:val="15"/>
                <w:szCs w:val="15"/>
              </w:rPr>
              <w:t xml:space="preserve">https://wwwedit-aegon-com.aegon.com/system/files/file/2024-02/aegon-reports-2h-2023-pr.pdf</w:t>
            </w:r>
          </w:p>
        </w:tc>
      </w:tr>
      <w:tr>
        <w:tc>
          <w:tcPr>
            <w:tcW w:w="1550" w:type="dxa"/>
          </w:tcPr>
          <w:p>
            <w:pPr>
              <w:pStyle w:val="Compact"/>
              <w:jc w:val="left"/>
              <w:spacing w:before="20" w:after="20" w:line="220" w:lineRule="auto"/>
            </w:pPr>
            <w:r>
              <w:rPr>
                <w:sz w:val="15"/>
                <w:szCs w:val="15"/>
              </w:rPr>
              <w:t xml:space="preserve">PR:S35</w:t>
            </w:r>
          </w:p>
        </w:tc>
        <w:tc>
          <w:tcPr>
            <w:tcW w:w="2001" w:type="dxa"/>
          </w:tcPr>
          <w:p>
            <w:pPr>
              <w:pStyle w:val="Compact"/>
              <w:jc w:val="left"/>
              <w:spacing w:before="20" w:after="20" w:line="220" w:lineRule="auto"/>
            </w:pPr>
            <w:r>
              <w:rPr>
                <w:sz w:val="15"/>
                <w:szCs w:val="15"/>
              </w:rPr>
              <w:t xml:space="preserve">AXA SA</w:t>
            </w:r>
          </w:p>
        </w:tc>
        <w:tc>
          <w:tcPr>
            <w:tcW w:w="3554" w:type="dxa"/>
          </w:tcPr>
          <w:p>
            <w:pPr>
              <w:pStyle w:val="Compact"/>
              <w:jc w:val="left"/>
              <w:spacing w:before="20" w:after="20" w:line="220" w:lineRule="auto"/>
            </w:pPr>
            <w:r>
              <w:rPr>
                <w:sz w:val="15"/>
                <w:szCs w:val="15"/>
              </w:rPr>
              <w:t xml:space="preserve">Press release: Focus and Transform, Ambition 2020 (21 Jun 2016), AMF copy</w:t>
            </w:r>
          </w:p>
        </w:tc>
        <w:tc>
          <w:tcPr>
            <w:tcW w:w="1636" w:type="dxa"/>
          </w:tcPr>
          <w:p>
            <w:pPr>
              <w:pStyle w:val="Compact"/>
              <w:jc w:val="left"/>
              <w:spacing w:before="20" w:after="20" w:line="220" w:lineRule="auto"/>
            </w:pPr>
            <w:r>
              <w:rPr>
                <w:sz w:val="15"/>
                <w:szCs w:val="15"/>
              </w:rPr>
              <w:t xml:space="preserve">FY2016</w:t>
            </w:r>
          </w:p>
        </w:tc>
        <w:tc>
          <w:tcPr>
            <w:tcW w:w="2273" w:type="dxa"/>
          </w:tcPr>
          <w:p>
            <w:pPr>
              <w:pStyle w:val="Compact"/>
              <w:jc w:val="left"/>
              <w:spacing w:before="20" w:after="20" w:line="220" w:lineRule="auto"/>
            </w:pPr>
            <w:r>
              <w:rPr>
                <w:sz w:val="15"/>
                <w:szCs w:val="15"/>
              </w:rPr>
              <w:t xml:space="preserve">1</w:t>
            </w:r>
          </w:p>
        </w:tc>
        <w:tc>
          <w:tcPr>
            <w:tcW w:w="3554" w:type="dxa"/>
          </w:tcPr>
          <w:p>
            <w:pPr>
              <w:pStyle w:val="Compact"/>
              <w:jc w:val="left"/>
              <w:spacing w:before="20" w:after="20" w:line="220" w:lineRule="auto"/>
            </w:pPr>
            <w:r>
              <w:rPr>
                <w:sz w:val="15"/>
                <w:szCs w:val="15"/>
              </w:rPr>
              <w:t xml:space="preserve">https://echanges.dila.gouv.fr/OPENDATA/AMF/ECO/2016/06/FCECO040569_20160621.pdf</w:t>
            </w:r>
          </w:p>
        </w:tc>
      </w:tr>
      <w:tr>
        <w:tc>
          <w:tcPr>
            <w:tcW w:w="1550" w:type="dxa"/>
          </w:tcPr>
          <w:p>
            <w:pPr>
              <w:pStyle w:val="Compact"/>
              <w:jc w:val="left"/>
              <w:spacing w:before="20" w:after="20" w:line="220" w:lineRule="auto"/>
            </w:pPr>
            <w:r>
              <w:rPr>
                <w:sz w:val="15"/>
                <w:szCs w:val="15"/>
              </w:rPr>
              <w:t xml:space="preserve">PR:S36</w:t>
            </w:r>
          </w:p>
        </w:tc>
        <w:tc>
          <w:tcPr>
            <w:tcW w:w="2001" w:type="dxa"/>
          </w:tcPr>
          <w:p>
            <w:pPr>
              <w:pStyle w:val="Compact"/>
              <w:jc w:val="left"/>
              <w:spacing w:before="20" w:after="20" w:line="220" w:lineRule="auto"/>
            </w:pPr>
            <w:r>
              <w:rPr>
                <w:sz w:val="15"/>
                <w:szCs w:val="15"/>
              </w:rPr>
              <w:t xml:space="preserve">AXA SA</w:t>
            </w:r>
          </w:p>
        </w:tc>
        <w:tc>
          <w:tcPr>
            <w:tcW w:w="3554" w:type="dxa"/>
          </w:tcPr>
          <w:p>
            <w:pPr>
              <w:pStyle w:val="Compact"/>
              <w:jc w:val="left"/>
              <w:spacing w:before="20" w:after="20" w:line="220" w:lineRule="auto"/>
            </w:pPr>
            <w:r>
              <w:rPr>
                <w:sz w:val="15"/>
                <w:szCs w:val="15"/>
              </w:rPr>
              <w:t xml:space="preserve">Press release: Investor Day Driving Progress 2023 (1 Dec 2020), AMF copy</w:t>
            </w:r>
          </w:p>
        </w:tc>
        <w:tc>
          <w:tcPr>
            <w:tcW w:w="1636" w:type="dxa"/>
          </w:tcPr>
          <w:p>
            <w:pPr>
              <w:pStyle w:val="Compact"/>
              <w:jc w:val="left"/>
              <w:spacing w:before="20" w:after="20" w:line="220" w:lineRule="auto"/>
            </w:pPr>
            <w:r>
              <w:rPr>
                <w:sz w:val="15"/>
                <w:szCs w:val="15"/>
              </w:rPr>
              <w:t xml:space="preserve">FY2020</w:t>
            </w:r>
          </w:p>
        </w:tc>
        <w:tc>
          <w:tcPr>
            <w:tcW w:w="2273" w:type="dxa"/>
          </w:tcPr>
          <w:p>
            <w:pPr>
              <w:pStyle w:val="Compact"/>
              <w:jc w:val="left"/>
              <w:spacing w:before="20" w:after="20" w:line="220" w:lineRule="auto"/>
            </w:pPr>
            <w:r>
              <w:rPr>
                <w:sz w:val="15"/>
                <w:szCs w:val="15"/>
              </w:rPr>
              <w:t xml:space="preserve">2</w:t>
            </w:r>
          </w:p>
        </w:tc>
        <w:tc>
          <w:tcPr>
            <w:tcW w:w="3554" w:type="dxa"/>
          </w:tcPr>
          <w:p>
            <w:pPr>
              <w:pStyle w:val="Compact"/>
              <w:jc w:val="left"/>
              <w:spacing w:before="20" w:after="20" w:line="220" w:lineRule="auto"/>
            </w:pPr>
            <w:r>
              <w:rPr>
                <w:sz w:val="15"/>
                <w:szCs w:val="15"/>
              </w:rPr>
              <w:t xml:space="preserve">https://echanges.dila.gouv.fr/OPENDATA/AMF/ECO/2020/12/FCECO057124_20201201.pdf</w:t>
            </w:r>
          </w:p>
        </w:tc>
      </w:tr>
      <w:tr>
        <w:tc>
          <w:tcPr>
            <w:tcW w:w="1550" w:type="dxa"/>
          </w:tcPr>
          <w:p>
            <w:pPr>
              <w:pStyle w:val="Compact"/>
              <w:jc w:val="left"/>
              <w:spacing w:before="20" w:after="20" w:line="220" w:lineRule="auto"/>
            </w:pPr>
            <w:r>
              <w:rPr>
                <w:sz w:val="15"/>
                <w:szCs w:val="15"/>
              </w:rPr>
              <w:t xml:space="preserve">PR:S37</w:t>
            </w:r>
          </w:p>
        </w:tc>
        <w:tc>
          <w:tcPr>
            <w:tcW w:w="2001" w:type="dxa"/>
          </w:tcPr>
          <w:p>
            <w:pPr>
              <w:pStyle w:val="Compact"/>
              <w:jc w:val="left"/>
              <w:spacing w:before="20" w:after="20" w:line="220" w:lineRule="auto"/>
            </w:pPr>
            <w:r>
              <w:rPr>
                <w:sz w:val="15"/>
                <w:szCs w:val="15"/>
              </w:rPr>
              <w:t xml:space="preserve">Assicurazioni Generali</w:t>
            </w:r>
          </w:p>
        </w:tc>
        <w:tc>
          <w:tcPr>
            <w:tcW w:w="3554" w:type="dxa"/>
          </w:tcPr>
          <w:p>
            <w:pPr>
              <w:pStyle w:val="Compact"/>
              <w:jc w:val="left"/>
              <w:spacing w:before="20" w:after="20" w:line="220" w:lineRule="auto"/>
            </w:pPr>
            <w:r>
              <w:rPr>
                <w:sz w:val="15"/>
                <w:szCs w:val="15"/>
              </w:rPr>
              <w:t xml:space="preserve">Press release: Investor Day 2016 (23 Nov 2016)</w:t>
            </w:r>
          </w:p>
        </w:tc>
        <w:tc>
          <w:tcPr>
            <w:tcW w:w="1636" w:type="dxa"/>
          </w:tcPr>
          <w:p>
            <w:pPr>
              <w:pStyle w:val="Compact"/>
              <w:jc w:val="left"/>
              <w:spacing w:before="20" w:after="20" w:line="220" w:lineRule="auto"/>
            </w:pPr>
            <w:r>
              <w:rPr>
                <w:sz w:val="15"/>
                <w:szCs w:val="15"/>
              </w:rPr>
              <w:t xml:space="preserve">FY2016</w:t>
            </w:r>
          </w:p>
        </w:tc>
        <w:tc>
          <w:tcPr>
            <w:tcW w:w="2273" w:type="dxa"/>
          </w:tcPr>
          <w:p>
            <w:pPr>
              <w:pStyle w:val="Compact"/>
              <w:jc w:val="left"/>
              <w:spacing w:before="20" w:after="20" w:line="220" w:lineRule="auto"/>
            </w:pPr>
            <w:r>
              <w:rPr>
                <w:sz w:val="15"/>
                <w:szCs w:val="15"/>
              </w:rPr>
              <w:t xml:space="preserve">2,3</w:t>
            </w:r>
          </w:p>
        </w:tc>
        <w:tc>
          <w:tcPr>
            <w:tcW w:w="3554" w:type="dxa"/>
          </w:tcPr>
          <w:p>
            <w:pPr>
              <w:pStyle w:val="Compact"/>
              <w:jc w:val="left"/>
              <w:spacing w:before="20" w:after="20" w:line="220" w:lineRule="auto"/>
            </w:pPr>
            <w:r>
              <w:rPr>
                <w:sz w:val="15"/>
                <w:szCs w:val="15"/>
              </w:rPr>
              <w:t xml:space="preserve">https://emarketstorage.it/sites/default/files/comunicati/2022-05/20161123_23080.pdf</w:t>
            </w:r>
          </w:p>
        </w:tc>
      </w:tr>
      <w:tr>
        <w:tc>
          <w:tcPr>
            <w:tcW w:w="1550" w:type="dxa"/>
          </w:tcPr>
          <w:p>
            <w:pPr>
              <w:pStyle w:val="Compact"/>
              <w:jc w:val="left"/>
              <w:spacing w:before="20" w:after="20" w:line="220" w:lineRule="auto"/>
            </w:pPr>
            <w:r>
              <w:rPr>
                <w:sz w:val="15"/>
                <w:szCs w:val="15"/>
              </w:rPr>
              <w:t xml:space="preserve">PR:S38</w:t>
            </w:r>
          </w:p>
        </w:tc>
        <w:tc>
          <w:tcPr>
            <w:tcW w:w="2001" w:type="dxa"/>
          </w:tcPr>
          <w:p>
            <w:pPr>
              <w:pStyle w:val="Compact"/>
              <w:jc w:val="left"/>
              <w:spacing w:before="20" w:after="20" w:line="220" w:lineRule="auto"/>
            </w:pPr>
            <w:r>
              <w:rPr>
                <w:sz w:val="15"/>
                <w:szCs w:val="15"/>
              </w:rPr>
              <w:t xml:space="preserve">Assicurazioni Generali</w:t>
            </w:r>
          </w:p>
        </w:tc>
        <w:tc>
          <w:tcPr>
            <w:tcW w:w="3554" w:type="dxa"/>
          </w:tcPr>
          <w:p>
            <w:pPr>
              <w:pStyle w:val="Compact"/>
              <w:jc w:val="left"/>
              <w:spacing w:before="20" w:after="20" w:line="220" w:lineRule="auto"/>
            </w:pPr>
            <w:r>
              <w:rPr>
                <w:sz w:val="15"/>
                <w:szCs w:val="15"/>
              </w:rPr>
              <w:t xml:space="preserve">Press release: consolidated results FY2016 (16 Mar 2017, Italian)</w:t>
            </w:r>
          </w:p>
        </w:tc>
        <w:tc>
          <w:tcPr>
            <w:tcW w:w="1636" w:type="dxa"/>
          </w:tcPr>
          <w:p>
            <w:pPr>
              <w:pStyle w:val="Compact"/>
              <w:jc w:val="left"/>
              <w:spacing w:before="20" w:after="20" w:line="220" w:lineRule="auto"/>
            </w:pPr>
            <w:r>
              <w:rPr>
                <w:sz w:val="15"/>
                <w:szCs w:val="15"/>
              </w:rPr>
              <w:t xml:space="preserve">FY2016</w:t>
            </w:r>
          </w:p>
        </w:tc>
        <w:tc>
          <w:tcPr>
            <w:tcW w:w="2273" w:type="dxa"/>
          </w:tcPr>
          <w:p>
            <w:pPr>
              <w:pStyle w:val="Compact"/>
              <w:jc w:val="left"/>
              <w:spacing w:before="20" w:after="20" w:line="220" w:lineRule="auto"/>
            </w:pPr>
            <w:r>
              <w:rPr>
                <w:sz w:val="15"/>
                <w:szCs w:val="15"/>
              </w:rPr>
              <w:t xml:space="preserve">2,8</w:t>
            </w:r>
          </w:p>
        </w:tc>
        <w:tc>
          <w:tcPr>
            <w:tcW w:w="3554" w:type="dxa"/>
          </w:tcPr>
          <w:p>
            <w:pPr>
              <w:pStyle w:val="Compact"/>
              <w:jc w:val="left"/>
              <w:spacing w:before="20" w:after="20" w:line="220" w:lineRule="auto"/>
            </w:pPr>
            <w:r>
              <w:rPr>
                <w:sz w:val="15"/>
                <w:szCs w:val="15"/>
              </w:rPr>
              <w:t xml:space="preserve">https://emarketstorage.it/sites/default/files/comunicati/2022-05/20170316_27172.pdf</w:t>
            </w:r>
          </w:p>
        </w:tc>
      </w:tr>
      <w:tr>
        <w:tc>
          <w:tcPr>
            <w:tcW w:w="1550" w:type="dxa"/>
          </w:tcPr>
          <w:p>
            <w:pPr>
              <w:pStyle w:val="Compact"/>
              <w:jc w:val="left"/>
              <w:spacing w:before="20" w:after="20" w:line="220" w:lineRule="auto"/>
            </w:pPr>
            <w:r>
              <w:rPr>
                <w:sz w:val="15"/>
                <w:szCs w:val="15"/>
              </w:rPr>
              <w:t xml:space="preserve">PR:S39</w:t>
            </w:r>
          </w:p>
        </w:tc>
        <w:tc>
          <w:tcPr>
            <w:tcW w:w="2001" w:type="dxa"/>
          </w:tcPr>
          <w:p>
            <w:pPr>
              <w:pStyle w:val="Compact"/>
              <w:jc w:val="left"/>
              <w:spacing w:before="20" w:after="20" w:line="220" w:lineRule="auto"/>
            </w:pPr>
            <w:r>
              <w:rPr>
                <w:sz w:val="15"/>
                <w:szCs w:val="15"/>
              </w:rPr>
              <w:t xml:space="preserve">Assicurazioni Generali</w:t>
            </w:r>
          </w:p>
        </w:tc>
        <w:tc>
          <w:tcPr>
            <w:tcW w:w="3554" w:type="dxa"/>
          </w:tcPr>
          <w:p>
            <w:pPr>
              <w:pStyle w:val="Compact"/>
              <w:jc w:val="left"/>
              <w:spacing w:before="20" w:after="20" w:line="220" w:lineRule="auto"/>
            </w:pPr>
            <w:r>
              <w:rPr>
                <w:sz w:val="15"/>
                <w:szCs w:val="15"/>
              </w:rPr>
              <w:t xml:space="preserve">Press release: consolidated results as of 31 December 2017 (15 Mar 2018)</w:t>
            </w:r>
          </w:p>
        </w:tc>
        <w:tc>
          <w:tcPr>
            <w:tcW w:w="1636" w:type="dxa"/>
          </w:tcPr>
          <w:p>
            <w:pPr>
              <w:pStyle w:val="Compact"/>
              <w:jc w:val="left"/>
              <w:spacing w:before="20" w:after="20" w:line="220" w:lineRule="auto"/>
            </w:pPr>
            <w:r>
              <w:rPr>
                <w:sz w:val="15"/>
                <w:szCs w:val="15"/>
              </w:rPr>
              <w:t xml:space="preserve">FY2017</w:t>
            </w:r>
          </w:p>
        </w:tc>
        <w:tc>
          <w:tcPr>
            <w:tcW w:w="2273" w:type="dxa"/>
          </w:tcPr>
          <w:p>
            <w:pPr>
              <w:pStyle w:val="Compact"/>
              <w:jc w:val="left"/>
              <w:spacing w:before="20" w:after="20" w:line="220" w:lineRule="auto"/>
            </w:pPr>
            <w:r>
              <w:rPr>
                <w:sz w:val="15"/>
                <w:szCs w:val="15"/>
              </w:rPr>
              <w:t xml:space="preserve">2,3</w:t>
            </w:r>
          </w:p>
        </w:tc>
        <w:tc>
          <w:tcPr>
            <w:tcW w:w="3554" w:type="dxa"/>
          </w:tcPr>
          <w:p>
            <w:pPr>
              <w:pStyle w:val="Compact"/>
              <w:jc w:val="left"/>
              <w:spacing w:before="20" w:after="20" w:line="220" w:lineRule="auto"/>
            </w:pPr>
            <w:r>
              <w:rPr>
                <w:sz w:val="15"/>
                <w:szCs w:val="15"/>
              </w:rPr>
              <w:t xml:space="preserve">https://emarketstorage.it/sites/default/files/comunicati/2022-05/20180315_42251.pdf</w:t>
            </w:r>
          </w:p>
        </w:tc>
      </w:tr>
      <w:tr>
        <w:tc>
          <w:tcPr>
            <w:tcW w:w="1550" w:type="dxa"/>
          </w:tcPr>
          <w:p>
            <w:pPr>
              <w:pStyle w:val="Compact"/>
              <w:jc w:val="left"/>
              <w:spacing w:before="20" w:after="20" w:line="220" w:lineRule="auto"/>
            </w:pPr>
            <w:r>
              <w:rPr>
                <w:sz w:val="15"/>
                <w:szCs w:val="15"/>
              </w:rPr>
              <w:t xml:space="preserve">PR:S40</w:t>
            </w:r>
          </w:p>
        </w:tc>
        <w:tc>
          <w:tcPr>
            <w:tcW w:w="2001" w:type="dxa"/>
          </w:tcPr>
          <w:p>
            <w:pPr>
              <w:pStyle w:val="Compact"/>
              <w:jc w:val="left"/>
              <w:spacing w:before="20" w:after="20" w:line="220" w:lineRule="auto"/>
            </w:pPr>
            <w:r>
              <w:rPr>
                <w:sz w:val="15"/>
                <w:szCs w:val="15"/>
              </w:rPr>
              <w:t xml:space="preserve">Prudential plc</w:t>
            </w:r>
          </w:p>
        </w:tc>
        <w:tc>
          <w:tcPr>
            <w:tcW w:w="3554" w:type="dxa"/>
          </w:tcPr>
          <w:p>
            <w:pPr>
              <w:pStyle w:val="Compact"/>
              <w:jc w:val="left"/>
              <w:spacing w:before="20" w:after="20" w:line="220" w:lineRule="auto"/>
            </w:pPr>
            <w:r>
              <w:rPr>
                <w:sz w:val="15"/>
                <w:szCs w:val="15"/>
              </w:rPr>
              <w:t xml:space="preserve">2020 full year results RNS (3 Mar 2021)</w:t>
            </w:r>
          </w:p>
        </w:tc>
        <w:tc>
          <w:tcPr>
            <w:tcW w:w="1636" w:type="dxa"/>
          </w:tcPr>
          <w:p>
            <w:pPr>
              <w:pStyle w:val="Compact"/>
              <w:jc w:val="left"/>
              <w:spacing w:before="20" w:after="20" w:line="220" w:lineRule="auto"/>
            </w:pPr>
            <w:r>
              <w:rPr>
                <w:sz w:val="15"/>
                <w:szCs w:val="15"/>
              </w:rPr>
              <w:t xml:space="preserve">FY2020</w:t>
            </w:r>
          </w:p>
        </w:tc>
        <w:tc>
          <w:tcPr>
            <w:tcW w:w="2273" w:type="dxa"/>
          </w:tcPr>
          <w:p>
            <w:pPr>
              <w:pStyle w:val="Compact"/>
              <w:jc w:val="left"/>
              <w:spacing w:before="20" w:after="20" w:line="220" w:lineRule="auto"/>
            </w:pPr>
            <w:r>
              <w:rPr>
                <w:sz w:val="15"/>
                <w:szCs w:val="15"/>
              </w:rPr>
              <w:t xml:space="preserve">Highlights; CFO review: central expenses</w:t>
            </w:r>
          </w:p>
        </w:tc>
        <w:tc>
          <w:tcPr>
            <w:tcW w:w="3554" w:type="dxa"/>
          </w:tcPr>
          <w:p>
            <w:pPr>
              <w:pStyle w:val="Compact"/>
              <w:jc w:val="left"/>
              <w:spacing w:before="20" w:after="20" w:line="220" w:lineRule="auto"/>
            </w:pPr>
            <w:r>
              <w:rPr>
                <w:sz w:val="15"/>
                <w:szCs w:val="15"/>
              </w:rPr>
              <w:t xml:space="preserve">https://data.fca.org.uk/artefacts/NSM/RNS/3897741.html</w:t>
            </w:r>
          </w:p>
        </w:tc>
      </w:tr>
      <w:tr>
        <w:tc>
          <w:tcPr>
            <w:tcW w:w="1550" w:type="dxa"/>
          </w:tcPr>
          <w:p>
            <w:pPr>
              <w:pStyle w:val="Compact"/>
              <w:jc w:val="left"/>
              <w:spacing w:before="20" w:after="20" w:line="220" w:lineRule="auto"/>
            </w:pPr>
            <w:r>
              <w:rPr>
                <w:sz w:val="15"/>
                <w:szCs w:val="15"/>
              </w:rPr>
              <w:t xml:space="preserve">PR:S41</w:t>
            </w:r>
          </w:p>
        </w:tc>
        <w:tc>
          <w:tcPr>
            <w:tcW w:w="2001" w:type="dxa"/>
          </w:tcPr>
          <w:p>
            <w:pPr>
              <w:pStyle w:val="Compact"/>
              <w:jc w:val="left"/>
              <w:spacing w:before="20" w:after="20" w:line="220" w:lineRule="auto"/>
            </w:pPr>
            <w:r>
              <w:rPr>
                <w:sz w:val="15"/>
                <w:szCs w:val="15"/>
              </w:rPr>
              <w:t xml:space="preserve">Standard Life Aberdeen plc</w:t>
            </w:r>
          </w:p>
        </w:tc>
        <w:tc>
          <w:tcPr>
            <w:tcW w:w="3554" w:type="dxa"/>
          </w:tcPr>
          <w:p>
            <w:pPr>
              <w:pStyle w:val="Compact"/>
              <w:jc w:val="left"/>
              <w:spacing w:before="20" w:after="20" w:line="220" w:lineRule="auto"/>
            </w:pPr>
            <w:r>
              <w:rPr>
                <w:sz w:val="15"/>
                <w:szCs w:val="15"/>
              </w:rPr>
              <w:t xml:space="preserve">Half year results 2018 RNS part 1 of 4 (7 Aug 2018)</w:t>
            </w:r>
          </w:p>
        </w:tc>
        <w:tc>
          <w:tcPr>
            <w:tcW w:w="1636" w:type="dxa"/>
          </w:tcPr>
          <w:p>
            <w:pPr>
              <w:pStyle w:val="Compact"/>
              <w:jc w:val="left"/>
              <w:spacing w:before="20" w:after="20" w:line="220" w:lineRule="auto"/>
            </w:pPr>
            <w:r>
              <w:rPr>
                <w:sz w:val="15"/>
                <w:szCs w:val="15"/>
              </w:rPr>
              <w:t xml:space="preserve">H1 2018</w:t>
            </w:r>
          </w:p>
        </w:tc>
        <w:tc>
          <w:tcPr>
            <w:tcW w:w="2273" w:type="dxa"/>
          </w:tcPr>
          <w:p>
            <w:pPr>
              <w:pStyle w:val="Compact"/>
              <w:jc w:val="left"/>
              <w:spacing w:before="20" w:after="20" w:line="220" w:lineRule="auto"/>
            </w:pPr>
            <w:r>
              <w:rPr>
                <w:sz w:val="15"/>
                <w:szCs w:val="15"/>
              </w:rPr>
              <w:t xml:space="preserve">Highlights; CEO review (HTML)</w:t>
            </w:r>
          </w:p>
        </w:tc>
        <w:tc>
          <w:tcPr>
            <w:tcW w:w="3554" w:type="dxa"/>
          </w:tcPr>
          <w:p>
            <w:pPr>
              <w:pStyle w:val="Compact"/>
              <w:jc w:val="left"/>
              <w:spacing w:before="20" w:after="20" w:line="220" w:lineRule="auto"/>
            </w:pPr>
            <w:r>
              <w:rPr>
                <w:sz w:val="15"/>
                <w:szCs w:val="15"/>
              </w:rPr>
              <w:t xml:space="preserve">https://www.investegate.co.uk/announcement/rns/aberdeen-group-plc–abdn/half-year-report-part-1-of-4/5487312</w:t>
            </w:r>
          </w:p>
        </w:tc>
      </w:tr>
      <w:tr>
        <w:tc>
          <w:tcPr>
            <w:tcW w:w="1550" w:type="dxa"/>
          </w:tcPr>
          <w:p>
            <w:pPr>
              <w:pStyle w:val="Compact"/>
              <w:jc w:val="left"/>
              <w:spacing w:before="20" w:after="20" w:line="220" w:lineRule="auto"/>
            </w:pPr>
            <w:r>
              <w:rPr>
                <w:sz w:val="15"/>
                <w:szCs w:val="15"/>
              </w:rPr>
              <w:t xml:space="preserve">PR:S42</w:t>
            </w:r>
          </w:p>
        </w:tc>
        <w:tc>
          <w:tcPr>
            <w:tcW w:w="2001" w:type="dxa"/>
          </w:tcPr>
          <w:p>
            <w:pPr>
              <w:pStyle w:val="Compact"/>
              <w:jc w:val="left"/>
              <w:spacing w:before="20" w:after="20" w:line="220" w:lineRule="auto"/>
            </w:pPr>
            <w:r>
              <w:rPr>
                <w:sz w:val="15"/>
                <w:szCs w:val="15"/>
              </w:rPr>
              <w:t xml:space="preserve">Quilter plc</w:t>
            </w:r>
          </w:p>
        </w:tc>
        <w:tc>
          <w:tcPr>
            <w:tcW w:w="3554" w:type="dxa"/>
          </w:tcPr>
          <w:p>
            <w:pPr>
              <w:pStyle w:val="Compact"/>
              <w:jc w:val="left"/>
              <w:spacing w:before="20" w:after="20" w:line="220" w:lineRule="auto"/>
            </w:pPr>
            <w:r>
              <w:rPr>
                <w:sz w:val="15"/>
                <w:szCs w:val="15"/>
              </w:rPr>
              <w:t xml:space="preserve">Full year 2024 results RNS part 1 (5 Mar 2025)</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Highlights; strategy section 3; operatin</w:t>
            </w:r>
          </w:p>
        </w:tc>
        <w:tc>
          <w:tcPr>
            <w:tcW w:w="3554" w:type="dxa"/>
          </w:tcPr>
          <w:p>
            <w:pPr>
              <w:pStyle w:val="Compact"/>
              <w:jc w:val="left"/>
              <w:spacing w:before="20" w:after="20" w:line="220" w:lineRule="auto"/>
            </w:pPr>
            <w:r>
              <w:rPr>
                <w:sz w:val="15"/>
                <w:szCs w:val="15"/>
              </w:rPr>
              <w:t xml:space="preserve">https://data.fca.org.uk/artefacts/NSM/RNS/5561054.html</w:t>
            </w:r>
          </w:p>
        </w:tc>
      </w:tr>
      <w:tr>
        <w:tc>
          <w:tcPr>
            <w:tcW w:w="1550" w:type="dxa"/>
          </w:tcPr>
          <w:p>
            <w:pPr>
              <w:pStyle w:val="Compact"/>
              <w:jc w:val="left"/>
              <w:spacing w:before="20" w:after="20" w:line="220" w:lineRule="auto"/>
            </w:pPr>
            <w:r>
              <w:rPr>
                <w:sz w:val="15"/>
                <w:szCs w:val="15"/>
              </w:rPr>
              <w:t xml:space="preserve">PR:S43</w:t>
            </w:r>
          </w:p>
        </w:tc>
        <w:tc>
          <w:tcPr>
            <w:tcW w:w="2001" w:type="dxa"/>
          </w:tcPr>
          <w:p>
            <w:pPr>
              <w:pStyle w:val="Compact"/>
              <w:jc w:val="left"/>
              <w:spacing w:before="20" w:after="20" w:line="220" w:lineRule="auto"/>
            </w:pPr>
            <w:r>
              <w:rPr>
                <w:sz w:val="15"/>
                <w:szCs w:val="15"/>
              </w:rPr>
              <w:t xml:space="preserve">Quilter plc</w:t>
            </w:r>
          </w:p>
        </w:tc>
        <w:tc>
          <w:tcPr>
            <w:tcW w:w="3554" w:type="dxa"/>
          </w:tcPr>
          <w:p>
            <w:pPr>
              <w:pStyle w:val="Compact"/>
              <w:jc w:val="left"/>
              <w:spacing w:before="20" w:after="20" w:line="220" w:lineRule="auto"/>
            </w:pPr>
            <w:r>
              <w:rPr>
                <w:sz w:val="15"/>
                <w:szCs w:val="15"/>
              </w:rPr>
              <w:t xml:space="preserve">Full year 2025 results RNS part 1 (4 Mar 2026)</w:t>
            </w:r>
          </w:p>
        </w:tc>
        <w:tc>
          <w:tcPr>
            <w:tcW w:w="1636" w:type="dxa"/>
          </w:tcPr>
          <w:p>
            <w:pPr>
              <w:pStyle w:val="Compact"/>
              <w:jc w:val="left"/>
              <w:spacing w:before="20" w:after="20" w:line="220" w:lineRule="auto"/>
            </w:pPr>
            <w:r>
              <w:rPr>
                <w:sz w:val="15"/>
                <w:szCs w:val="15"/>
              </w:rPr>
              <w:t xml:space="preserve">FY2025</w:t>
            </w:r>
          </w:p>
        </w:tc>
        <w:tc>
          <w:tcPr>
            <w:tcW w:w="2273" w:type="dxa"/>
          </w:tcPr>
          <w:p>
            <w:pPr>
              <w:pStyle w:val="Compact"/>
              <w:jc w:val="left"/>
              <w:spacing w:before="20" w:after="20" w:line="220" w:lineRule="auto"/>
            </w:pPr>
            <w:r>
              <w:rPr>
                <w:sz w:val="15"/>
                <w:szCs w:val="15"/>
              </w:rPr>
              <w:t xml:space="preserve">Highlights; operating expenses; business</w:t>
            </w:r>
          </w:p>
        </w:tc>
        <w:tc>
          <w:tcPr>
            <w:tcW w:w="3554" w:type="dxa"/>
          </w:tcPr>
          <w:p>
            <w:pPr>
              <w:pStyle w:val="Compact"/>
              <w:jc w:val="left"/>
              <w:spacing w:before="20" w:after="20" w:line="220" w:lineRule="auto"/>
            </w:pPr>
            <w:r>
              <w:rPr>
                <w:sz w:val="15"/>
                <w:szCs w:val="15"/>
              </w:rPr>
              <w:t xml:space="preserve">https://data.fca.org.uk/artefacts/NSM/RNS/2af548ba-b8b7-4b49-a711-94a69795e86d.html</w:t>
            </w:r>
          </w:p>
        </w:tc>
      </w:tr>
      <w:tr>
        <w:tc>
          <w:tcPr>
            <w:tcW w:w="1550" w:type="dxa"/>
          </w:tcPr>
          <w:p>
            <w:pPr>
              <w:pStyle w:val="Compact"/>
              <w:jc w:val="left"/>
              <w:spacing w:before="20" w:after="20" w:line="220" w:lineRule="auto"/>
            </w:pPr>
            <w:r>
              <w:rPr>
                <w:sz w:val="15"/>
                <w:szCs w:val="15"/>
              </w:rPr>
              <w:t xml:space="preserve">PR:S44</w:t>
            </w:r>
          </w:p>
        </w:tc>
        <w:tc>
          <w:tcPr>
            <w:tcW w:w="2001" w:type="dxa"/>
          </w:tcPr>
          <w:p>
            <w:pPr>
              <w:pStyle w:val="Compact"/>
              <w:jc w:val="left"/>
              <w:spacing w:before="20" w:after="20" w:line="220" w:lineRule="auto"/>
            </w:pPr>
            <w:r>
              <w:rPr>
                <w:sz w:val="15"/>
                <w:szCs w:val="15"/>
              </w:rPr>
              <w:t xml:space="preserve">Canadian Underwriter (press)</w:t>
            </w:r>
          </w:p>
        </w:tc>
        <w:tc>
          <w:tcPr>
            <w:tcW w:w="3554" w:type="dxa"/>
          </w:tcPr>
          <w:p>
            <w:pPr>
              <w:pStyle w:val="Compact"/>
              <w:jc w:val="left"/>
              <w:spacing w:before="20" w:after="20" w:line="220" w:lineRule="auto"/>
            </w:pPr>
            <w:r>
              <w:rPr>
                <w:sz w:val="15"/>
                <w:szCs w:val="15"/>
              </w:rPr>
              <w:t xml:space="preserve">Allianz’s new three-year plan sets targets (Nov 2015), reporting Allianz Capital Markets D</w:t>
            </w:r>
          </w:p>
        </w:tc>
        <w:tc>
          <w:tcPr>
            <w:tcW w:w="1636" w:type="dxa"/>
          </w:tcPr>
          <w:p>
            <w:pPr>
              <w:pStyle w:val="Compact"/>
              <w:jc w:val="left"/>
              <w:spacing w:before="20" w:after="20" w:line="220" w:lineRule="auto"/>
            </w:pPr>
            <w:r>
              <w:rPr>
                <w:sz w:val="15"/>
                <w:szCs w:val="15"/>
              </w:rPr>
              <w:t xml:space="preserve">FY2015</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https://www.canadianunderwriter.ca/insurance/allianzs-new-three-year-plan-sets-targets-to-increase-earnings-an</w:t>
            </w:r>
          </w:p>
        </w:tc>
      </w:tr>
      <w:tr>
        <w:tc>
          <w:tcPr>
            <w:tcW w:w="1550" w:type="dxa"/>
          </w:tcPr>
          <w:p>
            <w:pPr>
              <w:pStyle w:val="Compact"/>
              <w:jc w:val="left"/>
              <w:spacing w:before="20" w:after="20" w:line="220" w:lineRule="auto"/>
            </w:pPr>
            <w:r>
              <w:rPr>
                <w:sz w:val="15"/>
                <w:szCs w:val="15"/>
              </w:rPr>
              <w:t xml:space="preserve">PR:S45</w:t>
            </w:r>
          </w:p>
        </w:tc>
        <w:tc>
          <w:tcPr>
            <w:tcW w:w="2001" w:type="dxa"/>
          </w:tcPr>
          <w:p>
            <w:pPr>
              <w:pStyle w:val="Compact"/>
              <w:jc w:val="left"/>
              <w:spacing w:before="20" w:after="20" w:line="220" w:lineRule="auto"/>
            </w:pPr>
            <w:r>
              <w:rPr>
                <w:sz w:val="15"/>
                <w:szCs w:val="15"/>
              </w:rPr>
              <w:t xml:space="preserve">Daily Investor (press)</w:t>
            </w:r>
          </w:p>
        </w:tc>
        <w:tc>
          <w:tcPr>
            <w:tcW w:w="3554" w:type="dxa"/>
          </w:tcPr>
          <w:p>
            <w:pPr>
              <w:pStyle w:val="Compact"/>
              <w:jc w:val="left"/>
              <w:spacing w:before="20" w:after="20" w:line="220" w:lineRule="auto"/>
            </w:pPr>
            <w:r>
              <w:rPr>
                <w:sz w:val="15"/>
                <w:szCs w:val="15"/>
              </w:rPr>
              <w:t xml:space="preserve">Standard Bank’s hidden R1.75 trillion gem (2025), citing Standard Bank results presentatio</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https://dailyinvestor.com/banking/126538/standard-banks-hidden-r1-75-trillion-gem/</w:t>
            </w:r>
          </w:p>
        </w:tc>
      </w:tr>
      <w:tr>
        <w:tc>
          <w:tcPr>
            <w:tcW w:w="1550" w:type="dxa"/>
          </w:tcPr>
          <w:p>
            <w:pPr>
              <w:pStyle w:val="Compact"/>
              <w:jc w:val="left"/>
              <w:spacing w:before="20" w:after="20" w:line="220" w:lineRule="auto"/>
            </w:pPr>
            <w:r>
              <w:rPr>
                <w:sz w:val="15"/>
                <w:szCs w:val="15"/>
              </w:rPr>
              <w:t xml:space="preserve">PR:S46</w:t>
            </w:r>
          </w:p>
        </w:tc>
        <w:tc>
          <w:tcPr>
            <w:tcW w:w="2001" w:type="dxa"/>
          </w:tcPr>
          <w:p>
            <w:pPr>
              <w:pStyle w:val="Compact"/>
              <w:jc w:val="left"/>
              <w:spacing w:before="20" w:after="20" w:line="220" w:lineRule="auto"/>
            </w:pPr>
            <w:r>
              <w:rPr>
                <w:sz w:val="15"/>
                <w:szCs w:val="15"/>
              </w:rPr>
              <w:t xml:space="preserve">Cover Magazine (press)</w:t>
            </w:r>
          </w:p>
        </w:tc>
        <w:tc>
          <w:tcPr>
            <w:tcW w:w="3554" w:type="dxa"/>
          </w:tcPr>
          <w:p>
            <w:pPr>
              <w:pStyle w:val="Compact"/>
              <w:jc w:val="left"/>
              <w:spacing w:before="20" w:after="20" w:line="220" w:lineRule="auto"/>
            </w:pPr>
            <w:r>
              <w:rPr>
                <w:sz w:val="15"/>
                <w:szCs w:val="15"/>
              </w:rPr>
              <w:t xml:space="preserve">Scottish Widows transfers life business to London (Jan 2016)</w:t>
            </w:r>
          </w:p>
        </w:tc>
        <w:tc>
          <w:tcPr>
            <w:tcW w:w="1636" w:type="dxa"/>
          </w:tcPr>
          <w:p>
            <w:pPr>
              <w:pStyle w:val="Compact"/>
              <w:jc w:val="left"/>
              <w:spacing w:before="20" w:after="20" w:line="220" w:lineRule="auto"/>
            </w:pPr>
            <w:r>
              <w:rPr>
                <w:sz w:val="15"/>
                <w:szCs w:val="15"/>
              </w:rPr>
              <w:t xml:space="preserve">FY2015</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https://www.covermagazine.co.uk/news/2447952/scottish-widows-transfers-life-business-london</w:t>
            </w:r>
          </w:p>
        </w:tc>
      </w:tr>
      <w:tr>
        <w:tc>
          <w:tcPr>
            <w:tcW w:w="1550" w:type="dxa"/>
          </w:tcPr>
          <w:p>
            <w:pPr>
              <w:pStyle w:val="Compact"/>
              <w:jc w:val="left"/>
              <w:spacing w:before="20" w:after="20" w:line="220" w:lineRule="auto"/>
            </w:pPr>
            <w:r>
              <w:rPr>
                <w:sz w:val="15"/>
                <w:szCs w:val="15"/>
              </w:rPr>
              <w:t xml:space="preserve">PR:S47</w:t>
            </w:r>
          </w:p>
        </w:tc>
        <w:tc>
          <w:tcPr>
            <w:tcW w:w="2001" w:type="dxa"/>
          </w:tcPr>
          <w:p>
            <w:pPr>
              <w:pStyle w:val="Compact"/>
              <w:jc w:val="left"/>
              <w:spacing w:before="20" w:after="20" w:line="220" w:lineRule="auto"/>
            </w:pPr>
            <w:r>
              <w:rPr>
                <w:sz w:val="15"/>
                <w:szCs w:val="15"/>
              </w:rPr>
              <w:t xml:space="preserve">Phoenix Group Holdings</w:t>
            </w:r>
          </w:p>
        </w:tc>
        <w:tc>
          <w:tcPr>
            <w:tcW w:w="3554" w:type="dxa"/>
          </w:tcPr>
          <w:p>
            <w:pPr>
              <w:pStyle w:val="Compact"/>
              <w:jc w:val="left"/>
              <w:spacing w:before="20" w:after="20" w:line="220" w:lineRule="auto"/>
            </w:pPr>
            <w:r>
              <w:rPr>
                <w:sz w:val="15"/>
                <w:szCs w:val="15"/>
              </w:rPr>
              <w:t xml:space="preserve">FY24 results presentation (Mar 2025), not parsed (site redirect); figures from search engi</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Not parsed</w:t>
            </w:r>
          </w:p>
        </w:tc>
        <w:tc>
          <w:tcPr>
            <w:tcW w:w="3554" w:type="dxa"/>
          </w:tcPr>
          <w:p>
            <w:pPr>
              <w:pStyle w:val="Compact"/>
              <w:jc w:val="left"/>
              <w:spacing w:before="20" w:after="20" w:line="220" w:lineRule="auto"/>
            </w:pPr>
            <w:r>
              <w:rPr>
                <w:sz w:val="15"/>
                <w:szCs w:val="15"/>
              </w:rPr>
              <w:t xml:space="preserve">https://thephoenixgroup.com/media/obtl2uiw/phoenix-group-fy24-results-presentation.pdf</w:t>
            </w:r>
          </w:p>
        </w:tc>
      </w:tr>
      <w:tr>
        <w:tc>
          <w:tcPr>
            <w:tcW w:w="1550" w:type="dxa"/>
          </w:tcPr>
          <w:p>
            <w:pPr>
              <w:pStyle w:val="Compact"/>
              <w:jc w:val="left"/>
              <w:spacing w:before="20" w:after="20" w:line="220" w:lineRule="auto"/>
            </w:pPr>
            <w:r>
              <w:rPr>
                <w:sz w:val="15"/>
                <w:szCs w:val="15"/>
              </w:rPr>
              <w:t xml:space="preserve">PR:S48</w:t>
            </w:r>
          </w:p>
        </w:tc>
        <w:tc>
          <w:tcPr>
            <w:tcW w:w="2001" w:type="dxa"/>
          </w:tcPr>
          <w:p>
            <w:pPr>
              <w:pStyle w:val="Compact"/>
              <w:jc w:val="left"/>
              <w:spacing w:before="20" w:after="20" w:line="220" w:lineRule="auto"/>
            </w:pPr>
            <w:r>
              <w:rPr>
                <w:sz w:val="15"/>
                <w:szCs w:val="15"/>
              </w:rPr>
              <w:t xml:space="preserve">The Motley Fool (press transcript)</w:t>
            </w:r>
          </w:p>
        </w:tc>
        <w:tc>
          <w:tcPr>
            <w:tcW w:w="3554" w:type="dxa"/>
          </w:tcPr>
          <w:p>
            <w:pPr>
              <w:pStyle w:val="Compact"/>
              <w:jc w:val="left"/>
              <w:spacing w:before="20" w:after="20" w:line="220" w:lineRule="auto"/>
            </w:pPr>
            <w:r>
              <w:rPr>
                <w:sz w:val="15"/>
                <w:szCs w:val="15"/>
              </w:rPr>
              <w:t xml:space="preserve">MetLife Q4 2019 earnings call transcript (6 Feb 2020)</w:t>
            </w:r>
          </w:p>
        </w:tc>
        <w:tc>
          <w:tcPr>
            <w:tcW w:w="1636" w:type="dxa"/>
          </w:tcPr>
          <w:p>
            <w:pPr>
              <w:pStyle w:val="Compact"/>
              <w:jc w:val="left"/>
              <w:spacing w:before="20" w:after="20" w:line="220" w:lineRule="auto"/>
            </w:pPr>
            <w:r>
              <w:rPr>
                <w:sz w:val="15"/>
                <w:szCs w:val="15"/>
              </w:rPr>
              <w:t xml:space="preserve">FY2019</w:t>
            </w:r>
          </w:p>
        </w:tc>
        <w:tc>
          <w:tcPr>
            <w:tcW w:w="2273" w:type="dxa"/>
          </w:tcPr>
          <w:p>
            <w:pPr>
              <w:pStyle w:val="Compact"/>
              <w:jc w:val="left"/>
              <w:spacing w:before="20" w:after="20" w:line="220" w:lineRule="auto"/>
            </w:pPr>
            <w:r>
              <w:rPr>
                <w:sz w:val="15"/>
                <w:szCs w:val="15"/>
              </w:rPr>
              <w:t xml:space="preserve">Transcript</w:t>
            </w:r>
          </w:p>
        </w:tc>
        <w:tc>
          <w:tcPr>
            <w:tcW w:w="3554" w:type="dxa"/>
          </w:tcPr>
          <w:p>
            <w:pPr>
              <w:pStyle w:val="Compact"/>
              <w:jc w:val="left"/>
              <w:spacing w:before="20" w:after="20" w:line="220" w:lineRule="auto"/>
            </w:pPr>
            <w:r>
              <w:rPr>
                <w:sz w:val="15"/>
                <w:szCs w:val="15"/>
              </w:rPr>
              <w:t xml:space="preserve">https://www.fool.com/earnings/call-transcripts/2020/02/06/metlife-met-q4-2019-earnings-call-transcript.aspx</w:t>
            </w:r>
          </w:p>
        </w:tc>
      </w:tr>
      <w:tr>
        <w:tc>
          <w:tcPr>
            <w:tcW w:w="1550" w:type="dxa"/>
          </w:tcPr>
          <w:p>
            <w:pPr>
              <w:pStyle w:val="Compact"/>
              <w:jc w:val="left"/>
              <w:spacing w:before="20" w:after="20" w:line="220" w:lineRule="auto"/>
            </w:pPr>
            <w:r>
              <w:rPr>
                <w:sz w:val="15"/>
                <w:szCs w:val="15"/>
              </w:rPr>
              <w:t xml:space="preserve">PR:S49</w:t>
            </w:r>
          </w:p>
        </w:tc>
        <w:tc>
          <w:tcPr>
            <w:tcW w:w="2001" w:type="dxa"/>
          </w:tcPr>
          <w:p>
            <w:pPr>
              <w:pStyle w:val="Compact"/>
              <w:jc w:val="left"/>
              <w:spacing w:before="20" w:after="20" w:line="220" w:lineRule="auto"/>
            </w:pPr>
            <w:r>
              <w:rPr>
                <w:sz w:val="15"/>
                <w:szCs w:val="15"/>
              </w:rPr>
              <w:t xml:space="preserve">City AM (press)</w:t>
            </w:r>
          </w:p>
        </w:tc>
        <w:tc>
          <w:tcPr>
            <w:tcW w:w="3554" w:type="dxa"/>
          </w:tcPr>
          <w:p>
            <w:pPr>
              <w:pStyle w:val="Compact"/>
              <w:jc w:val="left"/>
              <w:spacing w:before="20" w:after="20" w:line="220" w:lineRule="auto"/>
            </w:pPr>
            <w:r>
              <w:rPr>
                <w:sz w:val="15"/>
                <w:szCs w:val="15"/>
              </w:rPr>
              <w:t xml:space="preserve">Aviva agrees GBP5.6bn deal to buy Friends Life (Dec 2014)</w:t>
            </w:r>
          </w:p>
        </w:tc>
        <w:tc>
          <w:tcPr>
            <w:tcW w:w="1636" w:type="dxa"/>
          </w:tcPr>
          <w:p>
            <w:pPr>
              <w:pStyle w:val="Compact"/>
              <w:jc w:val="left"/>
              <w:spacing w:before="20" w:after="20" w:line="220" w:lineRule="auto"/>
            </w:pPr>
            <w:r>
              <w:rPr>
                <w:sz w:val="15"/>
                <w:szCs w:val="15"/>
              </w:rPr>
              <w:t xml:space="preserve">FY2014</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https://www.cityam.com/aviva-agrees-56bn-deal-buy-friends-life/</w:t>
            </w:r>
          </w:p>
        </w:tc>
      </w:tr>
      <w:tr>
        <w:tc>
          <w:tcPr>
            <w:tcW w:w="1550" w:type="dxa"/>
          </w:tcPr>
          <w:p>
            <w:pPr>
              <w:pStyle w:val="Compact"/>
              <w:jc w:val="left"/>
              <w:spacing w:before="20" w:after="20" w:line="220" w:lineRule="auto"/>
            </w:pPr>
            <w:r>
              <w:rPr>
                <w:sz w:val="15"/>
                <w:szCs w:val="15"/>
              </w:rPr>
              <w:t xml:space="preserve">PR:S50</w:t>
            </w:r>
          </w:p>
        </w:tc>
        <w:tc>
          <w:tcPr>
            <w:tcW w:w="2001" w:type="dxa"/>
          </w:tcPr>
          <w:p>
            <w:pPr>
              <w:pStyle w:val="Compact"/>
              <w:jc w:val="left"/>
              <w:spacing w:before="20" w:after="20" w:line="220" w:lineRule="auto"/>
            </w:pPr>
            <w:r>
              <w:rPr>
                <w:sz w:val="15"/>
                <w:szCs w:val="15"/>
              </w:rPr>
              <w:t xml:space="preserve">Business Standard / Reuters (press)</w:t>
            </w:r>
          </w:p>
        </w:tc>
        <w:tc>
          <w:tcPr>
            <w:tcW w:w="3554" w:type="dxa"/>
          </w:tcPr>
          <w:p>
            <w:pPr>
              <w:pStyle w:val="Compact"/>
              <w:jc w:val="left"/>
              <w:spacing w:before="20" w:after="20" w:line="220" w:lineRule="auto"/>
            </w:pPr>
            <w:r>
              <w:rPr>
                <w:sz w:val="15"/>
                <w:szCs w:val="15"/>
              </w:rPr>
              <w:t xml:space="preserve">Standard Life, Aberdeen agree merger, seek 200 million pound savings (6 Mar 2017)</w:t>
            </w:r>
          </w:p>
        </w:tc>
        <w:tc>
          <w:tcPr>
            <w:tcW w:w="1636" w:type="dxa"/>
          </w:tcPr>
          <w:p>
            <w:pPr>
              <w:pStyle w:val="Compact"/>
              <w:jc w:val="left"/>
              <w:spacing w:before="20" w:after="20" w:line="220" w:lineRule="auto"/>
            </w:pPr>
            <w:r>
              <w:rPr>
                <w:sz w:val="15"/>
                <w:szCs w:val="15"/>
              </w:rPr>
              <w:t xml:space="preserve">FY2017</w:t>
            </w:r>
          </w:p>
        </w:tc>
        <w:tc>
          <w:tcPr>
            <w:tcW w:w="2273" w:type="dxa"/>
          </w:tcPr>
          <w:p>
            <w:pPr>
              <w:pStyle w:val="Compact"/>
              <w:jc w:val="left"/>
              <w:spacing w:before="20" w:after="20" w:line="220" w:lineRule="auto"/>
            </w:pPr>
            <w:r>
              <w:rPr>
                <w:sz w:val="15"/>
                <w:szCs w:val="15"/>
              </w:rPr>
              <w:t xml:space="preserve">Article</w:t>
            </w:r>
          </w:p>
        </w:tc>
        <w:tc>
          <w:tcPr>
            <w:tcW w:w="3554" w:type="dxa"/>
          </w:tcPr>
          <w:p>
            <w:pPr>
              <w:pStyle w:val="Compact"/>
              <w:jc w:val="left"/>
              <w:spacing w:before="20" w:after="20" w:line="220" w:lineRule="auto"/>
            </w:pPr>
            <w:r>
              <w:rPr>
                <w:sz w:val="15"/>
                <w:szCs w:val="15"/>
              </w:rPr>
              <w:t xml:space="preserve">https://www.business-standard.com/article/reuters/standard-life-aberdeen-agree-merger-seek-200-million-pound-s</w:t>
            </w:r>
          </w:p>
        </w:tc>
      </w:tr>
      <w:tr>
        <w:tc>
          <w:tcPr>
            <w:tcW w:w="1550" w:type="dxa"/>
          </w:tcPr>
          <w:p>
            <w:pPr>
              <w:pStyle w:val="Compact"/>
              <w:jc w:val="left"/>
              <w:spacing w:before="20" w:after="20" w:line="220" w:lineRule="auto"/>
            </w:pPr>
            <w:r>
              <w:rPr>
                <w:sz w:val="15"/>
                <w:szCs w:val="15"/>
              </w:rPr>
              <w:t xml:space="preserve">PR:S51</w:t>
            </w:r>
          </w:p>
        </w:tc>
        <w:tc>
          <w:tcPr>
            <w:tcW w:w="2001" w:type="dxa"/>
          </w:tcPr>
          <w:p>
            <w:pPr>
              <w:pStyle w:val="Compact"/>
              <w:jc w:val="left"/>
              <w:spacing w:before="20" w:after="20" w:line="220" w:lineRule="auto"/>
            </w:pPr>
            <w:r>
              <w:rPr>
                <w:sz w:val="15"/>
                <w:szCs w:val="15"/>
              </w:rPr>
              <w:t xml:space="preserve">Santam Ltd</w:t>
            </w:r>
          </w:p>
        </w:tc>
        <w:tc>
          <w:tcPr>
            <w:tcW w:w="3554" w:type="dxa"/>
          </w:tcPr>
          <w:p>
            <w:pPr>
              <w:pStyle w:val="Compact"/>
              <w:jc w:val="left"/>
              <w:spacing w:before="20" w:after="20" w:line="220" w:lineRule="auto"/>
            </w:pPr>
            <w:r>
              <w:rPr>
                <w:sz w:val="15"/>
                <w:szCs w:val="15"/>
              </w:rPr>
              <w:t xml:space="preserve">Interim results booklet June 2023</w:t>
            </w:r>
          </w:p>
        </w:tc>
        <w:tc>
          <w:tcPr>
            <w:tcW w:w="1636" w:type="dxa"/>
          </w:tcPr>
          <w:p>
            <w:pPr>
              <w:pStyle w:val="Compact"/>
              <w:jc w:val="left"/>
              <w:spacing w:before="20" w:after="20" w:line="220" w:lineRule="auto"/>
            </w:pPr>
            <w:r>
              <w:rPr>
                <w:sz w:val="15"/>
                <w:szCs w:val="15"/>
              </w:rPr>
              <w:t xml:space="preserve">H1 2023</w:t>
            </w:r>
          </w:p>
        </w:tc>
        <w:tc>
          <w:tcPr>
            <w:tcW w:w="2273" w:type="dxa"/>
          </w:tcPr>
          <w:p>
            <w:pPr>
              <w:pStyle w:val="Compact"/>
              <w:jc w:val="left"/>
              <w:spacing w:before="20" w:after="20" w:line="220" w:lineRule="auto"/>
            </w:pPr>
            <w:r>
              <w:rPr>
                <w:sz w:val="15"/>
                <w:szCs w:val="15"/>
              </w:rPr>
              <w:t xml:space="preserve">3,8</w:t>
            </w:r>
          </w:p>
        </w:tc>
        <w:tc>
          <w:tcPr>
            <w:tcW w:w="3554" w:type="dxa"/>
          </w:tcPr>
          <w:p>
            <w:pPr>
              <w:pStyle w:val="Compact"/>
              <w:jc w:val="left"/>
              <w:spacing w:before="20" w:after="20" w:line="220" w:lineRule="auto"/>
            </w:pPr>
            <w:r>
              <w:rPr>
                <w:sz w:val="15"/>
                <w:szCs w:val="15"/>
              </w:rPr>
              <w:t xml:space="preserve">https://www.santam.co.za/media/5i2fkmyf/2023-june-ias-booklet.pdf</w:t>
            </w:r>
          </w:p>
        </w:tc>
      </w:tr>
      <w:tr>
        <w:tc>
          <w:tcPr>
            <w:tcW w:w="1550" w:type="dxa"/>
          </w:tcPr>
          <w:p>
            <w:pPr>
              <w:pStyle w:val="Compact"/>
              <w:jc w:val="left"/>
              <w:spacing w:before="20" w:after="20" w:line="220" w:lineRule="auto"/>
            </w:pPr>
            <w:r>
              <w:rPr>
                <w:sz w:val="15"/>
                <w:szCs w:val="15"/>
              </w:rPr>
              <w:t xml:space="preserve">PR:S52</w:t>
            </w:r>
          </w:p>
        </w:tc>
        <w:tc>
          <w:tcPr>
            <w:tcW w:w="2001" w:type="dxa"/>
          </w:tcPr>
          <w:p>
            <w:pPr>
              <w:pStyle w:val="Compact"/>
              <w:jc w:val="left"/>
              <w:spacing w:before="20" w:after="20" w:line="220" w:lineRule="auto"/>
            </w:pPr>
            <w:r>
              <w:rPr>
                <w:sz w:val="15"/>
                <w:szCs w:val="15"/>
              </w:rPr>
              <w:t xml:space="preserve">Sanlam Ltd</w:t>
            </w:r>
          </w:p>
        </w:tc>
        <w:tc>
          <w:tcPr>
            <w:tcW w:w="3554" w:type="dxa"/>
          </w:tcPr>
          <w:p>
            <w:pPr>
              <w:pStyle w:val="Compact"/>
              <w:jc w:val="left"/>
              <w:spacing w:before="20" w:after="20" w:line="220" w:lineRule="auto"/>
            </w:pPr>
            <w:r>
              <w:rPr>
                <w:sz w:val="15"/>
                <w:szCs w:val="15"/>
              </w:rPr>
              <w:t xml:space="preserve">2024 annual results presentation (Mar 2025)</w:t>
            </w:r>
          </w:p>
        </w:tc>
        <w:tc>
          <w:tcPr>
            <w:tcW w:w="1636" w:type="dxa"/>
          </w:tcPr>
          <w:p>
            <w:pPr>
              <w:pStyle w:val="Compact"/>
              <w:jc w:val="left"/>
              <w:spacing w:before="20" w:after="20" w:line="220" w:lineRule="auto"/>
            </w:pPr>
            <w:r>
              <w:rPr>
                <w:sz w:val="15"/>
                <w:szCs w:val="15"/>
              </w:rPr>
              <w:t xml:space="preserve">FY2024</w:t>
            </w:r>
          </w:p>
        </w:tc>
        <w:tc>
          <w:tcPr>
            <w:tcW w:w="2273" w:type="dxa"/>
          </w:tcPr>
          <w:p>
            <w:pPr>
              <w:pStyle w:val="Compact"/>
              <w:jc w:val="left"/>
              <w:spacing w:before="20" w:after="20" w:line="220" w:lineRule="auto"/>
            </w:pPr>
            <w:r>
              <w:rPr>
                <w:sz w:val="15"/>
                <w:szCs w:val="15"/>
              </w:rPr>
              <w:t xml:space="preserve">15,18,19</w:t>
            </w:r>
          </w:p>
        </w:tc>
        <w:tc>
          <w:tcPr>
            <w:tcW w:w="3554" w:type="dxa"/>
          </w:tcPr>
          <w:p>
            <w:pPr>
              <w:pStyle w:val="Compact"/>
              <w:jc w:val="left"/>
              <w:spacing w:before="20" w:after="20" w:line="220" w:lineRule="auto"/>
            </w:pPr>
            <w:r>
              <w:rPr>
                <w:sz w:val="15"/>
                <w:szCs w:val="15"/>
              </w:rPr>
              <w:t xml:space="preserve">https://sanlam.com/downloads/results-announcements/2024/2024-annual-results-singles.pdf</w:t>
            </w:r>
          </w:p>
        </w:tc>
      </w:tr>
      <w:tr>
        <w:tc>
          <w:tcPr>
            <w:tcW w:w="1550" w:type="dxa"/>
          </w:tcPr>
          <w:p>
            <w:pPr>
              <w:pStyle w:val="Compact"/>
              <w:jc w:val="left"/>
              <w:spacing w:before="20" w:after="20" w:line="220" w:lineRule="auto"/>
            </w:pPr>
            <w:r>
              <w:rPr>
                <w:sz w:val="15"/>
                <w:szCs w:val="15"/>
              </w:rPr>
              <w:t xml:space="preserve">PR:S53</w:t>
            </w:r>
          </w:p>
        </w:tc>
        <w:tc>
          <w:tcPr>
            <w:tcW w:w="2001" w:type="dxa"/>
          </w:tcPr>
          <w:p>
            <w:pPr>
              <w:pStyle w:val="Compact"/>
              <w:jc w:val="left"/>
              <w:spacing w:before="20" w:after="20" w:line="220" w:lineRule="auto"/>
            </w:pPr>
            <w:r>
              <w:rPr>
                <w:sz w:val="15"/>
                <w:szCs w:val="15"/>
              </w:rPr>
              <w:t xml:space="preserve">Phoenix Group Holdings</w:t>
            </w:r>
          </w:p>
        </w:tc>
        <w:tc>
          <w:tcPr>
            <w:tcW w:w="3554" w:type="dxa"/>
          </w:tcPr>
          <w:p>
            <w:pPr>
              <w:pStyle w:val="Compact"/>
              <w:jc w:val="left"/>
              <w:spacing w:before="20" w:after="20" w:line="220" w:lineRule="auto"/>
            </w:pPr>
            <w:r>
              <w:rPr>
                <w:sz w:val="15"/>
                <w:szCs w:val="15"/>
              </w:rPr>
              <w:t xml:space="preserve">2021 full year results RNS 6359E (14 Mar 2022)</w:t>
            </w:r>
          </w:p>
        </w:tc>
        <w:tc>
          <w:tcPr>
            <w:tcW w:w="1636" w:type="dxa"/>
          </w:tcPr>
          <w:p>
            <w:pPr>
              <w:pStyle w:val="Compact"/>
              <w:jc w:val="left"/>
              <w:spacing w:before="20" w:after="20" w:line="220" w:lineRule="auto"/>
            </w:pPr>
            <w:r>
              <w:rPr>
                <w:sz w:val="15"/>
                <w:szCs w:val="15"/>
              </w:rPr>
              <w:t xml:space="preserve">FY2021</w:t>
            </w:r>
          </w:p>
        </w:tc>
        <w:tc>
          <w:tcPr>
            <w:tcW w:w="2273" w:type="dxa"/>
          </w:tcPr>
          <w:p>
            <w:pPr>
              <w:pStyle w:val="Compact"/>
              <w:jc w:val="left"/>
              <w:spacing w:before="20" w:after="20" w:line="220" w:lineRule="auto"/>
            </w:pPr>
            <w:r>
              <w:rPr>
                <w:sz w:val="15"/>
                <w:szCs w:val="15"/>
              </w:rPr>
              <w:t xml:space="preserve">Strategic progress: integrations (HTML)</w:t>
            </w:r>
          </w:p>
        </w:tc>
        <w:tc>
          <w:tcPr>
            <w:tcW w:w="3554" w:type="dxa"/>
          </w:tcPr>
          <w:p>
            <w:pPr>
              <w:pStyle w:val="Compact"/>
              <w:jc w:val="left"/>
              <w:spacing w:before="20" w:after="20" w:line="220" w:lineRule="auto"/>
            </w:pPr>
            <w:r>
              <w:rPr>
                <w:sz w:val="15"/>
                <w:szCs w:val="15"/>
              </w:rPr>
              <w:t xml:space="preserve">https://data.fca.org.uk/artefacts/NSM/RNS/4301674.html</w:t>
            </w:r>
          </w:p>
        </w:tc>
      </w:tr>
      <w:tr>
        <w:tc>
          <w:tcPr>
            <w:tcW w:w="1550" w:type="dxa"/>
          </w:tcPr>
          <w:p>
            <w:pPr>
              <w:pStyle w:val="Compact"/>
              <w:jc w:val="left"/>
              <w:spacing w:before="20" w:after="20" w:line="220" w:lineRule="auto"/>
            </w:pPr>
            <w:r>
              <w:rPr>
                <w:sz w:val="15"/>
                <w:szCs w:val="15"/>
              </w:rPr>
              <w:t xml:space="preserve">PR:S54</w:t>
            </w:r>
          </w:p>
        </w:tc>
        <w:tc>
          <w:tcPr>
            <w:tcW w:w="2001" w:type="dxa"/>
          </w:tcPr>
          <w:p>
            <w:pPr>
              <w:pStyle w:val="Compact"/>
              <w:jc w:val="left"/>
              <w:spacing w:before="20" w:after="20" w:line="220" w:lineRule="auto"/>
            </w:pPr>
            <w:r>
              <w:rPr>
                <w:sz w:val="15"/>
                <w:szCs w:val="15"/>
              </w:rPr>
              <w:t xml:space="preserve">Momentum Metropolitan Holdings</w:t>
            </w:r>
          </w:p>
        </w:tc>
        <w:tc>
          <w:tcPr>
            <w:tcW w:w="3554" w:type="dxa"/>
          </w:tcPr>
          <w:p>
            <w:pPr>
              <w:pStyle w:val="Compact"/>
              <w:jc w:val="left"/>
              <w:spacing w:before="20" w:after="20" w:line="220" w:lineRule="auto"/>
            </w:pPr>
            <w:r>
              <w:rPr>
                <w:sz w:val="15"/>
                <w:szCs w:val="15"/>
              </w:rPr>
              <w:t xml:space="preserve">Interim results presentation 1H F2024 (Mar 2024)</w:t>
            </w:r>
          </w:p>
        </w:tc>
        <w:tc>
          <w:tcPr>
            <w:tcW w:w="1636" w:type="dxa"/>
          </w:tcPr>
          <w:p>
            <w:pPr>
              <w:pStyle w:val="Compact"/>
              <w:jc w:val="left"/>
              <w:spacing w:before="20" w:after="20" w:line="220" w:lineRule="auto"/>
            </w:pPr>
            <w:r>
              <w:rPr>
                <w:sz w:val="15"/>
                <w:szCs w:val="15"/>
              </w:rPr>
              <w:t xml:space="preserve">H1 FY2024</w:t>
            </w:r>
          </w:p>
        </w:tc>
        <w:tc>
          <w:tcPr>
            <w:tcW w:w="2273" w:type="dxa"/>
          </w:tcPr>
          <w:p>
            <w:pPr>
              <w:pStyle w:val="Compact"/>
              <w:jc w:val="left"/>
              <w:spacing w:before="20" w:after="20" w:line="220" w:lineRule="auto"/>
            </w:pPr>
            <w:r>
              <w:rPr>
                <w:sz w:val="15"/>
                <w:szCs w:val="15"/>
              </w:rPr>
              <w:t xml:space="preserve">n/a</w:t>
            </w:r>
          </w:p>
        </w:tc>
        <w:tc>
          <w:tcPr>
            <w:tcW w:w="3554" w:type="dxa"/>
          </w:tcPr>
          <w:p>
            <w:pPr>
              <w:pStyle w:val="Compact"/>
              <w:jc w:val="left"/>
              <w:spacing w:before="20" w:after="20" w:line="220" w:lineRule="auto"/>
            </w:pPr>
            <w:r>
              <w:rPr>
                <w:sz w:val="15"/>
                <w:szCs w:val="15"/>
              </w:rPr>
              <w:t xml:space="preserve">https://wwtst.momentumgroupltd.co.za/remote-assets/s3/clt_mmh_s3/docs/interim-res-24/interim-results-presentat</w:t>
            </w:r>
          </w:p>
        </w:tc>
      </w:tr>
      <w:tr>
        <w:tc>
          <w:tcPr>
            <w:tcW w:w="1550" w:type="dxa"/>
          </w:tcPr>
          <w:p>
            <w:pPr>
              <w:pStyle w:val="Compact"/>
              <w:jc w:val="left"/>
              <w:spacing w:before="20" w:after="20" w:line="220" w:lineRule="auto"/>
            </w:pPr>
            <w:r>
              <w:rPr>
                <w:sz w:val="15"/>
                <w:szCs w:val="15"/>
              </w:rPr>
              <w:t xml:space="preserve">PR:S55</w:t>
            </w:r>
          </w:p>
        </w:tc>
        <w:tc>
          <w:tcPr>
            <w:tcW w:w="2001" w:type="dxa"/>
          </w:tcPr>
          <w:p>
            <w:pPr>
              <w:pStyle w:val="Compact"/>
              <w:jc w:val="left"/>
              <w:spacing w:before="20" w:after="20" w:line="220" w:lineRule="auto"/>
            </w:pPr>
            <w:r>
              <w:rPr>
                <w:sz w:val="15"/>
                <w:szCs w:val="15"/>
              </w:rPr>
              <w:t xml:space="preserve">Absa Group Limited</w:t>
            </w:r>
          </w:p>
        </w:tc>
        <w:tc>
          <w:tcPr>
            <w:tcW w:w="3554" w:type="dxa"/>
          </w:tcPr>
          <w:p>
            <w:pPr>
              <w:pStyle w:val="Compact"/>
              <w:jc w:val="left"/>
              <w:spacing w:before="20" w:after="20" w:line="220" w:lineRule="auto"/>
            </w:pPr>
            <w:r>
              <w:rPr>
                <w:sz w:val="15"/>
                <w:szCs w:val="15"/>
              </w:rPr>
              <w:t xml:space="preserve">No primary document located for an Absa insurance cost programme (search budget exhausted</w:t>
            </w:r>
          </w:p>
        </w:tc>
        <w:tc>
          <w:tcPr>
            <w:tcW w:w="1636" w:type="dxa"/>
          </w:tcPr>
          <w:p>
            <w:pPr>
              <w:pStyle w:val="Compact"/>
              <w:jc w:val="left"/>
              <w:spacing w:before="20" w:after="20" w:line="220" w:lineRule="auto"/>
            </w:pPr>
            <w:r>
              <w:rPr>
                <w:sz w:val="15"/>
                <w:szCs w:val="15"/>
              </w:rPr>
              <w:t xml:space="preserve">n/a</w:t>
            </w:r>
          </w:p>
        </w:tc>
        <w:tc>
          <w:tcPr>
            <w:tcW w:w="2273" w:type="dxa"/>
          </w:tcPr>
          <w:p>
            <w:pPr>
              <w:pStyle w:val="Compact"/>
              <w:jc w:val="left"/>
              <w:spacing w:before="20" w:after="20" w:line="220" w:lineRule="auto"/>
            </w:pPr>
            <w:r>
              <w:rPr>
                <w:sz w:val="15"/>
                <w:szCs w:val="15"/>
              </w:rPr>
              <w:t xml:space="preserve">n/a</w:t>
            </w:r>
          </w:p>
        </w:tc>
        <w:tc>
          <w:tcPr>
            <w:tcW w:w="3554" w:type="dxa"/>
          </w:tcPr>
          <w:p>
            <w:pPr>
              <w:pStyle w:val="Compact"/>
              <w:spacing w:before="20" w:after="20" w:line="220" w:lineRule="auto"/>
            </w:pPr>
          </w:p>
        </w:tc>
      </w:tr>
      <w:tr>
        <w:tc>
          <w:tcPr>
            <w:tcW w:w="1550" w:type="dxa"/>
          </w:tcPr>
          <w:p>
            <w:pPr>
              <w:pStyle w:val="Compact"/>
              <w:jc w:val="left"/>
              <w:spacing w:before="20" w:after="20" w:line="220" w:lineRule="auto"/>
            </w:pPr>
            <w:r>
              <w:rPr>
                <w:sz w:val="15"/>
                <w:szCs w:val="15"/>
              </w:rPr>
              <w:t xml:space="preserve">FX:ECB</w:t>
            </w:r>
          </w:p>
        </w:tc>
        <w:tc>
          <w:tcPr>
            <w:tcW w:w="2001" w:type="dxa"/>
          </w:tcPr>
          <w:p>
            <w:pPr>
              <w:pStyle w:val="Compact"/>
              <w:jc w:val="left"/>
              <w:spacing w:before="20" w:after="20" w:line="220" w:lineRule="auto"/>
            </w:pPr>
            <w:r>
              <w:rPr>
                <w:sz w:val="15"/>
                <w:szCs w:val="15"/>
              </w:rPr>
              <w:t xml:space="preserve">European Central Bank</w:t>
            </w:r>
          </w:p>
        </w:tc>
        <w:tc>
          <w:tcPr>
            <w:tcW w:w="3554" w:type="dxa"/>
          </w:tcPr>
          <w:p>
            <w:pPr>
              <w:pStyle w:val="Compact"/>
              <w:jc w:val="left"/>
              <w:spacing w:before="20" w:after="20" w:line="220" w:lineRule="auto"/>
            </w:pPr>
            <w:r>
              <w:rPr>
                <w:sz w:val="15"/>
                <w:szCs w:val="15"/>
              </w:rPr>
              <w:t xml:space="preserve">Euro foreign exchange reference rates, period averages</w:t>
            </w:r>
          </w:p>
        </w:tc>
        <w:tc>
          <w:tcPr>
            <w:tcW w:w="1636" w:type="dxa"/>
          </w:tcPr>
          <w:p>
            <w:pPr>
              <w:pStyle w:val="Compact"/>
              <w:jc w:val="left"/>
              <w:spacing w:before="20" w:after="20" w:line="220" w:lineRule="auto"/>
            </w:pPr>
            <w:r>
              <w:rPr>
                <w:sz w:val="15"/>
                <w:szCs w:val="15"/>
              </w:rPr>
              <w:t xml:space="preserve">2022 to June 2026</w:t>
            </w:r>
          </w:p>
        </w:tc>
        <w:tc>
          <w:tcPr>
            <w:tcW w:w="2273" w:type="dxa"/>
          </w:tcPr>
          <w:p>
            <w:pPr>
              <w:pStyle w:val="Compact"/>
              <w:jc w:val="left"/>
              <w:spacing w:before="20" w:after="20" w:line="220" w:lineRule="auto"/>
            </w:pPr>
            <w:r>
              <w:rPr>
                <w:sz w:val="15"/>
                <w:szCs w:val="15"/>
              </w:rPr>
              <w:t xml:space="preserve">API series</w:t>
            </w:r>
          </w:p>
        </w:tc>
        <w:tc>
          <w:tcPr>
            <w:tcW w:w="3554" w:type="dxa"/>
          </w:tcPr>
          <w:p>
            <w:pPr>
              <w:pStyle w:val="Compact"/>
              <w:jc w:val="left"/>
              <w:spacing w:before="20" w:after="20" w:line="220" w:lineRule="auto"/>
            </w:pPr>
            <w:r>
              <w:rPr>
                <w:sz w:val="15"/>
                <w:szCs w:val="15"/>
              </w:rPr>
              <w:t xml:space="preserve">https://data-api.ecb.europa.eu/service/data/EXR/A.ZAR.EUR.SP00.A?format=csvdata</w:t>
            </w:r>
          </w:p>
        </w:tc>
      </w:tr>
    </w:tbl>
    <w:p>
      <w:pPr>
        <w:pStyle w:val="BodyText"/>
      </w:pPr>
      <w:r>
        <w:t xml:space="preserve">Source: source_log.csv.</w:t>
      </w:r>
    </w:p>
    <w:bookmarkEnd w:id="80"/>
    <w:bookmarkEnd w:id="81"/>
    <w:sectPr>
      <w:pgSz w:w="16838" w:h="11906" w:orient="landscape"/>
      <w:pgMar w:top="1134" w:right="1134" w:bottom="1134" w:left="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54" Target="media/rId54.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2026-10-07T16:10:12Z</dcterms:created>
  <dcterms:modified xsi:type="dcterms:W3CDTF">2026-10-07T16:10:12Z</dcterms:modified>
</cp:coreProperties>
</file>

<file path=docProps/custom.xml><?xml version="1.0" encoding="utf-8"?>
<Properties xmlns="http://schemas.openxmlformats.org/officeDocument/2006/custom-properties" xmlns:vt="http://schemas.openxmlformats.org/officeDocument/2006/docPropsVTypes"/>
</file>