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Grid Monitoring System</w:t>
      </w:r>
    </w:p>
    <w:p>
      <w:r>
        <w:t>Specification Document — Energy Domain</w:t>
      </w:r>
    </w:p>
    <w:p>
      <w:r>
        <w:t>Version 1.0 | Classification: Internal</w:t>
      </w:r>
    </w:p>
    <w:p/>
    <w:p>
      <w:pPr>
        <w:pStyle w:val="Heading1"/>
      </w:pPr>
      <w:r>
        <w:t>1. Scope</w:t>
      </w:r>
    </w:p>
    <w:p>
      <w:r>
        <w:t>This document specifies the requirements for a Smart Grid Monitoring System (SGMS) designed to monitor electrical grid parameters in real-time, detect anomalies, and generate automated alerts for grid operators.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Data Acquisition</w:t>
      </w:r>
    </w:p>
    <w:p>
      <w:r>
        <w:t>REQ-001: The system shall acquire voltage, current, and power measurements from each monitored node at a minimum sampling rate of 1 kHz.</w:t>
      </w:r>
    </w:p>
    <w:p>
      <w:r>
        <w:t>REQ-002: The system shall support simultaneous monitoring of up to 500 grid nodes.</w:t>
      </w:r>
    </w:p>
    <w:p>
      <w:r>
        <w:t>REQ-003: The system shall store measurement data for a minimum retention period of 365 days.</w:t>
      </w:r>
    </w:p>
    <w:p>
      <w:pPr>
        <w:pStyle w:val="Heading2"/>
      </w:pPr>
      <w:r>
        <w:t>2.2 Anomaly Detection</w:t>
      </w:r>
    </w:p>
    <w:p>
      <w:r>
        <w:t>REQ-004: The system shall detect voltage sags exceeding 10% of nominal voltage within 100 ms of occurrence.</w:t>
      </w:r>
    </w:p>
    <w:p>
      <w:r>
        <w:t>REQ-005: The system shall detect frequency deviations greater than 0.5 Hz from the nominal 50 Hz grid frequency.</w:t>
      </w:r>
    </w:p>
    <w:p>
      <w:r>
        <w:t>REQ-006: The system shall detect power factor values below 0.85 and generate a warning alert.</w:t>
      </w:r>
    </w:p>
    <w:p>
      <w:pPr>
        <w:pStyle w:val="Heading2"/>
      </w:pPr>
      <w:r>
        <w:t>2.3 Alerting</w:t>
      </w:r>
    </w:p>
    <w:p>
      <w:r>
        <w:t>REQ-007: The system shall generate real-time alerts via email and SMS within 5 seconds of anomaly detection.</w:t>
      </w:r>
    </w:p>
    <w:p>
      <w:r>
        <w:t>REQ-008: The system shall classify alerts into three severity levels: Critical, Warning, and Informational.</w:t>
      </w:r>
    </w:p>
    <w:p>
      <w:pPr>
        <w:pStyle w:val="Heading1"/>
      </w:pPr>
      <w:r>
        <w:t>3. Performance Requirements</w:t>
      </w:r>
    </w:p>
    <w:p>
      <w:r>
        <w:t>REQ-009: The system data processing latency shall not exceed 50 ms from measurement to dashboard display.</w:t>
      </w:r>
    </w:p>
    <w:p>
      <w:r>
        <w:t>REQ-010: The system shall maintain 99.95% uptime availability over any 30-day period.</w:t>
      </w:r>
    </w:p>
    <w:p>
      <w:pPr>
        <w:pStyle w:val="Heading1"/>
      </w:pPr>
      <w:r>
        <w:t>4. Interface Requirements</w:t>
      </w:r>
    </w:p>
    <w:p>
      <w:r>
        <w:t>REQ-011: The system shall provide a REST API for third-party integration with response time under 200 ms.</w:t>
      </w:r>
    </w:p>
    <w:p>
      <w:r>
        <w:t>REQ-012: The system shall support Modbus TCP/IP and IEC 61850 communication protocols for sensor data acquisition.</w:t>
      </w:r>
    </w:p>
    <w:p>
      <w:pPr>
        <w:pStyle w:val="Heading1"/>
      </w:pPr>
      <w:r>
        <w:t>5. Security Requirements</w:t>
      </w:r>
    </w:p>
    <w:p>
      <w:r>
        <w:t>REQ-013: All data transmission between sensors and the central system shall be encrypted using TLS 1.3.</w:t>
      </w:r>
    </w:p>
    <w:p>
      <w:r>
        <w:t>REQ-014: The system shall enforce role-based access control with a minimum of three roles: Operator, Engineer, and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