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Railway Signaling Control System</w:t>
      </w:r>
    </w:p>
    <w:p>
      <w:r>
        <w:t>Specification Document — Railway Domain</w:t>
      </w:r>
    </w:p>
    <w:p>
      <w:r>
        <w:t>Version 1.0 | Classification: Internal</w:t>
      </w:r>
    </w:p>
    <w:p/>
    <w:p>
      <w:pPr>
        <w:pStyle w:val="Heading1"/>
      </w:pPr>
      <w:r>
        <w:t>1. Scope</w:t>
      </w:r>
    </w:p>
    <w:p>
      <w:r>
        <w:t>This specification defines the requirements for an electronic interlocking system for railway signaling, covering signal control, point management, track section monitoring, and route-setting logic. The system shall comply with CENELEC EN 50129 (SIL 4).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2.1 Signal Control</w:t>
      </w:r>
    </w:p>
    <w:p>
      <w:r>
        <w:t>REQ-001: The system shall control three-aspect color light signals with states: Red (stop), Yellow (caution), and Green (proceed).</w:t>
      </w:r>
    </w:p>
    <w:p>
      <w:r>
        <w:t>REQ-002: The system shall ensure that a signal can only display Green when the entire route ahead is clear and locked.</w:t>
      </w:r>
    </w:p>
    <w:p>
      <w:r>
        <w:t>REQ-003: The system shall automatically set any signal to Red if the track section immediately ahead becomes occupied.</w:t>
      </w:r>
    </w:p>
    <w:p>
      <w:pPr>
        <w:pStyle w:val="Heading2"/>
      </w:pPr>
      <w:r>
        <w:t>2.2 Point/Switch Control</w:t>
      </w:r>
    </w:p>
    <w:p>
      <w:r>
        <w:t>REQ-004: The system shall control railway points (switches) with detection of Normal and Reverse positions.</w:t>
      </w:r>
    </w:p>
    <w:p>
      <w:r>
        <w:t>REQ-005: The system shall lock points in position once a route is set and shall prevent movement until the route is released.</w:t>
      </w:r>
    </w:p>
    <w:p>
      <w:r>
        <w:t>REQ-006: Point movement shall complete within 6 seconds. If detection is not confirmed within 8 seconds, the system shall declare a point failure.</w:t>
      </w:r>
    </w:p>
    <w:p>
      <w:pPr>
        <w:pStyle w:val="Heading2"/>
      </w:pPr>
      <w:r>
        <w:t>2.3 Route Setting</w:t>
      </w:r>
    </w:p>
    <w:p>
      <w:r>
        <w:t>REQ-007: The system shall support automatic route-setting from an origin signal to a destination signal.</w:t>
      </w:r>
    </w:p>
    <w:p>
      <w:r>
        <w:t>REQ-008: The system must verify that all track sections in a route are unoccupied before setting the route.</w:t>
      </w:r>
    </w:p>
    <w:p>
      <w:pPr>
        <w:pStyle w:val="Heading1"/>
      </w:pPr>
      <w:r>
        <w:t>3. Performance Requirements</w:t>
      </w:r>
    </w:p>
    <w:p>
      <w:r>
        <w:t>REQ-009: The system shall process all interlocking logic within a cycle time of 500 ms maximum.</w:t>
      </w:r>
    </w:p>
    <w:p>
      <w:r>
        <w:t>REQ-010: The system shall detect track occupation changes within 200 ms of an axle counter event.</w:t>
      </w:r>
    </w:p>
    <w:p>
      <w:pPr>
        <w:pStyle w:val="Heading1"/>
      </w:pPr>
      <w:r>
        <w:t>4. Safety Requirements</w:t>
      </w:r>
    </w:p>
    <w:p>
      <w:r>
        <w:t>REQ-011: The system shall implement a fail-safe design: any detected failure shall result in signals defaulting to the most restrictive aspect (Red).</w:t>
      </w:r>
    </w:p>
    <w:p>
      <w:r>
        <w:t>REQ-012: The system shall prevent conflicting routes from being set simultaneously (flank protection).</w:t>
      </w:r>
    </w:p>
    <w:p>
      <w:r>
        <w:t>REQ-013: The system shall maintain a safety integrity level of SIL 4 as per EN 50129, with a tolerable hazard rate of 10^-9 per hour.</w:t>
      </w:r>
    </w:p>
    <w:p>
      <w:r>
        <w:t>REQ-014: All safety-critical state transitions must be logged with timestamps for audit purposes, stored for a minimum of 10 years.</w:t>
      </w:r>
    </w:p>
    <w:p>
      <w:pPr>
        <w:pStyle w:val="Heading1"/>
      </w:pPr>
      <w:r>
        <w:t>5. Interface Requirements</w:t>
      </w:r>
    </w:p>
    <w:p>
      <w:r>
        <w:t>REQ-015: The system shall interface with the traffic management system via a standardized RaSTA (Rail Safe Transport Application) protocol.</w:t>
      </w:r>
    </w:p>
    <w:p>
      <w:r>
        <w:t>REQ-016: The system shall provide a local control panel interface for manual override operations in emergency situations.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