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1773E" w14:textId="445541F4" w:rsidR="00CA0717" w:rsidRDefault="00CA0717" w:rsidP="00CA0717">
      <w:pPr>
        <w:pStyle w:val="Heading1"/>
        <w:jc w:val="center"/>
      </w:pPr>
      <w:bookmarkStart w:id="0" w:name="_Toc203646937"/>
      <w:r>
        <w:t>Nike Company DCF</w:t>
      </w:r>
      <w:bookmarkEnd w:id="0"/>
      <w:r>
        <w:t xml:space="preserve"> </w:t>
      </w:r>
    </w:p>
    <w:p w14:paraId="251237B7" w14:textId="77777777" w:rsidR="003F2EC1" w:rsidRPr="003F2EC1" w:rsidRDefault="003F2EC1" w:rsidP="003F2EC1"/>
    <w:sdt>
      <w:sdtPr>
        <w:rPr>
          <w:rFonts w:asciiTheme="minorHAnsi" w:eastAsiaTheme="minorHAnsi" w:hAnsiTheme="minorHAnsi" w:cstheme="minorBidi"/>
          <w:color w:val="auto"/>
          <w:kern w:val="2"/>
          <w:sz w:val="24"/>
          <w:szCs w:val="24"/>
          <w:lang w:eastAsia="en-US"/>
          <w14:ligatures w14:val="standardContextual"/>
        </w:rPr>
        <w:id w:val="-1490544485"/>
        <w:docPartObj>
          <w:docPartGallery w:val="Table of Contents"/>
          <w:docPartUnique/>
        </w:docPartObj>
      </w:sdtPr>
      <w:sdtEndPr>
        <w:rPr>
          <w:b/>
          <w:bCs/>
        </w:rPr>
      </w:sdtEndPr>
      <w:sdtContent>
        <w:p w14:paraId="6364D717" w14:textId="1B20C791" w:rsidR="0049460C" w:rsidRDefault="0049460C">
          <w:pPr>
            <w:pStyle w:val="TOCHeading"/>
          </w:pPr>
          <w:r>
            <w:t>Contents</w:t>
          </w:r>
        </w:p>
        <w:p w14:paraId="69FC40B3" w14:textId="5636615E" w:rsidR="00C64961" w:rsidRDefault="0049460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03646937" w:history="1">
            <w:r w:rsidR="00C64961" w:rsidRPr="00DC4012">
              <w:rPr>
                <w:rStyle w:val="Hyperlink"/>
                <w:noProof/>
              </w:rPr>
              <w:t>Nike Company DCF</w:t>
            </w:r>
            <w:r w:rsidR="00C64961">
              <w:rPr>
                <w:noProof/>
                <w:webHidden/>
              </w:rPr>
              <w:tab/>
            </w:r>
            <w:r w:rsidR="00C64961">
              <w:rPr>
                <w:noProof/>
                <w:webHidden/>
              </w:rPr>
              <w:fldChar w:fldCharType="begin"/>
            </w:r>
            <w:r w:rsidR="00C64961">
              <w:rPr>
                <w:noProof/>
                <w:webHidden/>
              </w:rPr>
              <w:instrText xml:space="preserve"> PAGEREF _Toc203646937 \h </w:instrText>
            </w:r>
            <w:r w:rsidR="00C64961">
              <w:rPr>
                <w:noProof/>
                <w:webHidden/>
              </w:rPr>
            </w:r>
            <w:r w:rsidR="00C64961">
              <w:rPr>
                <w:noProof/>
                <w:webHidden/>
              </w:rPr>
              <w:fldChar w:fldCharType="separate"/>
            </w:r>
            <w:r w:rsidR="00C64961">
              <w:rPr>
                <w:noProof/>
                <w:webHidden/>
              </w:rPr>
              <w:t>1</w:t>
            </w:r>
            <w:r w:rsidR="00C64961">
              <w:rPr>
                <w:noProof/>
                <w:webHidden/>
              </w:rPr>
              <w:fldChar w:fldCharType="end"/>
            </w:r>
          </w:hyperlink>
        </w:p>
        <w:p w14:paraId="0D4AF26A" w14:textId="2B821807" w:rsidR="00C64961" w:rsidRDefault="00C64961">
          <w:pPr>
            <w:pStyle w:val="TOC2"/>
            <w:tabs>
              <w:tab w:val="right" w:leader="dot" w:pos="9016"/>
            </w:tabs>
            <w:rPr>
              <w:rFonts w:eastAsiaTheme="minorEastAsia"/>
              <w:noProof/>
              <w:lang w:eastAsia="en-GB"/>
            </w:rPr>
          </w:pPr>
          <w:hyperlink w:anchor="_Toc203646938" w:history="1">
            <w:r w:rsidRPr="00DC4012">
              <w:rPr>
                <w:rStyle w:val="Hyperlink"/>
                <w:noProof/>
              </w:rPr>
              <w:t>Situation Overview</w:t>
            </w:r>
            <w:r>
              <w:rPr>
                <w:noProof/>
                <w:webHidden/>
              </w:rPr>
              <w:tab/>
            </w:r>
            <w:r>
              <w:rPr>
                <w:noProof/>
                <w:webHidden/>
              </w:rPr>
              <w:fldChar w:fldCharType="begin"/>
            </w:r>
            <w:r>
              <w:rPr>
                <w:noProof/>
                <w:webHidden/>
              </w:rPr>
              <w:instrText xml:space="preserve"> PAGEREF _Toc203646938 \h </w:instrText>
            </w:r>
            <w:r>
              <w:rPr>
                <w:noProof/>
                <w:webHidden/>
              </w:rPr>
            </w:r>
            <w:r>
              <w:rPr>
                <w:noProof/>
                <w:webHidden/>
              </w:rPr>
              <w:fldChar w:fldCharType="separate"/>
            </w:r>
            <w:r>
              <w:rPr>
                <w:noProof/>
                <w:webHidden/>
              </w:rPr>
              <w:t>2</w:t>
            </w:r>
            <w:r>
              <w:rPr>
                <w:noProof/>
                <w:webHidden/>
              </w:rPr>
              <w:fldChar w:fldCharType="end"/>
            </w:r>
          </w:hyperlink>
        </w:p>
        <w:p w14:paraId="0F4288C1" w14:textId="1AE6F5C3" w:rsidR="00C64961" w:rsidRDefault="00C64961">
          <w:pPr>
            <w:pStyle w:val="TOC3"/>
            <w:tabs>
              <w:tab w:val="right" w:leader="dot" w:pos="9016"/>
            </w:tabs>
            <w:rPr>
              <w:rFonts w:eastAsiaTheme="minorEastAsia"/>
              <w:noProof/>
              <w:lang w:eastAsia="en-GB"/>
            </w:rPr>
          </w:pPr>
          <w:hyperlink w:anchor="_Toc203646939" w:history="1">
            <w:r w:rsidRPr="00DC4012">
              <w:rPr>
                <w:rStyle w:val="Hyperlink"/>
                <w:noProof/>
              </w:rPr>
              <w:t>The Bull Case</w:t>
            </w:r>
            <w:r>
              <w:rPr>
                <w:noProof/>
                <w:webHidden/>
              </w:rPr>
              <w:tab/>
            </w:r>
            <w:r>
              <w:rPr>
                <w:noProof/>
                <w:webHidden/>
              </w:rPr>
              <w:fldChar w:fldCharType="begin"/>
            </w:r>
            <w:r>
              <w:rPr>
                <w:noProof/>
                <w:webHidden/>
              </w:rPr>
              <w:instrText xml:space="preserve"> PAGEREF _Toc203646939 \h </w:instrText>
            </w:r>
            <w:r>
              <w:rPr>
                <w:noProof/>
                <w:webHidden/>
              </w:rPr>
            </w:r>
            <w:r>
              <w:rPr>
                <w:noProof/>
                <w:webHidden/>
              </w:rPr>
              <w:fldChar w:fldCharType="separate"/>
            </w:r>
            <w:r>
              <w:rPr>
                <w:noProof/>
                <w:webHidden/>
              </w:rPr>
              <w:t>2</w:t>
            </w:r>
            <w:r>
              <w:rPr>
                <w:noProof/>
                <w:webHidden/>
              </w:rPr>
              <w:fldChar w:fldCharType="end"/>
            </w:r>
          </w:hyperlink>
        </w:p>
        <w:p w14:paraId="06850917" w14:textId="1FAFCCCF" w:rsidR="00C64961" w:rsidRDefault="00C64961">
          <w:pPr>
            <w:pStyle w:val="TOC3"/>
            <w:tabs>
              <w:tab w:val="right" w:leader="dot" w:pos="9016"/>
            </w:tabs>
            <w:rPr>
              <w:rFonts w:eastAsiaTheme="minorEastAsia"/>
              <w:noProof/>
              <w:lang w:eastAsia="en-GB"/>
            </w:rPr>
          </w:pPr>
          <w:hyperlink w:anchor="_Toc203646940" w:history="1">
            <w:r w:rsidRPr="00DC4012">
              <w:rPr>
                <w:rStyle w:val="Hyperlink"/>
                <w:noProof/>
              </w:rPr>
              <w:t>The Bear Case</w:t>
            </w:r>
            <w:r>
              <w:rPr>
                <w:noProof/>
                <w:webHidden/>
              </w:rPr>
              <w:tab/>
            </w:r>
            <w:r>
              <w:rPr>
                <w:noProof/>
                <w:webHidden/>
              </w:rPr>
              <w:fldChar w:fldCharType="begin"/>
            </w:r>
            <w:r>
              <w:rPr>
                <w:noProof/>
                <w:webHidden/>
              </w:rPr>
              <w:instrText xml:space="preserve"> PAGEREF _Toc203646940 \h </w:instrText>
            </w:r>
            <w:r>
              <w:rPr>
                <w:noProof/>
                <w:webHidden/>
              </w:rPr>
            </w:r>
            <w:r>
              <w:rPr>
                <w:noProof/>
                <w:webHidden/>
              </w:rPr>
              <w:fldChar w:fldCharType="separate"/>
            </w:r>
            <w:r>
              <w:rPr>
                <w:noProof/>
                <w:webHidden/>
              </w:rPr>
              <w:t>2</w:t>
            </w:r>
            <w:r>
              <w:rPr>
                <w:noProof/>
                <w:webHidden/>
              </w:rPr>
              <w:fldChar w:fldCharType="end"/>
            </w:r>
          </w:hyperlink>
        </w:p>
        <w:p w14:paraId="38BA7AF1" w14:textId="557D4835" w:rsidR="00C64961" w:rsidRDefault="00C64961">
          <w:pPr>
            <w:pStyle w:val="TOC2"/>
            <w:tabs>
              <w:tab w:val="right" w:leader="dot" w:pos="9016"/>
            </w:tabs>
            <w:rPr>
              <w:rFonts w:eastAsiaTheme="minorEastAsia"/>
              <w:noProof/>
              <w:lang w:eastAsia="en-GB"/>
            </w:rPr>
          </w:pPr>
          <w:hyperlink w:anchor="_Toc203646941" w:history="1">
            <w:r w:rsidRPr="00DC4012">
              <w:rPr>
                <w:rStyle w:val="Hyperlink"/>
                <w:noProof/>
              </w:rPr>
              <w:t>DCF</w:t>
            </w:r>
            <w:r>
              <w:rPr>
                <w:noProof/>
                <w:webHidden/>
              </w:rPr>
              <w:tab/>
            </w:r>
            <w:r>
              <w:rPr>
                <w:noProof/>
                <w:webHidden/>
              </w:rPr>
              <w:fldChar w:fldCharType="begin"/>
            </w:r>
            <w:r>
              <w:rPr>
                <w:noProof/>
                <w:webHidden/>
              </w:rPr>
              <w:instrText xml:space="preserve"> PAGEREF _Toc203646941 \h </w:instrText>
            </w:r>
            <w:r>
              <w:rPr>
                <w:noProof/>
                <w:webHidden/>
              </w:rPr>
            </w:r>
            <w:r>
              <w:rPr>
                <w:noProof/>
                <w:webHidden/>
              </w:rPr>
              <w:fldChar w:fldCharType="separate"/>
            </w:r>
            <w:r>
              <w:rPr>
                <w:noProof/>
                <w:webHidden/>
              </w:rPr>
              <w:t>2</w:t>
            </w:r>
            <w:r>
              <w:rPr>
                <w:noProof/>
                <w:webHidden/>
              </w:rPr>
              <w:fldChar w:fldCharType="end"/>
            </w:r>
          </w:hyperlink>
        </w:p>
        <w:p w14:paraId="650B433E" w14:textId="6161C20E" w:rsidR="00C64961" w:rsidRDefault="00C64961">
          <w:pPr>
            <w:pStyle w:val="TOC3"/>
            <w:tabs>
              <w:tab w:val="right" w:leader="dot" w:pos="9016"/>
            </w:tabs>
            <w:rPr>
              <w:rFonts w:eastAsiaTheme="minorEastAsia"/>
              <w:noProof/>
              <w:lang w:eastAsia="en-GB"/>
            </w:rPr>
          </w:pPr>
          <w:hyperlink w:anchor="_Toc203646942" w:history="1">
            <w:r w:rsidRPr="00DC4012">
              <w:rPr>
                <w:rStyle w:val="Hyperlink"/>
                <w:noProof/>
              </w:rPr>
              <w:t>Obtaining Financial Data</w:t>
            </w:r>
            <w:r>
              <w:rPr>
                <w:noProof/>
                <w:webHidden/>
              </w:rPr>
              <w:tab/>
            </w:r>
            <w:r>
              <w:rPr>
                <w:noProof/>
                <w:webHidden/>
              </w:rPr>
              <w:fldChar w:fldCharType="begin"/>
            </w:r>
            <w:r>
              <w:rPr>
                <w:noProof/>
                <w:webHidden/>
              </w:rPr>
              <w:instrText xml:space="preserve"> PAGEREF _Toc203646942 \h </w:instrText>
            </w:r>
            <w:r>
              <w:rPr>
                <w:noProof/>
                <w:webHidden/>
              </w:rPr>
            </w:r>
            <w:r>
              <w:rPr>
                <w:noProof/>
                <w:webHidden/>
              </w:rPr>
              <w:fldChar w:fldCharType="separate"/>
            </w:r>
            <w:r>
              <w:rPr>
                <w:noProof/>
                <w:webHidden/>
              </w:rPr>
              <w:t>2</w:t>
            </w:r>
            <w:r>
              <w:rPr>
                <w:noProof/>
                <w:webHidden/>
              </w:rPr>
              <w:fldChar w:fldCharType="end"/>
            </w:r>
          </w:hyperlink>
        </w:p>
        <w:p w14:paraId="7C1F9D9A" w14:textId="0B626549" w:rsidR="00C64961" w:rsidRDefault="00C64961">
          <w:pPr>
            <w:pStyle w:val="TOC3"/>
            <w:tabs>
              <w:tab w:val="right" w:leader="dot" w:pos="9016"/>
            </w:tabs>
            <w:rPr>
              <w:rFonts w:eastAsiaTheme="minorEastAsia"/>
              <w:noProof/>
              <w:lang w:eastAsia="en-GB"/>
            </w:rPr>
          </w:pPr>
          <w:hyperlink w:anchor="_Toc203646943" w:history="1">
            <w:r w:rsidRPr="00DC4012">
              <w:rPr>
                <w:rStyle w:val="Hyperlink"/>
                <w:noProof/>
              </w:rPr>
              <w:t>Forecasting</w:t>
            </w:r>
            <w:r>
              <w:rPr>
                <w:noProof/>
                <w:webHidden/>
              </w:rPr>
              <w:tab/>
            </w:r>
            <w:r>
              <w:rPr>
                <w:noProof/>
                <w:webHidden/>
              </w:rPr>
              <w:fldChar w:fldCharType="begin"/>
            </w:r>
            <w:r>
              <w:rPr>
                <w:noProof/>
                <w:webHidden/>
              </w:rPr>
              <w:instrText xml:space="preserve"> PAGEREF _Toc203646943 \h </w:instrText>
            </w:r>
            <w:r>
              <w:rPr>
                <w:noProof/>
                <w:webHidden/>
              </w:rPr>
            </w:r>
            <w:r>
              <w:rPr>
                <w:noProof/>
                <w:webHidden/>
              </w:rPr>
              <w:fldChar w:fldCharType="separate"/>
            </w:r>
            <w:r>
              <w:rPr>
                <w:noProof/>
                <w:webHidden/>
              </w:rPr>
              <w:t>3</w:t>
            </w:r>
            <w:r>
              <w:rPr>
                <w:noProof/>
                <w:webHidden/>
              </w:rPr>
              <w:fldChar w:fldCharType="end"/>
            </w:r>
          </w:hyperlink>
        </w:p>
        <w:p w14:paraId="63EE155A" w14:textId="650709B8" w:rsidR="00C64961" w:rsidRDefault="00C64961">
          <w:pPr>
            <w:pStyle w:val="TOC3"/>
            <w:tabs>
              <w:tab w:val="right" w:leader="dot" w:pos="9016"/>
            </w:tabs>
            <w:rPr>
              <w:rFonts w:eastAsiaTheme="minorEastAsia"/>
              <w:noProof/>
              <w:lang w:eastAsia="en-GB"/>
            </w:rPr>
          </w:pPr>
          <w:hyperlink w:anchor="_Toc203646944" w:history="1">
            <w:r w:rsidRPr="00DC4012">
              <w:rPr>
                <w:rStyle w:val="Hyperlink"/>
                <w:noProof/>
              </w:rPr>
              <w:t>WACC</w:t>
            </w:r>
            <w:r>
              <w:rPr>
                <w:noProof/>
                <w:webHidden/>
              </w:rPr>
              <w:tab/>
            </w:r>
            <w:r>
              <w:rPr>
                <w:noProof/>
                <w:webHidden/>
              </w:rPr>
              <w:fldChar w:fldCharType="begin"/>
            </w:r>
            <w:r>
              <w:rPr>
                <w:noProof/>
                <w:webHidden/>
              </w:rPr>
              <w:instrText xml:space="preserve"> PAGEREF _Toc203646944 \h </w:instrText>
            </w:r>
            <w:r>
              <w:rPr>
                <w:noProof/>
                <w:webHidden/>
              </w:rPr>
            </w:r>
            <w:r>
              <w:rPr>
                <w:noProof/>
                <w:webHidden/>
              </w:rPr>
              <w:fldChar w:fldCharType="separate"/>
            </w:r>
            <w:r>
              <w:rPr>
                <w:noProof/>
                <w:webHidden/>
              </w:rPr>
              <w:t>4</w:t>
            </w:r>
            <w:r>
              <w:rPr>
                <w:noProof/>
                <w:webHidden/>
              </w:rPr>
              <w:fldChar w:fldCharType="end"/>
            </w:r>
          </w:hyperlink>
        </w:p>
        <w:p w14:paraId="3FB61A00" w14:textId="38DD60A3" w:rsidR="00C64961" w:rsidRDefault="00C64961">
          <w:pPr>
            <w:pStyle w:val="TOC3"/>
            <w:tabs>
              <w:tab w:val="right" w:leader="dot" w:pos="9016"/>
            </w:tabs>
            <w:rPr>
              <w:rFonts w:eastAsiaTheme="minorEastAsia"/>
              <w:noProof/>
              <w:lang w:eastAsia="en-GB"/>
            </w:rPr>
          </w:pPr>
          <w:hyperlink w:anchor="_Toc203646945" w:history="1">
            <w:r w:rsidRPr="00DC4012">
              <w:rPr>
                <w:rStyle w:val="Hyperlink"/>
                <w:noProof/>
              </w:rPr>
              <w:t>Diluted Share Calculation</w:t>
            </w:r>
            <w:r>
              <w:rPr>
                <w:noProof/>
                <w:webHidden/>
              </w:rPr>
              <w:tab/>
            </w:r>
            <w:r>
              <w:rPr>
                <w:noProof/>
                <w:webHidden/>
              </w:rPr>
              <w:fldChar w:fldCharType="begin"/>
            </w:r>
            <w:r>
              <w:rPr>
                <w:noProof/>
                <w:webHidden/>
              </w:rPr>
              <w:instrText xml:space="preserve"> PAGEREF _Toc203646945 \h </w:instrText>
            </w:r>
            <w:r>
              <w:rPr>
                <w:noProof/>
                <w:webHidden/>
              </w:rPr>
            </w:r>
            <w:r>
              <w:rPr>
                <w:noProof/>
                <w:webHidden/>
              </w:rPr>
              <w:fldChar w:fldCharType="separate"/>
            </w:r>
            <w:r>
              <w:rPr>
                <w:noProof/>
                <w:webHidden/>
              </w:rPr>
              <w:t>4</w:t>
            </w:r>
            <w:r>
              <w:rPr>
                <w:noProof/>
                <w:webHidden/>
              </w:rPr>
              <w:fldChar w:fldCharType="end"/>
            </w:r>
          </w:hyperlink>
        </w:p>
        <w:p w14:paraId="481058F4" w14:textId="34A92335" w:rsidR="00C64961" w:rsidRDefault="00C64961">
          <w:pPr>
            <w:pStyle w:val="TOC3"/>
            <w:tabs>
              <w:tab w:val="right" w:leader="dot" w:pos="9016"/>
            </w:tabs>
            <w:rPr>
              <w:rFonts w:eastAsiaTheme="minorEastAsia"/>
              <w:noProof/>
              <w:lang w:eastAsia="en-GB"/>
            </w:rPr>
          </w:pPr>
          <w:hyperlink w:anchor="_Toc203646946" w:history="1">
            <w:r w:rsidRPr="00DC4012">
              <w:rPr>
                <w:rStyle w:val="Hyperlink"/>
                <w:noProof/>
              </w:rPr>
              <w:t>Terminal Value</w:t>
            </w:r>
            <w:r>
              <w:rPr>
                <w:noProof/>
                <w:webHidden/>
              </w:rPr>
              <w:tab/>
            </w:r>
            <w:r>
              <w:rPr>
                <w:noProof/>
                <w:webHidden/>
              </w:rPr>
              <w:fldChar w:fldCharType="begin"/>
            </w:r>
            <w:r>
              <w:rPr>
                <w:noProof/>
                <w:webHidden/>
              </w:rPr>
              <w:instrText xml:space="preserve"> PAGEREF _Toc203646946 \h </w:instrText>
            </w:r>
            <w:r>
              <w:rPr>
                <w:noProof/>
                <w:webHidden/>
              </w:rPr>
            </w:r>
            <w:r>
              <w:rPr>
                <w:noProof/>
                <w:webHidden/>
              </w:rPr>
              <w:fldChar w:fldCharType="separate"/>
            </w:r>
            <w:r>
              <w:rPr>
                <w:noProof/>
                <w:webHidden/>
              </w:rPr>
              <w:t>4</w:t>
            </w:r>
            <w:r>
              <w:rPr>
                <w:noProof/>
                <w:webHidden/>
              </w:rPr>
              <w:fldChar w:fldCharType="end"/>
            </w:r>
          </w:hyperlink>
        </w:p>
        <w:p w14:paraId="36315225" w14:textId="5D4F59C9" w:rsidR="00C64961" w:rsidRDefault="00C64961">
          <w:pPr>
            <w:pStyle w:val="TOC3"/>
            <w:tabs>
              <w:tab w:val="right" w:leader="dot" w:pos="9016"/>
            </w:tabs>
            <w:rPr>
              <w:rFonts w:eastAsiaTheme="minorEastAsia"/>
              <w:noProof/>
              <w:lang w:eastAsia="en-GB"/>
            </w:rPr>
          </w:pPr>
          <w:hyperlink w:anchor="_Toc203646947" w:history="1">
            <w:r w:rsidRPr="00DC4012">
              <w:rPr>
                <w:rStyle w:val="Hyperlink"/>
                <w:noProof/>
              </w:rPr>
              <w:t>Equity Value</w:t>
            </w:r>
            <w:r>
              <w:rPr>
                <w:noProof/>
                <w:webHidden/>
              </w:rPr>
              <w:tab/>
            </w:r>
            <w:r>
              <w:rPr>
                <w:noProof/>
                <w:webHidden/>
              </w:rPr>
              <w:fldChar w:fldCharType="begin"/>
            </w:r>
            <w:r>
              <w:rPr>
                <w:noProof/>
                <w:webHidden/>
              </w:rPr>
              <w:instrText xml:space="preserve"> PAGEREF _Toc203646947 \h </w:instrText>
            </w:r>
            <w:r>
              <w:rPr>
                <w:noProof/>
                <w:webHidden/>
              </w:rPr>
            </w:r>
            <w:r>
              <w:rPr>
                <w:noProof/>
                <w:webHidden/>
              </w:rPr>
              <w:fldChar w:fldCharType="separate"/>
            </w:r>
            <w:r>
              <w:rPr>
                <w:noProof/>
                <w:webHidden/>
              </w:rPr>
              <w:t>4</w:t>
            </w:r>
            <w:r>
              <w:rPr>
                <w:noProof/>
                <w:webHidden/>
              </w:rPr>
              <w:fldChar w:fldCharType="end"/>
            </w:r>
          </w:hyperlink>
        </w:p>
        <w:p w14:paraId="1D29368D" w14:textId="1AA436B3" w:rsidR="00C64961" w:rsidRDefault="00C64961">
          <w:pPr>
            <w:pStyle w:val="TOC2"/>
            <w:tabs>
              <w:tab w:val="right" w:leader="dot" w:pos="9016"/>
            </w:tabs>
            <w:rPr>
              <w:rFonts w:eastAsiaTheme="minorEastAsia"/>
              <w:noProof/>
              <w:lang w:eastAsia="en-GB"/>
            </w:rPr>
          </w:pPr>
          <w:hyperlink w:anchor="_Toc203646948" w:history="1">
            <w:r w:rsidRPr="00DC4012">
              <w:rPr>
                <w:rStyle w:val="Hyperlink"/>
                <w:noProof/>
              </w:rPr>
              <w:t>Outcome</w:t>
            </w:r>
            <w:r>
              <w:rPr>
                <w:noProof/>
                <w:webHidden/>
              </w:rPr>
              <w:tab/>
            </w:r>
            <w:r>
              <w:rPr>
                <w:noProof/>
                <w:webHidden/>
              </w:rPr>
              <w:fldChar w:fldCharType="begin"/>
            </w:r>
            <w:r>
              <w:rPr>
                <w:noProof/>
                <w:webHidden/>
              </w:rPr>
              <w:instrText xml:space="preserve"> PAGEREF _Toc203646948 \h </w:instrText>
            </w:r>
            <w:r>
              <w:rPr>
                <w:noProof/>
                <w:webHidden/>
              </w:rPr>
            </w:r>
            <w:r>
              <w:rPr>
                <w:noProof/>
                <w:webHidden/>
              </w:rPr>
              <w:fldChar w:fldCharType="separate"/>
            </w:r>
            <w:r>
              <w:rPr>
                <w:noProof/>
                <w:webHidden/>
              </w:rPr>
              <w:t>5</w:t>
            </w:r>
            <w:r>
              <w:rPr>
                <w:noProof/>
                <w:webHidden/>
              </w:rPr>
              <w:fldChar w:fldCharType="end"/>
            </w:r>
          </w:hyperlink>
        </w:p>
        <w:p w14:paraId="511E8248" w14:textId="47C7738D" w:rsidR="00C64961" w:rsidRDefault="00C64961">
          <w:pPr>
            <w:pStyle w:val="TOC1"/>
            <w:tabs>
              <w:tab w:val="right" w:leader="dot" w:pos="9016"/>
            </w:tabs>
            <w:rPr>
              <w:rFonts w:eastAsiaTheme="minorEastAsia"/>
              <w:noProof/>
              <w:lang w:eastAsia="en-GB"/>
            </w:rPr>
          </w:pPr>
          <w:hyperlink w:anchor="_Toc203646949" w:history="1">
            <w:r w:rsidRPr="00DC4012">
              <w:rPr>
                <w:rStyle w:val="Hyperlink"/>
                <w:noProof/>
              </w:rPr>
              <w:t>References</w:t>
            </w:r>
            <w:r>
              <w:rPr>
                <w:noProof/>
                <w:webHidden/>
              </w:rPr>
              <w:tab/>
            </w:r>
            <w:r>
              <w:rPr>
                <w:noProof/>
                <w:webHidden/>
              </w:rPr>
              <w:fldChar w:fldCharType="begin"/>
            </w:r>
            <w:r>
              <w:rPr>
                <w:noProof/>
                <w:webHidden/>
              </w:rPr>
              <w:instrText xml:space="preserve"> PAGEREF _Toc203646949 \h </w:instrText>
            </w:r>
            <w:r>
              <w:rPr>
                <w:noProof/>
                <w:webHidden/>
              </w:rPr>
            </w:r>
            <w:r>
              <w:rPr>
                <w:noProof/>
                <w:webHidden/>
              </w:rPr>
              <w:fldChar w:fldCharType="separate"/>
            </w:r>
            <w:r>
              <w:rPr>
                <w:noProof/>
                <w:webHidden/>
              </w:rPr>
              <w:t>6</w:t>
            </w:r>
            <w:r>
              <w:rPr>
                <w:noProof/>
                <w:webHidden/>
              </w:rPr>
              <w:fldChar w:fldCharType="end"/>
            </w:r>
          </w:hyperlink>
        </w:p>
        <w:p w14:paraId="2E9C8C10" w14:textId="1A78F3CD" w:rsidR="0049460C" w:rsidRDefault="0049460C">
          <w:r>
            <w:rPr>
              <w:b/>
              <w:bCs/>
            </w:rPr>
            <w:fldChar w:fldCharType="end"/>
          </w:r>
        </w:p>
      </w:sdtContent>
    </w:sdt>
    <w:p w14:paraId="7409075C" w14:textId="77777777" w:rsidR="0049460C" w:rsidRDefault="0049460C" w:rsidP="003F2EC1">
      <w:pPr>
        <w:pStyle w:val="Heading2"/>
      </w:pPr>
    </w:p>
    <w:p w14:paraId="718CFEBE" w14:textId="77777777" w:rsidR="0049460C" w:rsidRDefault="0049460C" w:rsidP="0049460C"/>
    <w:p w14:paraId="5FE34202" w14:textId="77777777" w:rsidR="0049460C" w:rsidRDefault="0049460C" w:rsidP="0049460C"/>
    <w:p w14:paraId="6375EA27" w14:textId="77777777" w:rsidR="0049460C" w:rsidRDefault="0049460C" w:rsidP="0049460C"/>
    <w:p w14:paraId="5783AA49" w14:textId="77777777" w:rsidR="0049460C" w:rsidRDefault="0049460C" w:rsidP="0049460C"/>
    <w:p w14:paraId="4F48B879" w14:textId="77777777" w:rsidR="0049460C" w:rsidRDefault="0049460C" w:rsidP="0049460C"/>
    <w:p w14:paraId="37357AFF" w14:textId="77777777" w:rsidR="0049460C" w:rsidRDefault="0049460C" w:rsidP="0049460C"/>
    <w:p w14:paraId="631FF9DD" w14:textId="77777777" w:rsidR="0049460C" w:rsidRDefault="0049460C" w:rsidP="0049460C"/>
    <w:p w14:paraId="5980C9A7" w14:textId="77777777" w:rsidR="0049460C" w:rsidRDefault="0049460C" w:rsidP="0049460C"/>
    <w:p w14:paraId="7F96D8EB" w14:textId="77777777" w:rsidR="0049460C" w:rsidRDefault="0049460C" w:rsidP="0049460C"/>
    <w:p w14:paraId="76647061" w14:textId="77777777" w:rsidR="0049460C" w:rsidRDefault="0049460C" w:rsidP="0049460C"/>
    <w:p w14:paraId="2F862627" w14:textId="77777777" w:rsidR="0049460C" w:rsidRDefault="0049460C" w:rsidP="0049460C"/>
    <w:p w14:paraId="2D6F9617" w14:textId="77777777" w:rsidR="0049460C" w:rsidRDefault="0049460C" w:rsidP="0049460C"/>
    <w:p w14:paraId="2523D982" w14:textId="77777777" w:rsidR="0049460C" w:rsidRPr="0049460C" w:rsidRDefault="0049460C" w:rsidP="0049460C"/>
    <w:p w14:paraId="69291014" w14:textId="59D24E0C" w:rsidR="003F2EC1" w:rsidRDefault="003F2EC1" w:rsidP="003F2EC1">
      <w:pPr>
        <w:pStyle w:val="Heading2"/>
      </w:pPr>
      <w:bookmarkStart w:id="1" w:name="_Toc203646938"/>
      <w:r>
        <w:t>Situation Overview</w:t>
      </w:r>
      <w:bookmarkEnd w:id="1"/>
    </w:p>
    <w:p w14:paraId="1C022D45" w14:textId="27414334" w:rsidR="003F2EC1" w:rsidRDefault="003F2EC1" w:rsidP="003F2EC1">
      <w:pPr>
        <w:pStyle w:val="Heading3"/>
      </w:pPr>
      <w:bookmarkStart w:id="2" w:name="_Toc203646939"/>
      <w:r>
        <w:t>The Bull Case</w:t>
      </w:r>
      <w:bookmarkEnd w:id="2"/>
    </w:p>
    <w:p w14:paraId="781FE354" w14:textId="042EE7E6" w:rsidR="003F2EC1" w:rsidRDefault="003F2EC1" w:rsidP="003F2EC1">
      <w:pPr>
        <w:pStyle w:val="ListParagraph"/>
        <w:numPr>
          <w:ilvl w:val="0"/>
          <w:numId w:val="2"/>
        </w:numPr>
      </w:pPr>
      <w:r w:rsidRPr="0044645E">
        <w:rPr>
          <w:b/>
          <w:bCs/>
        </w:rPr>
        <w:t>Brand Strength &amp; Global Reach</w:t>
      </w:r>
      <w:r w:rsidR="0044645E">
        <w:t xml:space="preserve">: </w:t>
      </w:r>
      <w:r>
        <w:t>Nike’s iconic status and deep-rooted brand equity provide durable pricing power and strong global positioning, particularly in North America and China.</w:t>
      </w:r>
    </w:p>
    <w:p w14:paraId="6AD4D8D3" w14:textId="76D6D7AA" w:rsidR="003F2EC1" w:rsidRDefault="003F2EC1" w:rsidP="003F2EC1">
      <w:pPr>
        <w:pStyle w:val="ListParagraph"/>
        <w:numPr>
          <w:ilvl w:val="0"/>
          <w:numId w:val="2"/>
        </w:numPr>
      </w:pPr>
      <w:r w:rsidRPr="0044645E">
        <w:rPr>
          <w:b/>
          <w:bCs/>
        </w:rPr>
        <w:t>Strategic Leadership Direction</w:t>
      </w:r>
      <w:r w:rsidR="0044645E">
        <w:t>:</w:t>
      </w:r>
      <w:r w:rsidR="00961ABE" w:rsidRPr="00961ABE">
        <w:t xml:space="preserve"> </w:t>
      </w:r>
      <w:r w:rsidR="00961ABE">
        <w:t>I</w:t>
      </w:r>
      <w:r w:rsidR="00961ABE" w:rsidRPr="00961ABE">
        <w:t>ncoming CEO Elliott Hill is expected to correct previous missteps</w:t>
      </w:r>
      <w:r w:rsidR="00961ABE">
        <w:t xml:space="preserve"> </w:t>
      </w:r>
      <w:r w:rsidR="00961ABE" w:rsidRPr="00961ABE">
        <w:t>especially the overly aggressive pivot to direct-to-consumer sales by rebalancing relationships with key retailers like Macy’s, Urban Outfitters, and others</w:t>
      </w:r>
      <w:r w:rsidR="00961ABE">
        <w:t>. His focus is on tackling the production and distribution issues that have faced Nike resulting in a consistent downfall in share price since its peak in 2021</w:t>
      </w:r>
      <w:r w:rsidR="001A79B4">
        <w:t>. He ‘</w:t>
      </w:r>
      <w:r w:rsidR="001A79B4" w:rsidRPr="001A79B4">
        <w:t>prioritized restoring wholesale partnerships and driving innovation</w:t>
      </w:r>
      <w:r w:rsidR="001A79B4">
        <w:t>’</w:t>
      </w:r>
    </w:p>
    <w:p w14:paraId="0863FC16" w14:textId="53529BB7" w:rsidR="001A79B4" w:rsidRDefault="001A79B4" w:rsidP="003F2EC1">
      <w:pPr>
        <w:pStyle w:val="ListParagraph"/>
        <w:numPr>
          <w:ilvl w:val="0"/>
          <w:numId w:val="2"/>
        </w:numPr>
      </w:pPr>
      <w:r>
        <w:rPr>
          <w:b/>
          <w:bCs/>
        </w:rPr>
        <w:t>New Campaigns</w:t>
      </w:r>
      <w:r w:rsidRPr="001A79B4">
        <w:t>:</w:t>
      </w:r>
      <w:r>
        <w:t xml:space="preserve"> </w:t>
      </w:r>
      <w:r w:rsidRPr="001A79B4">
        <w:t xml:space="preserve">As part of its rebound push, Nike this month said it’s working with Kim Kardashian on </w:t>
      </w:r>
      <w:proofErr w:type="spellStart"/>
      <w:r w:rsidRPr="001A79B4">
        <w:t>NikeSkims</w:t>
      </w:r>
      <w:proofErr w:type="spellEnd"/>
      <w:r w:rsidRPr="001A79B4">
        <w:t xml:space="preserve">, a shoe and athletic wear range aimed at women. The company recorded more than $8.5 billion in revenue generated from female apparel in its fiscal year 2024, less than half the $20.8 billion it made </w:t>
      </w:r>
      <w:proofErr w:type="gramStart"/>
      <w:r w:rsidRPr="001A79B4">
        <w:t>off of</w:t>
      </w:r>
      <w:proofErr w:type="gramEnd"/>
      <w:r w:rsidRPr="001A79B4">
        <w:t xml:space="preserve"> male apparel</w:t>
      </w:r>
    </w:p>
    <w:p w14:paraId="1104902D" w14:textId="47030ADE" w:rsidR="003F2EC1" w:rsidRDefault="003F2EC1" w:rsidP="003F2EC1">
      <w:pPr>
        <w:pStyle w:val="Heading3"/>
      </w:pPr>
      <w:bookmarkStart w:id="3" w:name="_Toc203646940"/>
      <w:r>
        <w:t>The Bear Case</w:t>
      </w:r>
      <w:bookmarkEnd w:id="3"/>
      <w:r>
        <w:t xml:space="preserve"> </w:t>
      </w:r>
    </w:p>
    <w:p w14:paraId="3AC1C16F" w14:textId="2B3F4E5D" w:rsidR="0044645E" w:rsidRDefault="003F2EC1" w:rsidP="0044645E">
      <w:pPr>
        <w:pStyle w:val="ListParagraph"/>
        <w:numPr>
          <w:ilvl w:val="0"/>
          <w:numId w:val="2"/>
        </w:numPr>
      </w:pPr>
      <w:r w:rsidRPr="0044645E">
        <w:rPr>
          <w:b/>
          <w:bCs/>
        </w:rPr>
        <w:t>Policy &amp; Tariff Risk</w:t>
      </w:r>
      <w:r w:rsidR="0044645E">
        <w:t xml:space="preserve">: </w:t>
      </w:r>
      <w:r>
        <w:t>U.S.-China trade tensions and shifting tariff policy introduce uncertainty into Nike’s supply chain and cost base</w:t>
      </w:r>
      <w:r w:rsidR="00961ABE">
        <w:t>. However recent announcement of US-Vietnam trade deal puts a positive outlook on this uncertainty</w:t>
      </w:r>
    </w:p>
    <w:p w14:paraId="7968D94D" w14:textId="0FDAC58B" w:rsidR="0044645E" w:rsidRDefault="003F2EC1" w:rsidP="0044645E">
      <w:pPr>
        <w:pStyle w:val="ListParagraph"/>
        <w:numPr>
          <w:ilvl w:val="0"/>
          <w:numId w:val="2"/>
        </w:numPr>
      </w:pPr>
      <w:r w:rsidRPr="0044645E">
        <w:rPr>
          <w:b/>
          <w:bCs/>
        </w:rPr>
        <w:t>Rising Competitive Pressure</w:t>
      </w:r>
      <w:r w:rsidR="0044645E">
        <w:t xml:space="preserve">: </w:t>
      </w:r>
      <w:r w:rsidR="00961ABE" w:rsidRPr="00961ABE">
        <w:t xml:space="preserve">Despite a booming athletic shoe market, Nike's growth has lagged. Fast-growing competitors like </w:t>
      </w:r>
      <w:proofErr w:type="spellStart"/>
      <w:r w:rsidR="00961ABE" w:rsidRPr="00961ABE">
        <w:t>Deckers’</w:t>
      </w:r>
      <w:proofErr w:type="spellEnd"/>
      <w:r w:rsidR="00961ABE" w:rsidRPr="00961ABE">
        <w:t xml:space="preserve"> Hoka and On Holding have substantially outperformed Nike’s top line</w:t>
      </w:r>
    </w:p>
    <w:p w14:paraId="5F439694" w14:textId="3880AAF2" w:rsidR="0044645E" w:rsidRDefault="003F2EC1" w:rsidP="0044645E">
      <w:pPr>
        <w:pStyle w:val="ListParagraph"/>
        <w:numPr>
          <w:ilvl w:val="0"/>
          <w:numId w:val="2"/>
        </w:numPr>
      </w:pPr>
      <w:r w:rsidRPr="0044645E">
        <w:rPr>
          <w:b/>
          <w:bCs/>
        </w:rPr>
        <w:t>Innovation Slowdown &amp; Operational Missteps</w:t>
      </w:r>
      <w:r w:rsidR="0044645E">
        <w:t xml:space="preserve">: </w:t>
      </w:r>
      <w:r w:rsidR="001A79B4">
        <w:t>Reduced product innovation has led to the decline of sales</w:t>
      </w:r>
    </w:p>
    <w:p w14:paraId="41CD8321" w14:textId="5A665446" w:rsidR="0044645E" w:rsidRDefault="0044645E" w:rsidP="0044645E">
      <w:pPr>
        <w:pStyle w:val="Heading2"/>
      </w:pPr>
      <w:bookmarkStart w:id="4" w:name="_Toc203646941"/>
      <w:r>
        <w:t>DCF</w:t>
      </w:r>
      <w:bookmarkEnd w:id="4"/>
      <w:r>
        <w:t xml:space="preserve"> </w:t>
      </w:r>
    </w:p>
    <w:p w14:paraId="208661D0" w14:textId="4835E1A8" w:rsidR="0044645E" w:rsidRDefault="0044645E" w:rsidP="0044645E">
      <w:pPr>
        <w:pStyle w:val="Heading3"/>
      </w:pPr>
      <w:bookmarkStart w:id="5" w:name="_Toc203646942"/>
      <w:r>
        <w:t>Obtaining Financial Data</w:t>
      </w:r>
      <w:bookmarkEnd w:id="5"/>
    </w:p>
    <w:p w14:paraId="4E6ACC27" w14:textId="52AFB338" w:rsidR="00EC621C" w:rsidRDefault="00EC621C" w:rsidP="00EC621C">
      <w:r>
        <w:t xml:space="preserve">The DCF model follows a Street-based approach, relying on consensus analyst forecasts sourced from FactSet. Revenue projections were taken directly from FactSet’s </w:t>
      </w:r>
      <w:r>
        <w:lastRenderedPageBreak/>
        <w:t>forecast table, while cash flow values were initially pulled from the historical annual cash flow statement, which reports data on a fiscal-year basis.</w:t>
      </w:r>
    </w:p>
    <w:p w14:paraId="58C4F15A" w14:textId="43529876" w:rsidR="00EC621C" w:rsidRDefault="00EC621C" w:rsidP="00EC621C">
      <w:r>
        <w:t xml:space="preserve">To maintain consistency with the calendar-year forecast in the income statement, I began converting fiscal cash flow data to a calendar-year format. However, the absence of FY2025 data meant I could not compute accurate calendar-year 2024 values. To address this, I considered using quarterly CFS data, which covers all of 2024 and allowed for the derivation of D&amp;A, </w:t>
      </w:r>
      <w:proofErr w:type="spellStart"/>
      <w:r>
        <w:t>CapEx</w:t>
      </w:r>
      <w:proofErr w:type="spellEnd"/>
      <w:r>
        <w:t>, and changes in working capital.</w:t>
      </w:r>
    </w:p>
    <w:p w14:paraId="58ADC01B" w14:textId="11AB7081" w:rsidR="00821660" w:rsidRDefault="00EC621C" w:rsidP="0085424C">
      <w:r>
        <w:t xml:space="preserve">That said, the </w:t>
      </w:r>
      <w:proofErr w:type="spellStart"/>
      <w:r>
        <w:t>CapEx</w:t>
      </w:r>
      <w:proofErr w:type="spellEnd"/>
      <w:r>
        <w:t xml:space="preserve"> derived from the quarterly CFS was approximately ~$2,000 million annually from 2019 to 2024 a significant deviation from the consensus </w:t>
      </w:r>
      <w:proofErr w:type="spellStart"/>
      <w:r>
        <w:t>CapEx</w:t>
      </w:r>
      <w:proofErr w:type="spellEnd"/>
      <w:r>
        <w:t xml:space="preserve"> estimate of ~$1,000 million. Given this discrepancy, I reverted to using the fiscal-year cash flow table, which aligned more closely with consensus analyst reported values and therefore provided a more reliable basis for valuation.</w:t>
      </w:r>
      <w:r w:rsidR="001011D1">
        <w:t xml:space="preserve"> </w:t>
      </w:r>
      <w:r w:rsidR="001011D1" w:rsidRPr="001011D1">
        <w:t>As FY2025 data was unavailable, I used the full-year FY2024 values from the CFS as a proxy for calendar year 2024.</w:t>
      </w:r>
    </w:p>
    <w:p w14:paraId="27652567" w14:textId="614F0F81" w:rsidR="0085424C" w:rsidRDefault="0085424C" w:rsidP="0085424C">
      <w:pPr>
        <w:pStyle w:val="Heading3"/>
      </w:pPr>
      <w:bookmarkStart w:id="6" w:name="_Toc203646943"/>
      <w:r>
        <w:t>Forecasting</w:t>
      </w:r>
      <w:bookmarkEnd w:id="6"/>
    </w:p>
    <w:p w14:paraId="36AC3BB4" w14:textId="0ACF1FAB" w:rsidR="0085424C" w:rsidRPr="0085424C" w:rsidRDefault="0085424C" w:rsidP="0085424C">
      <w:r>
        <w:t xml:space="preserve">Considering Nike is a mature company </w:t>
      </w:r>
      <w:r w:rsidR="003C472B">
        <w:t xml:space="preserve">with predictable revenue streams and relatively stable margins </w:t>
      </w:r>
      <w:r>
        <w:t xml:space="preserve">I decided a forecast period of 5 year </w:t>
      </w:r>
      <w:r w:rsidR="00A46CAD">
        <w:t>would be sufficient for this DCF model.</w:t>
      </w:r>
    </w:p>
    <w:p w14:paraId="625E0824" w14:textId="0D4C3C58" w:rsidR="004F56BD" w:rsidRDefault="004F56BD" w:rsidP="004F56BD">
      <w:r>
        <w:t xml:space="preserve">The consensus analyst forecast suggests that Nike’s revenue will grow steadily and peak around 2027. This outlook is supported by recent commentary from industry analysts and news sources </w:t>
      </w:r>
      <w:sdt>
        <w:sdtPr>
          <w:id w:val="169612070"/>
          <w:citation/>
        </w:sdtPr>
        <w:sdtContent>
          <w:r>
            <w:fldChar w:fldCharType="begin"/>
          </w:r>
          <w:r>
            <w:instrText xml:space="preserve"> CITATION Jos25 \l 2057 </w:instrText>
          </w:r>
          <w:r>
            <w:fldChar w:fldCharType="separate"/>
          </w:r>
          <w:r w:rsidR="00A3279E">
            <w:rPr>
              <w:noProof/>
            </w:rPr>
            <w:t>(Fellman, 2025)</w:t>
          </w:r>
          <w:r>
            <w:fldChar w:fldCharType="end"/>
          </w:r>
        </w:sdtContent>
      </w:sdt>
      <w:r>
        <w:t>, which attribute the expected turnaround to a change in leadership, renewed focus on production efficiency, expansion of Nike’s direct-to-consumer (DTC) strategy, and efforts to grow its share of the women’s apparel market.</w:t>
      </w:r>
    </w:p>
    <w:p w14:paraId="6F4D4118" w14:textId="24A405CE" w:rsidR="00EC621C" w:rsidRDefault="004F56BD" w:rsidP="004F56BD">
      <w:r>
        <w:t>However, the consensus implies a revenue growth rate of approximately 9%, which I consider optimistic, especially considering Nike’s reported –5.5% revenue contraction in 2024. As such, I treated the consensus figure as my bull case and applied a more conservative 5% growth rate for the base case in 2027. I maintained the forecasted trend that growth would peak in 2027 and gradually decelerate thereafter.</w:t>
      </w:r>
    </w:p>
    <w:p w14:paraId="4E561F8E" w14:textId="3A1ED340" w:rsidR="00EC621C" w:rsidRDefault="00A6567E" w:rsidP="00EC621C">
      <w:r w:rsidRPr="00A6567E">
        <w:t>The EBIT forecast in the model assumes that margins (% of sales) return to the average seen between 2018 and 2023. This seems reasonable, as Nike is working to improve its production and distribution issues, which could help support margin recovery. However, it is still important to stay cautious, as supply chain risks remain especially with the potential return of tariffs under a Trump administration.</w:t>
      </w:r>
      <w:r>
        <w:t xml:space="preserve"> </w:t>
      </w:r>
    </w:p>
    <w:p w14:paraId="4538EBAA" w14:textId="54E1AA4B" w:rsidR="00A6567E" w:rsidRDefault="001011D1" w:rsidP="00EC621C">
      <w:r w:rsidRPr="001011D1">
        <w:t xml:space="preserve">For the tax rate, a simple approach was taken by averaging the effective rate over the past three years. The same method was used to estimate D&amp;A, </w:t>
      </w:r>
      <w:proofErr w:type="spellStart"/>
      <w:r w:rsidRPr="001011D1">
        <w:t>CapEx</w:t>
      </w:r>
      <w:proofErr w:type="spellEnd"/>
      <w:r w:rsidRPr="001011D1">
        <w:t>, and changes in net working capital, as these values have remained relatively stable in recent years.</w:t>
      </w:r>
    </w:p>
    <w:p w14:paraId="1638B692" w14:textId="77777777" w:rsidR="003B1F79" w:rsidRDefault="003B1F79" w:rsidP="00EC621C"/>
    <w:p w14:paraId="762E3813" w14:textId="77777777" w:rsidR="003B1F79" w:rsidRDefault="003B1F79" w:rsidP="00EC621C"/>
    <w:p w14:paraId="7D2544D1" w14:textId="77777777" w:rsidR="003B1F79" w:rsidRDefault="003B1F79" w:rsidP="00EC621C"/>
    <w:p w14:paraId="76FB3EE6" w14:textId="64FAEE66" w:rsidR="0057340F" w:rsidRDefault="0057340F" w:rsidP="0057340F">
      <w:pPr>
        <w:pStyle w:val="Heading3"/>
      </w:pPr>
      <w:bookmarkStart w:id="7" w:name="_Toc203646944"/>
      <w:r>
        <w:t>WACC</w:t>
      </w:r>
      <w:bookmarkEnd w:id="7"/>
    </w:p>
    <w:tbl>
      <w:tblPr>
        <w:tblStyle w:val="GridTable5Dark-Accent1"/>
        <w:tblW w:w="0" w:type="auto"/>
        <w:tblLook w:val="04A0" w:firstRow="1" w:lastRow="0" w:firstColumn="1" w:lastColumn="0" w:noHBand="0" w:noVBand="1"/>
      </w:tblPr>
      <w:tblGrid>
        <w:gridCol w:w="2438"/>
        <w:gridCol w:w="1101"/>
        <w:gridCol w:w="1843"/>
        <w:gridCol w:w="3634"/>
      </w:tblGrid>
      <w:tr w:rsidR="00347C8C" w14:paraId="0C3842A0" w14:textId="77777777" w:rsidTr="002E4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Pr>
          <w:p w14:paraId="5459420F" w14:textId="2AF621E2" w:rsidR="00347C8C" w:rsidRDefault="00347C8C" w:rsidP="0057340F"/>
        </w:tc>
        <w:tc>
          <w:tcPr>
            <w:tcW w:w="1101" w:type="dxa"/>
          </w:tcPr>
          <w:p w14:paraId="0079F7F5" w14:textId="72AC5E08" w:rsidR="00347C8C" w:rsidRDefault="00347C8C" w:rsidP="0057340F">
            <w:pPr>
              <w:cnfStyle w:val="100000000000" w:firstRow="1" w:lastRow="0" w:firstColumn="0" w:lastColumn="0" w:oddVBand="0" w:evenVBand="0" w:oddHBand="0" w:evenHBand="0" w:firstRowFirstColumn="0" w:firstRowLastColumn="0" w:lastRowFirstColumn="0" w:lastRowLastColumn="0"/>
            </w:pPr>
            <w:r>
              <w:t xml:space="preserve">Value </w:t>
            </w:r>
          </w:p>
        </w:tc>
        <w:tc>
          <w:tcPr>
            <w:tcW w:w="1843" w:type="dxa"/>
          </w:tcPr>
          <w:p w14:paraId="33EE5331" w14:textId="19683360" w:rsidR="00347C8C" w:rsidRDefault="00016BF6" w:rsidP="0057340F">
            <w:pPr>
              <w:cnfStyle w:val="100000000000" w:firstRow="1" w:lastRow="0" w:firstColumn="0" w:lastColumn="0" w:oddVBand="0" w:evenVBand="0" w:oddHBand="0" w:evenHBand="0" w:firstRowFirstColumn="0" w:firstRowLastColumn="0" w:lastRowFirstColumn="0" w:lastRowLastColumn="0"/>
            </w:pPr>
            <w:r>
              <w:t>Unit</w:t>
            </w:r>
          </w:p>
        </w:tc>
        <w:tc>
          <w:tcPr>
            <w:tcW w:w="3634" w:type="dxa"/>
          </w:tcPr>
          <w:p w14:paraId="7F481AC7" w14:textId="2618E703" w:rsidR="00347C8C" w:rsidRDefault="00640B15" w:rsidP="0057340F">
            <w:pPr>
              <w:cnfStyle w:val="100000000000" w:firstRow="1" w:lastRow="0" w:firstColumn="0" w:lastColumn="0" w:oddVBand="0" w:evenVBand="0" w:oddHBand="0" w:evenHBand="0" w:firstRowFirstColumn="0" w:firstRowLastColumn="0" w:lastRowFirstColumn="0" w:lastRowLastColumn="0"/>
            </w:pPr>
            <w:r>
              <w:t>Source</w:t>
            </w:r>
          </w:p>
        </w:tc>
      </w:tr>
      <w:tr w:rsidR="00347C8C" w14:paraId="7B8FC8CA" w14:textId="77777777" w:rsidTr="002E4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Pr>
          <w:p w14:paraId="6560B131" w14:textId="70FF6D1F" w:rsidR="00347C8C" w:rsidRDefault="00347C8C" w:rsidP="0057340F">
            <w:r>
              <w:t>Market Cap</w:t>
            </w:r>
          </w:p>
        </w:tc>
        <w:tc>
          <w:tcPr>
            <w:tcW w:w="1101" w:type="dxa"/>
          </w:tcPr>
          <w:p w14:paraId="0323D16F" w14:textId="4415F4DA" w:rsidR="00347C8C" w:rsidRPr="002F7FFA" w:rsidRDefault="00347C8C" w:rsidP="0057340F">
            <w:pPr>
              <w:cnfStyle w:val="000000100000" w:firstRow="0" w:lastRow="0" w:firstColumn="0" w:lastColumn="0" w:oddVBand="0" w:evenVBand="0" w:oddHBand="1" w:evenHBand="0" w:firstRowFirstColumn="0" w:firstRowLastColumn="0" w:lastRowFirstColumn="0" w:lastRowLastColumn="0"/>
              <w:rPr>
                <w:i/>
                <w:iCs/>
              </w:rPr>
            </w:pPr>
            <w:r w:rsidRPr="002F7FFA">
              <w:rPr>
                <w:i/>
                <w:iCs/>
              </w:rPr>
              <w:t xml:space="preserve">88,589 </w:t>
            </w:r>
          </w:p>
        </w:tc>
        <w:tc>
          <w:tcPr>
            <w:tcW w:w="1843" w:type="dxa"/>
          </w:tcPr>
          <w:p w14:paraId="62C51E1F" w14:textId="31AAB63A" w:rsidR="00347C8C" w:rsidRDefault="00347C8C" w:rsidP="00347C8C">
            <w:pPr>
              <w:jc w:val="center"/>
              <w:cnfStyle w:val="000000100000" w:firstRow="0" w:lastRow="0" w:firstColumn="0" w:lastColumn="0" w:oddVBand="0" w:evenVBand="0" w:oddHBand="1" w:evenHBand="0" w:firstRowFirstColumn="0" w:firstRowLastColumn="0" w:lastRowFirstColumn="0" w:lastRowLastColumn="0"/>
            </w:pPr>
            <w:r>
              <w:t>USD Million</w:t>
            </w:r>
          </w:p>
        </w:tc>
        <w:tc>
          <w:tcPr>
            <w:tcW w:w="3634" w:type="dxa"/>
          </w:tcPr>
          <w:p w14:paraId="497A8010" w14:textId="65D2CB10" w:rsidR="00347C8C" w:rsidRDefault="00347C8C" w:rsidP="0057340F">
            <w:pPr>
              <w:cnfStyle w:val="000000100000" w:firstRow="0" w:lastRow="0" w:firstColumn="0" w:lastColumn="0" w:oddVBand="0" w:evenVBand="0" w:oddHBand="1" w:evenHBand="0" w:firstRowFirstColumn="0" w:firstRowLastColumn="0" w:lastRowFirstColumn="0" w:lastRowLastColumn="0"/>
            </w:pPr>
            <w:proofErr w:type="spellStart"/>
            <w:r>
              <w:t>Factset</w:t>
            </w:r>
            <w:proofErr w:type="spellEnd"/>
          </w:p>
        </w:tc>
      </w:tr>
      <w:tr w:rsidR="00347C8C" w14:paraId="6AB9AA99" w14:textId="77777777" w:rsidTr="002E4B4E">
        <w:tc>
          <w:tcPr>
            <w:cnfStyle w:val="001000000000" w:firstRow="0" w:lastRow="0" w:firstColumn="1" w:lastColumn="0" w:oddVBand="0" w:evenVBand="0" w:oddHBand="0" w:evenHBand="0" w:firstRowFirstColumn="0" w:firstRowLastColumn="0" w:lastRowFirstColumn="0" w:lastRowLastColumn="0"/>
            <w:tcW w:w="2438" w:type="dxa"/>
          </w:tcPr>
          <w:p w14:paraId="5616EB90" w14:textId="0BC48F5F" w:rsidR="00347C8C" w:rsidRDefault="00347C8C" w:rsidP="0057340F">
            <w:r>
              <w:t>US 10 Year Treasury (Risk free rate)</w:t>
            </w:r>
          </w:p>
        </w:tc>
        <w:tc>
          <w:tcPr>
            <w:tcW w:w="1101" w:type="dxa"/>
          </w:tcPr>
          <w:p w14:paraId="267328EF" w14:textId="7D1DA216" w:rsidR="00347C8C" w:rsidRPr="002F7FFA" w:rsidRDefault="00347C8C" w:rsidP="0057340F">
            <w:pPr>
              <w:cnfStyle w:val="000000000000" w:firstRow="0" w:lastRow="0" w:firstColumn="0" w:lastColumn="0" w:oddVBand="0" w:evenVBand="0" w:oddHBand="0" w:evenHBand="0" w:firstRowFirstColumn="0" w:firstRowLastColumn="0" w:lastRowFirstColumn="0" w:lastRowLastColumn="0"/>
              <w:rPr>
                <w:i/>
                <w:iCs/>
              </w:rPr>
            </w:pPr>
            <w:r w:rsidRPr="002F7FFA">
              <w:rPr>
                <w:i/>
                <w:iCs/>
              </w:rPr>
              <w:t>5.509</w:t>
            </w:r>
          </w:p>
        </w:tc>
        <w:tc>
          <w:tcPr>
            <w:tcW w:w="1843" w:type="dxa"/>
          </w:tcPr>
          <w:p w14:paraId="35DEBD04" w14:textId="74E03015" w:rsidR="00347C8C" w:rsidRDefault="00347C8C" w:rsidP="00347C8C">
            <w:pPr>
              <w:jc w:val="center"/>
              <w:cnfStyle w:val="000000000000" w:firstRow="0" w:lastRow="0" w:firstColumn="0" w:lastColumn="0" w:oddVBand="0" w:evenVBand="0" w:oddHBand="0" w:evenHBand="0" w:firstRowFirstColumn="0" w:firstRowLastColumn="0" w:lastRowFirstColumn="0" w:lastRowLastColumn="0"/>
            </w:pPr>
            <w:r>
              <w:t>%</w:t>
            </w:r>
          </w:p>
        </w:tc>
        <w:tc>
          <w:tcPr>
            <w:tcW w:w="3634" w:type="dxa"/>
          </w:tcPr>
          <w:p w14:paraId="4857C8A8" w14:textId="4BD14206" w:rsidR="00347C8C" w:rsidRDefault="00347C8C" w:rsidP="0057340F">
            <w:pPr>
              <w:cnfStyle w:val="000000000000" w:firstRow="0" w:lastRow="0" w:firstColumn="0" w:lastColumn="0" w:oddVBand="0" w:evenVBand="0" w:oddHBand="0" w:evenHBand="0" w:firstRowFirstColumn="0" w:firstRowLastColumn="0" w:lastRowFirstColumn="0" w:lastRowLastColumn="0"/>
            </w:pPr>
            <w:r>
              <w:t>CNBC</w:t>
            </w:r>
          </w:p>
        </w:tc>
      </w:tr>
      <w:tr w:rsidR="00347C8C" w14:paraId="256E6DEE" w14:textId="77777777" w:rsidTr="002E4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Pr>
          <w:p w14:paraId="4AE88CA0" w14:textId="64C8338E" w:rsidR="00347C8C" w:rsidRDefault="00347C8C" w:rsidP="0057340F">
            <w:r>
              <w:t>Nike β</w:t>
            </w:r>
          </w:p>
        </w:tc>
        <w:tc>
          <w:tcPr>
            <w:tcW w:w="1101" w:type="dxa"/>
          </w:tcPr>
          <w:p w14:paraId="5667A6F9" w14:textId="724094FD" w:rsidR="00347C8C" w:rsidRPr="002F7FFA" w:rsidRDefault="00347C8C" w:rsidP="0057340F">
            <w:pPr>
              <w:cnfStyle w:val="000000100000" w:firstRow="0" w:lastRow="0" w:firstColumn="0" w:lastColumn="0" w:oddVBand="0" w:evenVBand="0" w:oddHBand="1" w:evenHBand="0" w:firstRowFirstColumn="0" w:firstRowLastColumn="0" w:lastRowFirstColumn="0" w:lastRowLastColumn="0"/>
              <w:rPr>
                <w:i/>
                <w:iCs/>
              </w:rPr>
            </w:pPr>
            <w:r w:rsidRPr="002F7FFA">
              <w:rPr>
                <w:i/>
                <w:iCs/>
              </w:rPr>
              <w:t>0.71</w:t>
            </w:r>
          </w:p>
        </w:tc>
        <w:tc>
          <w:tcPr>
            <w:tcW w:w="1843" w:type="dxa"/>
          </w:tcPr>
          <w:p w14:paraId="7C43D689" w14:textId="2C1F669C" w:rsidR="00347C8C" w:rsidRDefault="00347C8C" w:rsidP="00347C8C">
            <w:pPr>
              <w:jc w:val="center"/>
              <w:cnfStyle w:val="000000100000" w:firstRow="0" w:lastRow="0" w:firstColumn="0" w:lastColumn="0" w:oddVBand="0" w:evenVBand="0" w:oddHBand="1" w:evenHBand="0" w:firstRowFirstColumn="0" w:firstRowLastColumn="0" w:lastRowFirstColumn="0" w:lastRowLastColumn="0"/>
            </w:pPr>
          </w:p>
        </w:tc>
        <w:tc>
          <w:tcPr>
            <w:tcW w:w="3634" w:type="dxa"/>
          </w:tcPr>
          <w:p w14:paraId="617D77EB" w14:textId="76E64DCE" w:rsidR="00347C8C" w:rsidRDefault="00347C8C" w:rsidP="0057340F">
            <w:pPr>
              <w:cnfStyle w:val="000000100000" w:firstRow="0" w:lastRow="0" w:firstColumn="0" w:lastColumn="0" w:oddVBand="0" w:evenVBand="0" w:oddHBand="1" w:evenHBand="0" w:firstRowFirstColumn="0" w:firstRowLastColumn="0" w:lastRowFirstColumn="0" w:lastRowLastColumn="0"/>
            </w:pPr>
            <w:proofErr w:type="spellStart"/>
            <w:r>
              <w:t>Factset</w:t>
            </w:r>
            <w:proofErr w:type="spellEnd"/>
          </w:p>
        </w:tc>
      </w:tr>
      <w:tr w:rsidR="00347C8C" w14:paraId="023B2541" w14:textId="77777777" w:rsidTr="002E4B4E">
        <w:tc>
          <w:tcPr>
            <w:cnfStyle w:val="001000000000" w:firstRow="0" w:lastRow="0" w:firstColumn="1" w:lastColumn="0" w:oddVBand="0" w:evenVBand="0" w:oddHBand="0" w:evenHBand="0" w:firstRowFirstColumn="0" w:firstRowLastColumn="0" w:lastRowFirstColumn="0" w:lastRowLastColumn="0"/>
            <w:tcW w:w="2438" w:type="dxa"/>
          </w:tcPr>
          <w:p w14:paraId="56A601FE" w14:textId="4E2BC5F6" w:rsidR="00347C8C" w:rsidRDefault="00347C8C" w:rsidP="0057340F">
            <w:r>
              <w:t xml:space="preserve">Market risk premium </w:t>
            </w:r>
          </w:p>
        </w:tc>
        <w:tc>
          <w:tcPr>
            <w:tcW w:w="1101" w:type="dxa"/>
          </w:tcPr>
          <w:p w14:paraId="39A744A4" w14:textId="596418C4" w:rsidR="00347C8C" w:rsidRPr="002F7FFA" w:rsidRDefault="00582D08" w:rsidP="0057340F">
            <w:pPr>
              <w:cnfStyle w:val="000000000000" w:firstRow="0" w:lastRow="0" w:firstColumn="0" w:lastColumn="0" w:oddVBand="0" w:evenVBand="0" w:oddHBand="0" w:evenHBand="0" w:firstRowFirstColumn="0" w:firstRowLastColumn="0" w:lastRowFirstColumn="0" w:lastRowLastColumn="0"/>
              <w:rPr>
                <w:i/>
                <w:iCs/>
              </w:rPr>
            </w:pPr>
            <w:r>
              <w:rPr>
                <w:i/>
                <w:iCs/>
              </w:rPr>
              <w:t>4.41</w:t>
            </w:r>
          </w:p>
        </w:tc>
        <w:tc>
          <w:tcPr>
            <w:tcW w:w="1843" w:type="dxa"/>
          </w:tcPr>
          <w:p w14:paraId="42E59B93" w14:textId="671579E2" w:rsidR="00347C8C" w:rsidRDefault="00B60FD1" w:rsidP="00B60FD1">
            <w:pPr>
              <w:jc w:val="center"/>
              <w:cnfStyle w:val="000000000000" w:firstRow="0" w:lastRow="0" w:firstColumn="0" w:lastColumn="0" w:oddVBand="0" w:evenVBand="0" w:oddHBand="0" w:evenHBand="0" w:firstRowFirstColumn="0" w:firstRowLastColumn="0" w:lastRowFirstColumn="0" w:lastRowLastColumn="0"/>
            </w:pPr>
            <w:r>
              <w:t>%</w:t>
            </w:r>
          </w:p>
        </w:tc>
        <w:tc>
          <w:tcPr>
            <w:tcW w:w="3634" w:type="dxa"/>
          </w:tcPr>
          <w:p w14:paraId="61011979" w14:textId="02FC042D" w:rsidR="00347C8C" w:rsidRDefault="00347C8C" w:rsidP="0057340F">
            <w:pPr>
              <w:cnfStyle w:val="000000000000" w:firstRow="0" w:lastRow="0" w:firstColumn="0" w:lastColumn="0" w:oddVBand="0" w:evenVBand="0" w:oddHBand="0" w:evenHBand="0" w:firstRowFirstColumn="0" w:firstRowLastColumn="0" w:lastRowFirstColumn="0" w:lastRowLastColumn="0"/>
            </w:pPr>
            <w:r>
              <w:t xml:space="preserve">Damodaran </w:t>
            </w:r>
            <w:sdt>
              <w:sdtPr>
                <w:id w:val="377054847"/>
                <w:citation/>
              </w:sdtPr>
              <w:sdtContent>
                <w:r w:rsidR="000B6ACF">
                  <w:fldChar w:fldCharType="begin"/>
                </w:r>
                <w:r w:rsidR="000B6ACF">
                  <w:instrText xml:space="preserve"> CITATION Cou25 \l 2057 </w:instrText>
                </w:r>
                <w:r w:rsidR="000B6ACF">
                  <w:fldChar w:fldCharType="separate"/>
                </w:r>
                <w:r w:rsidR="00A3279E">
                  <w:rPr>
                    <w:noProof/>
                  </w:rPr>
                  <w:t>(Country Default Spreads and Risk Premiums, 2025)</w:t>
                </w:r>
                <w:r w:rsidR="000B6ACF">
                  <w:fldChar w:fldCharType="end"/>
                </w:r>
              </w:sdtContent>
            </w:sdt>
          </w:p>
        </w:tc>
      </w:tr>
      <w:tr w:rsidR="00347C8C" w14:paraId="015CD438" w14:textId="77777777" w:rsidTr="002E4B4E">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438" w:type="dxa"/>
          </w:tcPr>
          <w:p w14:paraId="3A338E4A" w14:textId="5D8E6377" w:rsidR="00347C8C" w:rsidRDefault="00347C8C" w:rsidP="0057340F">
            <w:r>
              <w:t xml:space="preserve">Debt </w:t>
            </w:r>
          </w:p>
        </w:tc>
        <w:tc>
          <w:tcPr>
            <w:tcW w:w="1101" w:type="dxa"/>
          </w:tcPr>
          <w:p w14:paraId="66E67C61" w14:textId="7AAED511" w:rsidR="00347C8C" w:rsidRPr="002F7FFA" w:rsidRDefault="00347C8C" w:rsidP="0057340F">
            <w:pPr>
              <w:cnfStyle w:val="000000100000" w:firstRow="0" w:lastRow="0" w:firstColumn="0" w:lastColumn="0" w:oddVBand="0" w:evenVBand="0" w:oddHBand="1" w:evenHBand="0" w:firstRowFirstColumn="0" w:firstRowLastColumn="0" w:lastRowFirstColumn="0" w:lastRowLastColumn="0"/>
              <w:rPr>
                <w:i/>
                <w:iCs/>
              </w:rPr>
            </w:pPr>
            <w:r w:rsidRPr="002F7FFA">
              <w:rPr>
                <w:i/>
                <w:iCs/>
              </w:rPr>
              <w:t>8960</w:t>
            </w:r>
          </w:p>
        </w:tc>
        <w:tc>
          <w:tcPr>
            <w:tcW w:w="1843" w:type="dxa"/>
          </w:tcPr>
          <w:p w14:paraId="06A6DC0A" w14:textId="1CCDC17B" w:rsidR="00347C8C" w:rsidRDefault="00697B64" w:rsidP="00697B64">
            <w:pPr>
              <w:jc w:val="center"/>
              <w:cnfStyle w:val="000000100000" w:firstRow="0" w:lastRow="0" w:firstColumn="0" w:lastColumn="0" w:oddVBand="0" w:evenVBand="0" w:oddHBand="1" w:evenHBand="0" w:firstRowFirstColumn="0" w:firstRowLastColumn="0" w:lastRowFirstColumn="0" w:lastRowLastColumn="0"/>
            </w:pPr>
            <w:r>
              <w:t>USD Million</w:t>
            </w:r>
          </w:p>
        </w:tc>
        <w:tc>
          <w:tcPr>
            <w:tcW w:w="3634" w:type="dxa"/>
          </w:tcPr>
          <w:p w14:paraId="333E8ABA" w14:textId="6EB3E6B7" w:rsidR="00347C8C" w:rsidRDefault="00347C8C" w:rsidP="0057340F">
            <w:pPr>
              <w:cnfStyle w:val="000000100000" w:firstRow="0" w:lastRow="0" w:firstColumn="0" w:lastColumn="0" w:oddVBand="0" w:evenVBand="0" w:oddHBand="1" w:evenHBand="0" w:firstRowFirstColumn="0" w:firstRowLastColumn="0" w:lastRowFirstColumn="0" w:lastRowLastColumn="0"/>
            </w:pPr>
            <w:proofErr w:type="spellStart"/>
            <w:r>
              <w:t>Bamsec</w:t>
            </w:r>
            <w:proofErr w:type="spellEnd"/>
            <w:r>
              <w:t xml:space="preserve"> Nike 10-Q</w:t>
            </w:r>
          </w:p>
        </w:tc>
      </w:tr>
      <w:tr w:rsidR="00347C8C" w14:paraId="645464FC" w14:textId="77777777" w:rsidTr="002E4B4E">
        <w:trPr>
          <w:trHeight w:val="81"/>
        </w:trPr>
        <w:tc>
          <w:tcPr>
            <w:cnfStyle w:val="001000000000" w:firstRow="0" w:lastRow="0" w:firstColumn="1" w:lastColumn="0" w:oddVBand="0" w:evenVBand="0" w:oddHBand="0" w:evenHBand="0" w:firstRowFirstColumn="0" w:firstRowLastColumn="0" w:lastRowFirstColumn="0" w:lastRowLastColumn="0"/>
            <w:tcW w:w="2438" w:type="dxa"/>
          </w:tcPr>
          <w:p w14:paraId="0BC88E06" w14:textId="5B8B9B41" w:rsidR="00347C8C" w:rsidRDefault="00347C8C" w:rsidP="0057340F">
            <w:r>
              <w:t xml:space="preserve">Cost of Debt </w:t>
            </w:r>
          </w:p>
        </w:tc>
        <w:tc>
          <w:tcPr>
            <w:tcW w:w="1101" w:type="dxa"/>
          </w:tcPr>
          <w:p w14:paraId="27FD386D" w14:textId="1C8457F7" w:rsidR="00347C8C" w:rsidRPr="002F7FFA" w:rsidRDefault="00347C8C" w:rsidP="0057340F">
            <w:pPr>
              <w:cnfStyle w:val="000000000000" w:firstRow="0" w:lastRow="0" w:firstColumn="0" w:lastColumn="0" w:oddVBand="0" w:evenVBand="0" w:oddHBand="0" w:evenHBand="0" w:firstRowFirstColumn="0" w:firstRowLastColumn="0" w:lastRowFirstColumn="0" w:lastRowLastColumn="0"/>
              <w:rPr>
                <w:i/>
                <w:iCs/>
              </w:rPr>
            </w:pPr>
            <w:r w:rsidRPr="002F7FFA">
              <w:rPr>
                <w:i/>
                <w:iCs/>
              </w:rPr>
              <w:t>3</w:t>
            </w:r>
          </w:p>
        </w:tc>
        <w:tc>
          <w:tcPr>
            <w:tcW w:w="1843" w:type="dxa"/>
          </w:tcPr>
          <w:p w14:paraId="4283EB0E" w14:textId="1C2F4EC3" w:rsidR="00347C8C" w:rsidRDefault="00697B64" w:rsidP="00697B64">
            <w:pPr>
              <w:jc w:val="center"/>
              <w:cnfStyle w:val="000000000000" w:firstRow="0" w:lastRow="0" w:firstColumn="0" w:lastColumn="0" w:oddVBand="0" w:evenVBand="0" w:oddHBand="0" w:evenHBand="0" w:firstRowFirstColumn="0" w:firstRowLastColumn="0" w:lastRowFirstColumn="0" w:lastRowLastColumn="0"/>
            </w:pPr>
            <w:r>
              <w:t>%</w:t>
            </w:r>
          </w:p>
        </w:tc>
        <w:tc>
          <w:tcPr>
            <w:tcW w:w="3634" w:type="dxa"/>
          </w:tcPr>
          <w:p w14:paraId="386A6293" w14:textId="552689DE" w:rsidR="00347C8C" w:rsidRDefault="00347C8C" w:rsidP="0057340F">
            <w:pPr>
              <w:cnfStyle w:val="000000000000" w:firstRow="0" w:lastRow="0" w:firstColumn="0" w:lastColumn="0" w:oddVBand="0" w:evenVBand="0" w:oddHBand="0" w:evenHBand="0" w:firstRowFirstColumn="0" w:firstRowLastColumn="0" w:lastRowFirstColumn="0" w:lastRowLastColumn="0"/>
            </w:pPr>
            <w:proofErr w:type="spellStart"/>
            <w:r>
              <w:t>Bamsec</w:t>
            </w:r>
            <w:proofErr w:type="spellEnd"/>
            <w:r>
              <w:t xml:space="preserve"> Nike 10-k</w:t>
            </w:r>
          </w:p>
        </w:tc>
      </w:tr>
      <w:tr w:rsidR="00AF48ED" w14:paraId="5199E2BE" w14:textId="77777777" w:rsidTr="002E4B4E">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438" w:type="dxa"/>
          </w:tcPr>
          <w:p w14:paraId="4A0F3454" w14:textId="7B0ACFD0" w:rsidR="00AF48ED" w:rsidRDefault="00AF48ED" w:rsidP="0057340F">
            <w:r>
              <w:t xml:space="preserve">Cost of Equity </w:t>
            </w:r>
          </w:p>
        </w:tc>
        <w:tc>
          <w:tcPr>
            <w:tcW w:w="1101" w:type="dxa"/>
          </w:tcPr>
          <w:p w14:paraId="445763A4" w14:textId="6B2202C3" w:rsidR="00AF48ED" w:rsidRPr="002F7FFA" w:rsidRDefault="00F24B00" w:rsidP="0057340F">
            <w:pPr>
              <w:cnfStyle w:val="000000100000" w:firstRow="0" w:lastRow="0" w:firstColumn="0" w:lastColumn="0" w:oddVBand="0" w:evenVBand="0" w:oddHBand="1" w:evenHBand="0" w:firstRowFirstColumn="0" w:firstRowLastColumn="0" w:lastRowFirstColumn="0" w:lastRowLastColumn="0"/>
              <w:rPr>
                <w:i/>
                <w:iCs/>
              </w:rPr>
            </w:pPr>
            <w:r>
              <w:rPr>
                <w:i/>
                <w:iCs/>
              </w:rPr>
              <w:t>8.65</w:t>
            </w:r>
          </w:p>
        </w:tc>
        <w:tc>
          <w:tcPr>
            <w:tcW w:w="1843" w:type="dxa"/>
          </w:tcPr>
          <w:p w14:paraId="67965E59" w14:textId="12D0F3CB" w:rsidR="00AF48ED" w:rsidRDefault="00F24B00" w:rsidP="00697B64">
            <w:pPr>
              <w:jc w:val="center"/>
              <w:cnfStyle w:val="000000100000" w:firstRow="0" w:lastRow="0" w:firstColumn="0" w:lastColumn="0" w:oddVBand="0" w:evenVBand="0" w:oddHBand="1" w:evenHBand="0" w:firstRowFirstColumn="0" w:firstRowLastColumn="0" w:lastRowFirstColumn="0" w:lastRowLastColumn="0"/>
            </w:pPr>
            <w:r>
              <w:t>%</w:t>
            </w:r>
          </w:p>
        </w:tc>
        <w:tc>
          <w:tcPr>
            <w:tcW w:w="3634" w:type="dxa"/>
          </w:tcPr>
          <w:p w14:paraId="0EAE5906" w14:textId="4095985E" w:rsidR="00AF48ED" w:rsidRDefault="00071C05" w:rsidP="0057340F">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E</m:t>
                </m:r>
                <m:d>
                  <m:dPr>
                    <m:ctrlPr>
                      <w:rPr>
                        <w:rFonts w:ascii="Cambria Math" w:hAnsi="Cambria Math"/>
                        <w:i/>
                      </w:rPr>
                    </m:ctrlPr>
                  </m:dPr>
                  <m:e>
                    <m:r>
                      <w:rPr>
                        <w:rFonts w:ascii="Cambria Math" w:hAnsi="Cambria Math"/>
                      </w:rPr>
                      <m:t>ri</m:t>
                    </m:r>
                  </m:e>
                </m:d>
                <m:r>
                  <w:rPr>
                    <w:rFonts w:ascii="Cambria Math" w:hAnsi="Cambria Math"/>
                  </w:rPr>
                  <m:t>=rf+ β(E</m:t>
                </m:r>
                <m:d>
                  <m:dPr>
                    <m:ctrlPr>
                      <w:rPr>
                        <w:rFonts w:ascii="Cambria Math" w:hAnsi="Cambria Math"/>
                        <w:i/>
                      </w:rPr>
                    </m:ctrlPr>
                  </m:dPr>
                  <m:e>
                    <m:r>
                      <w:rPr>
                        <w:rFonts w:ascii="Cambria Math" w:hAnsi="Cambria Math"/>
                      </w:rPr>
                      <m:t>rm</m:t>
                    </m:r>
                  </m:e>
                </m:d>
                <m:r>
                  <w:rPr>
                    <w:rFonts w:ascii="Cambria Math" w:hAnsi="Cambria Math"/>
                  </w:rPr>
                  <m:t>-rf)</m:t>
                </m:r>
              </m:oMath>
            </m:oMathPara>
          </w:p>
        </w:tc>
      </w:tr>
      <w:tr w:rsidR="002E4B4E" w14:paraId="1E729671" w14:textId="77777777" w:rsidTr="002E4B4E">
        <w:trPr>
          <w:trHeight w:val="81"/>
        </w:trPr>
        <w:tc>
          <w:tcPr>
            <w:cnfStyle w:val="001000000000" w:firstRow="0" w:lastRow="0" w:firstColumn="1" w:lastColumn="0" w:oddVBand="0" w:evenVBand="0" w:oddHBand="0" w:evenHBand="0" w:firstRowFirstColumn="0" w:firstRowLastColumn="0" w:lastRowFirstColumn="0" w:lastRowLastColumn="0"/>
            <w:tcW w:w="2438" w:type="dxa"/>
          </w:tcPr>
          <w:p w14:paraId="439E831F" w14:textId="377D4356" w:rsidR="002E4B4E" w:rsidRDefault="002E4B4E" w:rsidP="0057340F">
            <w:r>
              <w:t>Tax Rate</w:t>
            </w:r>
          </w:p>
        </w:tc>
        <w:tc>
          <w:tcPr>
            <w:tcW w:w="1101" w:type="dxa"/>
          </w:tcPr>
          <w:p w14:paraId="33190ED5" w14:textId="79202326" w:rsidR="002E4B4E" w:rsidRDefault="00D73D40" w:rsidP="0057340F">
            <w:pPr>
              <w:cnfStyle w:val="000000000000" w:firstRow="0" w:lastRow="0" w:firstColumn="0" w:lastColumn="0" w:oddVBand="0" w:evenVBand="0" w:oddHBand="0" w:evenHBand="0" w:firstRowFirstColumn="0" w:firstRowLastColumn="0" w:lastRowFirstColumn="0" w:lastRowLastColumn="0"/>
              <w:rPr>
                <w:i/>
                <w:iCs/>
              </w:rPr>
            </w:pPr>
            <w:r>
              <w:rPr>
                <w:i/>
                <w:iCs/>
              </w:rPr>
              <w:t>15.25</w:t>
            </w:r>
          </w:p>
        </w:tc>
        <w:tc>
          <w:tcPr>
            <w:tcW w:w="1843" w:type="dxa"/>
          </w:tcPr>
          <w:p w14:paraId="635AE1A9" w14:textId="60F14F4E" w:rsidR="002E4B4E" w:rsidRDefault="00D73D40" w:rsidP="00697B64">
            <w:pPr>
              <w:jc w:val="center"/>
              <w:cnfStyle w:val="000000000000" w:firstRow="0" w:lastRow="0" w:firstColumn="0" w:lastColumn="0" w:oddVBand="0" w:evenVBand="0" w:oddHBand="0" w:evenHBand="0" w:firstRowFirstColumn="0" w:firstRowLastColumn="0" w:lastRowFirstColumn="0" w:lastRowLastColumn="0"/>
            </w:pPr>
            <w:r>
              <w:t>%</w:t>
            </w:r>
          </w:p>
        </w:tc>
        <w:tc>
          <w:tcPr>
            <w:tcW w:w="3634" w:type="dxa"/>
          </w:tcPr>
          <w:p w14:paraId="308FF9E5" w14:textId="200D6078" w:rsidR="002E4B4E" w:rsidRDefault="00D73D40" w:rsidP="0057340F">
            <w:pPr>
              <w:cnfStyle w:val="000000000000" w:firstRow="0" w:lastRow="0" w:firstColumn="0" w:lastColumn="0" w:oddVBand="0" w:evenVBand="0" w:oddHBand="0" w:evenHBand="0" w:firstRowFirstColumn="0" w:firstRowLastColumn="0" w:lastRowFirstColumn="0" w:lastRowLastColumn="0"/>
              <w:rPr>
                <w:rFonts w:ascii="Aptos" w:eastAsia="Aptos" w:hAnsi="Aptos" w:cs="Times New Roman"/>
              </w:rPr>
            </w:pPr>
            <w:r>
              <w:rPr>
                <w:rFonts w:ascii="Aptos" w:eastAsia="Aptos" w:hAnsi="Aptos" w:cs="Times New Roman"/>
              </w:rPr>
              <w:t xml:space="preserve">Average of past 3 years </w:t>
            </w:r>
          </w:p>
        </w:tc>
      </w:tr>
      <w:tr w:rsidR="002E4B4E" w14:paraId="1A05DD8B" w14:textId="77777777" w:rsidTr="002E4B4E">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438" w:type="dxa"/>
          </w:tcPr>
          <w:p w14:paraId="1930F97B" w14:textId="65F2F4EC" w:rsidR="002E4B4E" w:rsidRDefault="00D73D40" w:rsidP="0057340F">
            <w:r>
              <w:t>WACC</w:t>
            </w:r>
          </w:p>
        </w:tc>
        <w:tc>
          <w:tcPr>
            <w:tcW w:w="1101" w:type="dxa"/>
          </w:tcPr>
          <w:p w14:paraId="06DFAB2B" w14:textId="5947B6A6" w:rsidR="002E4B4E" w:rsidRDefault="00D73D40" w:rsidP="0057340F">
            <w:pPr>
              <w:cnfStyle w:val="000000100000" w:firstRow="0" w:lastRow="0" w:firstColumn="0" w:lastColumn="0" w:oddVBand="0" w:evenVBand="0" w:oddHBand="1" w:evenHBand="0" w:firstRowFirstColumn="0" w:firstRowLastColumn="0" w:lastRowFirstColumn="0" w:lastRowLastColumn="0"/>
              <w:rPr>
                <w:i/>
                <w:iCs/>
              </w:rPr>
            </w:pPr>
            <w:r>
              <w:rPr>
                <w:i/>
                <w:iCs/>
              </w:rPr>
              <w:t>7.21</w:t>
            </w:r>
          </w:p>
        </w:tc>
        <w:tc>
          <w:tcPr>
            <w:tcW w:w="1843" w:type="dxa"/>
          </w:tcPr>
          <w:p w14:paraId="4DB64F09" w14:textId="0D6A201A" w:rsidR="002E4B4E" w:rsidRDefault="00417457" w:rsidP="00697B64">
            <w:pPr>
              <w:jc w:val="center"/>
              <w:cnfStyle w:val="000000100000" w:firstRow="0" w:lastRow="0" w:firstColumn="0" w:lastColumn="0" w:oddVBand="0" w:evenVBand="0" w:oddHBand="1" w:evenHBand="0" w:firstRowFirstColumn="0" w:firstRowLastColumn="0" w:lastRowFirstColumn="0" w:lastRowLastColumn="0"/>
            </w:pPr>
            <w:r>
              <w:t>%</w:t>
            </w:r>
          </w:p>
        </w:tc>
        <w:tc>
          <w:tcPr>
            <w:tcW w:w="3634" w:type="dxa"/>
          </w:tcPr>
          <w:p w14:paraId="6602F1DF" w14:textId="71B94C1E" w:rsidR="002E4B4E" w:rsidRDefault="00D145D6" w:rsidP="0057340F">
            <w:pPr>
              <w:cnfStyle w:val="000000100000" w:firstRow="0" w:lastRow="0" w:firstColumn="0" w:lastColumn="0" w:oddVBand="0" w:evenVBand="0" w:oddHBand="1" w:evenHBand="0" w:firstRowFirstColumn="0" w:firstRowLastColumn="0" w:lastRowFirstColumn="0" w:lastRowLastColumn="0"/>
              <w:rPr>
                <w:rFonts w:ascii="Aptos" w:eastAsia="Aptos" w:hAnsi="Aptos" w:cs="Times New Roman"/>
              </w:rPr>
            </w:pPr>
            <m:oMathPara>
              <m:oMath>
                <m:r>
                  <w:rPr>
                    <w:rFonts w:ascii="Cambria Math" w:eastAsia="Aptos" w:hAnsi="Cambria Math" w:cs="Times New Roman"/>
                    <w:sz w:val="18"/>
                    <w:szCs w:val="18"/>
                  </w:rPr>
                  <m:t>WACC=</m:t>
                </m:r>
                <m:d>
                  <m:dPr>
                    <m:ctrlPr>
                      <w:rPr>
                        <w:rFonts w:ascii="Cambria Math" w:eastAsia="Aptos" w:hAnsi="Cambria Math" w:cs="Times New Roman"/>
                        <w:i/>
                        <w:sz w:val="18"/>
                        <w:szCs w:val="18"/>
                      </w:rPr>
                    </m:ctrlPr>
                  </m:dPr>
                  <m:e>
                    <m:f>
                      <m:fPr>
                        <m:ctrlPr>
                          <w:rPr>
                            <w:rFonts w:ascii="Cambria Math" w:eastAsia="Aptos" w:hAnsi="Cambria Math" w:cs="Times New Roman"/>
                            <w:i/>
                            <w:sz w:val="18"/>
                            <w:szCs w:val="18"/>
                          </w:rPr>
                        </m:ctrlPr>
                      </m:fPr>
                      <m:num>
                        <m:r>
                          <w:rPr>
                            <w:rFonts w:ascii="Cambria Math" w:eastAsia="Aptos" w:hAnsi="Cambria Math" w:cs="Times New Roman"/>
                            <w:sz w:val="18"/>
                            <w:szCs w:val="18"/>
                          </w:rPr>
                          <m:t>D</m:t>
                        </m:r>
                      </m:num>
                      <m:den>
                        <m:r>
                          <w:rPr>
                            <w:rFonts w:ascii="Cambria Math" w:eastAsia="Aptos" w:hAnsi="Cambria Math" w:cs="Times New Roman"/>
                            <w:sz w:val="18"/>
                            <w:szCs w:val="18"/>
                          </w:rPr>
                          <m:t>D+E</m:t>
                        </m:r>
                      </m:den>
                    </m:f>
                  </m:e>
                </m:d>
                <m:r>
                  <w:rPr>
                    <w:rFonts w:ascii="Cambria Math" w:eastAsia="Aptos" w:hAnsi="Cambria Math" w:cs="Times New Roman"/>
                    <w:sz w:val="18"/>
                    <w:szCs w:val="18"/>
                  </w:rPr>
                  <m:t>*Rf*</m:t>
                </m:r>
                <m:d>
                  <m:dPr>
                    <m:ctrlPr>
                      <w:rPr>
                        <w:rFonts w:ascii="Cambria Math" w:eastAsia="Aptos" w:hAnsi="Cambria Math" w:cs="Times New Roman"/>
                        <w:i/>
                        <w:sz w:val="18"/>
                        <w:szCs w:val="18"/>
                      </w:rPr>
                    </m:ctrlPr>
                  </m:dPr>
                  <m:e>
                    <m:r>
                      <w:rPr>
                        <w:rFonts w:ascii="Cambria Math" w:eastAsia="Aptos" w:hAnsi="Cambria Math" w:cs="Times New Roman"/>
                        <w:sz w:val="18"/>
                        <w:szCs w:val="18"/>
                      </w:rPr>
                      <m:t>1-Tax Rate</m:t>
                    </m:r>
                  </m:e>
                </m:d>
                <m:r>
                  <w:rPr>
                    <w:rFonts w:ascii="Cambria Math" w:eastAsia="Aptos" w:hAnsi="Cambria Math" w:cs="Times New Roman"/>
                    <w:sz w:val="18"/>
                    <w:szCs w:val="18"/>
                  </w:rPr>
                  <m:t>+</m:t>
                </m:r>
                <m:d>
                  <m:dPr>
                    <m:ctrlPr>
                      <w:rPr>
                        <w:rFonts w:ascii="Cambria Math" w:eastAsia="Aptos" w:hAnsi="Cambria Math" w:cs="Times New Roman"/>
                        <w:i/>
                        <w:sz w:val="18"/>
                        <w:szCs w:val="18"/>
                      </w:rPr>
                    </m:ctrlPr>
                  </m:dPr>
                  <m:e>
                    <m:f>
                      <m:fPr>
                        <m:ctrlPr>
                          <w:rPr>
                            <w:rFonts w:ascii="Cambria Math" w:eastAsia="Aptos" w:hAnsi="Cambria Math" w:cs="Times New Roman"/>
                            <w:i/>
                            <w:sz w:val="18"/>
                            <w:szCs w:val="18"/>
                          </w:rPr>
                        </m:ctrlPr>
                      </m:fPr>
                      <m:num>
                        <m:r>
                          <w:rPr>
                            <w:rFonts w:ascii="Cambria Math" w:eastAsia="Aptos" w:hAnsi="Cambria Math" w:cs="Times New Roman"/>
                            <w:sz w:val="18"/>
                            <w:szCs w:val="18"/>
                          </w:rPr>
                          <m:t>E</m:t>
                        </m:r>
                      </m:num>
                      <m:den>
                        <m:r>
                          <w:rPr>
                            <w:rFonts w:ascii="Cambria Math" w:eastAsia="Aptos" w:hAnsi="Cambria Math" w:cs="Times New Roman"/>
                            <w:sz w:val="18"/>
                            <w:szCs w:val="18"/>
                          </w:rPr>
                          <m:t>D+E</m:t>
                        </m:r>
                      </m:den>
                    </m:f>
                  </m:e>
                </m:d>
                <m:r>
                  <w:rPr>
                    <w:rFonts w:ascii="Cambria Math" w:eastAsia="Aptos" w:hAnsi="Cambria Math" w:cs="Times New Roman"/>
                    <w:sz w:val="18"/>
                    <w:szCs w:val="18"/>
                  </w:rPr>
                  <m:t>*Re</m:t>
                </m:r>
              </m:oMath>
            </m:oMathPara>
          </w:p>
        </w:tc>
      </w:tr>
    </w:tbl>
    <w:p w14:paraId="1790061F" w14:textId="014FC365" w:rsidR="0049460C" w:rsidRDefault="00425438" w:rsidP="00425438">
      <w:pPr>
        <w:pStyle w:val="Caption"/>
      </w:pPr>
      <w:r>
        <w:t xml:space="preserve">Table </w:t>
      </w:r>
      <w:fldSimple w:instr=" SEQ Table \* ARABIC ">
        <w:r w:rsidR="007A23D0">
          <w:rPr>
            <w:noProof/>
          </w:rPr>
          <w:t>1</w:t>
        </w:r>
      </w:fldSimple>
      <w:r>
        <w:t xml:space="preserve"> Data Used to compute WACC</w:t>
      </w:r>
    </w:p>
    <w:p w14:paraId="018879FB" w14:textId="4D580837" w:rsidR="002F7FFA" w:rsidRDefault="00633DD0" w:rsidP="00633DD0">
      <w:pPr>
        <w:pStyle w:val="Heading3"/>
      </w:pPr>
      <w:bookmarkStart w:id="8" w:name="_Toc203646945"/>
      <w:r>
        <w:t>Diluted Share Calculation</w:t>
      </w:r>
      <w:bookmarkEnd w:id="8"/>
      <w:r>
        <w:t xml:space="preserve"> </w:t>
      </w:r>
    </w:p>
    <w:tbl>
      <w:tblPr>
        <w:tblStyle w:val="GridTable5Dark-Accent1"/>
        <w:tblW w:w="0" w:type="auto"/>
        <w:tblLook w:val="04A0" w:firstRow="1" w:lastRow="0" w:firstColumn="1" w:lastColumn="0" w:noHBand="0" w:noVBand="1"/>
      </w:tblPr>
      <w:tblGrid>
        <w:gridCol w:w="2544"/>
        <w:gridCol w:w="995"/>
        <w:gridCol w:w="1843"/>
        <w:gridCol w:w="3634"/>
      </w:tblGrid>
      <w:tr w:rsidR="0045373A" w14:paraId="432CAF5C" w14:textId="77777777" w:rsidTr="00764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14:paraId="7BAEB849" w14:textId="77777777" w:rsidR="0045373A" w:rsidRDefault="0045373A" w:rsidP="00BB7F3B"/>
        </w:tc>
        <w:tc>
          <w:tcPr>
            <w:tcW w:w="995" w:type="dxa"/>
          </w:tcPr>
          <w:p w14:paraId="78E0B95C" w14:textId="77777777" w:rsidR="0045373A" w:rsidRDefault="0045373A" w:rsidP="00BB7F3B">
            <w:pPr>
              <w:cnfStyle w:val="100000000000" w:firstRow="1" w:lastRow="0" w:firstColumn="0" w:lastColumn="0" w:oddVBand="0" w:evenVBand="0" w:oddHBand="0" w:evenHBand="0" w:firstRowFirstColumn="0" w:firstRowLastColumn="0" w:lastRowFirstColumn="0" w:lastRowLastColumn="0"/>
            </w:pPr>
            <w:r>
              <w:t xml:space="preserve">Value </w:t>
            </w:r>
          </w:p>
        </w:tc>
        <w:tc>
          <w:tcPr>
            <w:tcW w:w="1843" w:type="dxa"/>
          </w:tcPr>
          <w:p w14:paraId="0697F296" w14:textId="045894A6" w:rsidR="0045373A" w:rsidRDefault="00016BF6" w:rsidP="00BB7F3B">
            <w:pPr>
              <w:cnfStyle w:val="100000000000" w:firstRow="1" w:lastRow="0" w:firstColumn="0" w:lastColumn="0" w:oddVBand="0" w:evenVBand="0" w:oddHBand="0" w:evenHBand="0" w:firstRowFirstColumn="0" w:firstRowLastColumn="0" w:lastRowFirstColumn="0" w:lastRowLastColumn="0"/>
            </w:pPr>
            <w:r>
              <w:t>Unit</w:t>
            </w:r>
          </w:p>
        </w:tc>
        <w:tc>
          <w:tcPr>
            <w:tcW w:w="3634" w:type="dxa"/>
          </w:tcPr>
          <w:p w14:paraId="6033ED8A" w14:textId="3816B7BE" w:rsidR="0045373A" w:rsidRDefault="00640B15" w:rsidP="00BB7F3B">
            <w:pPr>
              <w:cnfStyle w:val="100000000000" w:firstRow="1" w:lastRow="0" w:firstColumn="0" w:lastColumn="0" w:oddVBand="0" w:evenVBand="0" w:oddHBand="0" w:evenHBand="0" w:firstRowFirstColumn="0" w:firstRowLastColumn="0" w:lastRowFirstColumn="0" w:lastRowLastColumn="0"/>
            </w:pPr>
            <w:r>
              <w:t>Source</w:t>
            </w:r>
          </w:p>
        </w:tc>
      </w:tr>
      <w:tr w:rsidR="0045373A" w14:paraId="58C96FD4" w14:textId="77777777" w:rsidTr="00764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14:paraId="2450294D" w14:textId="22FECB24" w:rsidR="0045373A" w:rsidRDefault="0045373A" w:rsidP="00BB7F3B">
            <w:r>
              <w:t xml:space="preserve">Current Price </w:t>
            </w:r>
          </w:p>
        </w:tc>
        <w:tc>
          <w:tcPr>
            <w:tcW w:w="995" w:type="dxa"/>
          </w:tcPr>
          <w:p w14:paraId="324D3063" w14:textId="1C3B2984" w:rsidR="0045373A" w:rsidRPr="002F7FFA" w:rsidRDefault="0045373A" w:rsidP="00BB7F3B">
            <w:pPr>
              <w:cnfStyle w:val="000000100000" w:firstRow="0" w:lastRow="0" w:firstColumn="0" w:lastColumn="0" w:oddVBand="0" w:evenVBand="0" w:oddHBand="1" w:evenHBand="0" w:firstRowFirstColumn="0" w:firstRowLastColumn="0" w:lastRowFirstColumn="0" w:lastRowLastColumn="0"/>
              <w:rPr>
                <w:i/>
                <w:iCs/>
              </w:rPr>
            </w:pPr>
            <w:r>
              <w:rPr>
                <w:i/>
                <w:iCs/>
              </w:rPr>
              <w:t>60.02</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373A" w:rsidRPr="0045373A" w14:paraId="1984F86C" w14:textId="77777777" w:rsidTr="0045373A">
              <w:trPr>
                <w:tblCellSpacing w:w="15" w:type="dxa"/>
              </w:trPr>
              <w:tc>
                <w:tcPr>
                  <w:tcW w:w="0" w:type="auto"/>
                  <w:vAlign w:val="center"/>
                  <w:hideMark/>
                </w:tcPr>
                <w:p w14:paraId="252BB9D5" w14:textId="77777777" w:rsidR="0045373A" w:rsidRPr="0045373A" w:rsidRDefault="0045373A" w:rsidP="00764C7F">
                  <w:pPr>
                    <w:spacing w:after="0" w:line="240" w:lineRule="auto"/>
                  </w:pPr>
                </w:p>
              </w:tc>
            </w:tr>
          </w:tbl>
          <w:p w14:paraId="1D3B0B1F" w14:textId="09E094DF" w:rsidR="0045373A" w:rsidRPr="0045373A" w:rsidRDefault="003675F9" w:rsidP="00764C7F">
            <w:pPr>
              <w:cnfStyle w:val="000000100000" w:firstRow="0" w:lastRow="0" w:firstColumn="0" w:lastColumn="0" w:oddVBand="0" w:evenVBand="0" w:oddHBand="1" w:evenHBand="0" w:firstRowFirstColumn="0" w:firstRowLastColumn="0" w:lastRowFirstColumn="0" w:lastRowLastColumn="0"/>
              <w:rPr>
                <w:vanish/>
              </w:rPr>
            </w:pPr>
            <w:r w:rsidRPr="003675F9">
              <w:t>USD/share</w:t>
            </w:r>
          </w:p>
          <w:p w14:paraId="05564A1A" w14:textId="77777777" w:rsidR="0045373A" w:rsidRDefault="0045373A" w:rsidP="00764C7F">
            <w:pPr>
              <w:cnfStyle w:val="000000100000" w:firstRow="0" w:lastRow="0" w:firstColumn="0" w:lastColumn="0" w:oddVBand="0" w:evenVBand="0" w:oddHBand="1" w:evenHBand="0" w:firstRowFirstColumn="0" w:firstRowLastColumn="0" w:lastRowFirstColumn="0" w:lastRowLastColumn="0"/>
            </w:pPr>
          </w:p>
        </w:tc>
        <w:tc>
          <w:tcPr>
            <w:tcW w:w="3634" w:type="dxa"/>
          </w:tcPr>
          <w:p w14:paraId="56460F65" w14:textId="3511C243" w:rsidR="0045373A" w:rsidRDefault="0045373A" w:rsidP="00BB7F3B">
            <w:pPr>
              <w:cnfStyle w:val="000000100000" w:firstRow="0" w:lastRow="0" w:firstColumn="0" w:lastColumn="0" w:oddVBand="0" w:evenVBand="0" w:oddHBand="1" w:evenHBand="0" w:firstRowFirstColumn="0" w:firstRowLastColumn="0" w:lastRowFirstColumn="0" w:lastRowLastColumn="0"/>
            </w:pPr>
            <w:r>
              <w:t xml:space="preserve">Yahoo finance </w:t>
            </w:r>
          </w:p>
        </w:tc>
      </w:tr>
      <w:tr w:rsidR="007469AE" w14:paraId="7F28F5EC" w14:textId="77777777" w:rsidTr="00764C7F">
        <w:tc>
          <w:tcPr>
            <w:cnfStyle w:val="001000000000" w:firstRow="0" w:lastRow="0" w:firstColumn="1" w:lastColumn="0" w:oddVBand="0" w:evenVBand="0" w:oddHBand="0" w:evenHBand="0" w:firstRowFirstColumn="0" w:firstRowLastColumn="0" w:lastRowFirstColumn="0" w:lastRowLastColumn="0"/>
            <w:tcW w:w="2544" w:type="dxa"/>
          </w:tcPr>
          <w:p w14:paraId="0C810BEA" w14:textId="48EA0B07" w:rsidR="007469AE" w:rsidRDefault="007469AE" w:rsidP="00BB7F3B">
            <w:r>
              <w:t xml:space="preserve">Basic shares outstanding </w:t>
            </w:r>
          </w:p>
        </w:tc>
        <w:tc>
          <w:tcPr>
            <w:tcW w:w="995" w:type="dxa"/>
          </w:tcPr>
          <w:p w14:paraId="4DB2C0DC" w14:textId="69CD50C5" w:rsidR="007469AE" w:rsidRDefault="00640B15" w:rsidP="00BB7F3B">
            <w:pPr>
              <w:cnfStyle w:val="000000000000" w:firstRow="0" w:lastRow="0" w:firstColumn="0" w:lastColumn="0" w:oddVBand="0" w:evenVBand="0" w:oddHBand="0" w:evenHBand="0" w:firstRowFirstColumn="0" w:firstRowLastColumn="0" w:lastRowFirstColumn="0" w:lastRowLastColumn="0"/>
              <w:rPr>
                <w:i/>
                <w:iCs/>
              </w:rPr>
            </w:pPr>
            <w:r>
              <w:rPr>
                <w:i/>
                <w:iCs/>
              </w:rPr>
              <w:t>1476</w:t>
            </w:r>
          </w:p>
        </w:tc>
        <w:tc>
          <w:tcPr>
            <w:tcW w:w="1843" w:type="dxa"/>
          </w:tcPr>
          <w:p w14:paraId="5D9DA23E" w14:textId="18DB80F7" w:rsidR="007469AE" w:rsidRPr="0045373A" w:rsidRDefault="00640B15" w:rsidP="00764C7F">
            <w:pPr>
              <w:cnfStyle w:val="000000000000" w:firstRow="0" w:lastRow="0" w:firstColumn="0" w:lastColumn="0" w:oddVBand="0" w:evenVBand="0" w:oddHBand="0" w:evenHBand="0" w:firstRowFirstColumn="0" w:firstRowLastColumn="0" w:lastRowFirstColumn="0" w:lastRowLastColumn="0"/>
            </w:pPr>
            <w:r>
              <w:t>Million shares</w:t>
            </w:r>
          </w:p>
        </w:tc>
        <w:tc>
          <w:tcPr>
            <w:tcW w:w="3634" w:type="dxa"/>
          </w:tcPr>
          <w:p w14:paraId="03661B10" w14:textId="40ABD360" w:rsidR="007469AE" w:rsidRDefault="00640B15" w:rsidP="00BB7F3B">
            <w:pPr>
              <w:cnfStyle w:val="000000000000" w:firstRow="0" w:lastRow="0" w:firstColumn="0" w:lastColumn="0" w:oddVBand="0" w:evenVBand="0" w:oddHBand="0" w:evenHBand="0" w:firstRowFirstColumn="0" w:firstRowLastColumn="0" w:lastRowFirstColumn="0" w:lastRowLastColumn="0"/>
            </w:pPr>
            <w:proofErr w:type="spellStart"/>
            <w:r>
              <w:t>Bamsec</w:t>
            </w:r>
            <w:proofErr w:type="spellEnd"/>
            <w:r>
              <w:t xml:space="preserve"> Nike 10-Q</w:t>
            </w:r>
          </w:p>
        </w:tc>
      </w:tr>
      <w:tr w:rsidR="0045373A" w14:paraId="382B7235" w14:textId="77777777" w:rsidTr="00764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14:paraId="42D40590" w14:textId="26123A18" w:rsidR="0045373A" w:rsidRDefault="0045373A" w:rsidP="00BB7F3B">
            <w:proofErr w:type="gramStart"/>
            <w:r>
              <w:t>Options  Outstanding</w:t>
            </w:r>
            <w:proofErr w:type="gramEnd"/>
            <w:r>
              <w:t xml:space="preserve"> </w:t>
            </w:r>
          </w:p>
        </w:tc>
        <w:tc>
          <w:tcPr>
            <w:tcW w:w="995" w:type="dxa"/>
          </w:tcPr>
          <w:p w14:paraId="5AE62E37" w14:textId="5FF5D2E6" w:rsidR="0045373A" w:rsidRPr="002F7FFA" w:rsidRDefault="0045373A" w:rsidP="00BB7F3B">
            <w:pPr>
              <w:cnfStyle w:val="000000100000" w:firstRow="0" w:lastRow="0" w:firstColumn="0" w:lastColumn="0" w:oddVBand="0" w:evenVBand="0" w:oddHBand="1" w:evenHBand="0" w:firstRowFirstColumn="0" w:firstRowLastColumn="0" w:lastRowFirstColumn="0" w:lastRowLastColumn="0"/>
              <w:rPr>
                <w:i/>
                <w:iCs/>
              </w:rPr>
            </w:pPr>
            <w:r>
              <w:rPr>
                <w:i/>
                <w:iCs/>
              </w:rPr>
              <w:t>73.7</w:t>
            </w:r>
          </w:p>
        </w:tc>
        <w:tc>
          <w:tcPr>
            <w:tcW w:w="1843" w:type="dxa"/>
          </w:tcPr>
          <w:p w14:paraId="781A3D5C" w14:textId="58882A7F" w:rsidR="0045373A" w:rsidRDefault="00815F1E" w:rsidP="00764C7F">
            <w:pPr>
              <w:cnfStyle w:val="000000100000" w:firstRow="0" w:lastRow="0" w:firstColumn="0" w:lastColumn="0" w:oddVBand="0" w:evenVBand="0" w:oddHBand="1" w:evenHBand="0" w:firstRowFirstColumn="0" w:firstRowLastColumn="0" w:lastRowFirstColumn="0" w:lastRowLastColumn="0"/>
            </w:pPr>
            <w:r w:rsidRPr="00815F1E">
              <w:t>Million shares</w:t>
            </w:r>
          </w:p>
        </w:tc>
        <w:tc>
          <w:tcPr>
            <w:tcW w:w="3634" w:type="dxa"/>
          </w:tcPr>
          <w:p w14:paraId="4B87EA11" w14:textId="3E770C28" w:rsidR="0045373A" w:rsidRDefault="0045373A" w:rsidP="00BB7F3B">
            <w:pPr>
              <w:cnfStyle w:val="000000100000" w:firstRow="0" w:lastRow="0" w:firstColumn="0" w:lastColumn="0" w:oddVBand="0" w:evenVBand="0" w:oddHBand="1" w:evenHBand="0" w:firstRowFirstColumn="0" w:firstRowLastColumn="0" w:lastRowFirstColumn="0" w:lastRowLastColumn="0"/>
            </w:pPr>
            <w:proofErr w:type="spellStart"/>
            <w:r>
              <w:t>Bamsec</w:t>
            </w:r>
            <w:proofErr w:type="spellEnd"/>
            <w:r>
              <w:t xml:space="preserve"> Nike 10-k</w:t>
            </w:r>
          </w:p>
        </w:tc>
      </w:tr>
      <w:tr w:rsidR="0045373A" w14:paraId="7AAA4192" w14:textId="77777777" w:rsidTr="00764C7F">
        <w:trPr>
          <w:trHeight w:val="409"/>
        </w:trPr>
        <w:tc>
          <w:tcPr>
            <w:cnfStyle w:val="001000000000" w:firstRow="0" w:lastRow="0" w:firstColumn="1" w:lastColumn="0" w:oddVBand="0" w:evenVBand="0" w:oddHBand="0" w:evenHBand="0" w:firstRowFirstColumn="0" w:firstRowLastColumn="0" w:lastRowFirstColumn="0" w:lastRowLastColumn="0"/>
            <w:tcW w:w="2544" w:type="dxa"/>
          </w:tcPr>
          <w:p w14:paraId="43603FDA" w14:textId="1E312F71" w:rsidR="0045373A" w:rsidRDefault="0045373A" w:rsidP="00BB7F3B">
            <w:r>
              <w:t xml:space="preserve">Options Exercise Price </w:t>
            </w:r>
          </w:p>
        </w:tc>
        <w:tc>
          <w:tcPr>
            <w:tcW w:w="995" w:type="dxa"/>
          </w:tcPr>
          <w:p w14:paraId="5E7E5886" w14:textId="349B597F" w:rsidR="0045373A" w:rsidRPr="002F7FFA" w:rsidRDefault="0045373A" w:rsidP="00BB7F3B">
            <w:pPr>
              <w:cnfStyle w:val="000000000000" w:firstRow="0" w:lastRow="0" w:firstColumn="0" w:lastColumn="0" w:oddVBand="0" w:evenVBand="0" w:oddHBand="0" w:evenHBand="0" w:firstRowFirstColumn="0" w:firstRowLastColumn="0" w:lastRowFirstColumn="0" w:lastRowLastColumn="0"/>
              <w:rPr>
                <w:i/>
                <w:iCs/>
              </w:rPr>
            </w:pPr>
            <w:r>
              <w:rPr>
                <w:i/>
                <w:iCs/>
              </w:rPr>
              <w:t>98.1</w:t>
            </w:r>
          </w:p>
        </w:tc>
        <w:tc>
          <w:tcPr>
            <w:tcW w:w="1843" w:type="dxa"/>
          </w:tcPr>
          <w:p w14:paraId="5A5AD5AD" w14:textId="27EB531F" w:rsidR="0045373A" w:rsidRDefault="003675F9" w:rsidP="00764C7F">
            <w:pPr>
              <w:cnfStyle w:val="000000000000" w:firstRow="0" w:lastRow="0" w:firstColumn="0" w:lastColumn="0" w:oddVBand="0" w:evenVBand="0" w:oddHBand="0" w:evenHBand="0" w:firstRowFirstColumn="0" w:firstRowLastColumn="0" w:lastRowFirstColumn="0" w:lastRowLastColumn="0"/>
            </w:pPr>
            <w:r w:rsidRPr="003675F9">
              <w:t>USD/share</w:t>
            </w:r>
          </w:p>
        </w:tc>
        <w:tc>
          <w:tcPr>
            <w:tcW w:w="3634" w:type="dxa"/>
          </w:tcPr>
          <w:p w14:paraId="3016EDB7" w14:textId="1020EE18" w:rsidR="0045373A" w:rsidRDefault="0045373A" w:rsidP="00BB7F3B">
            <w:pPr>
              <w:cnfStyle w:val="000000000000" w:firstRow="0" w:lastRow="0" w:firstColumn="0" w:lastColumn="0" w:oddVBand="0" w:evenVBand="0" w:oddHBand="0" w:evenHBand="0" w:firstRowFirstColumn="0" w:firstRowLastColumn="0" w:lastRowFirstColumn="0" w:lastRowLastColumn="0"/>
            </w:pPr>
            <w:proofErr w:type="spellStart"/>
            <w:r>
              <w:t>Bamsec</w:t>
            </w:r>
            <w:proofErr w:type="spellEnd"/>
            <w:r>
              <w:t xml:space="preserve"> Nike 10-k</w:t>
            </w:r>
          </w:p>
        </w:tc>
      </w:tr>
      <w:tr w:rsidR="0045373A" w14:paraId="4A2DED05" w14:textId="77777777" w:rsidTr="00764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Pr>
          <w:p w14:paraId="2F8C9CD3" w14:textId="27C878D2" w:rsidR="0045373A" w:rsidRDefault="0045373A" w:rsidP="00BB7F3B">
            <w:r>
              <w:t>RSU</w:t>
            </w:r>
          </w:p>
        </w:tc>
        <w:tc>
          <w:tcPr>
            <w:tcW w:w="995" w:type="dxa"/>
          </w:tcPr>
          <w:p w14:paraId="40691F8C" w14:textId="36F9EA1D" w:rsidR="0045373A" w:rsidRDefault="0045373A" w:rsidP="00BB7F3B">
            <w:pPr>
              <w:cnfStyle w:val="000000100000" w:firstRow="0" w:lastRow="0" w:firstColumn="0" w:lastColumn="0" w:oddVBand="0" w:evenVBand="0" w:oddHBand="1" w:evenHBand="0" w:firstRowFirstColumn="0" w:firstRowLastColumn="0" w:lastRowFirstColumn="0" w:lastRowLastColumn="0"/>
              <w:rPr>
                <w:i/>
                <w:iCs/>
              </w:rPr>
            </w:pPr>
            <w:r>
              <w:rPr>
                <w:i/>
                <w:iCs/>
              </w:rPr>
              <w:t>9.1</w:t>
            </w:r>
          </w:p>
        </w:tc>
        <w:tc>
          <w:tcPr>
            <w:tcW w:w="1843" w:type="dxa"/>
          </w:tcPr>
          <w:p w14:paraId="3329B375" w14:textId="345C941F" w:rsidR="0045373A" w:rsidRDefault="005F3F24" w:rsidP="00764C7F">
            <w:pPr>
              <w:cnfStyle w:val="000000100000" w:firstRow="0" w:lastRow="0" w:firstColumn="0" w:lastColumn="0" w:oddVBand="0" w:evenVBand="0" w:oddHBand="1" w:evenHBand="0" w:firstRowFirstColumn="0" w:firstRowLastColumn="0" w:lastRowFirstColumn="0" w:lastRowLastColumn="0"/>
            </w:pPr>
            <w:r>
              <w:t xml:space="preserve">Million </w:t>
            </w:r>
            <w:r w:rsidR="00E763C9">
              <w:t>shares</w:t>
            </w:r>
          </w:p>
        </w:tc>
        <w:tc>
          <w:tcPr>
            <w:tcW w:w="3634" w:type="dxa"/>
          </w:tcPr>
          <w:p w14:paraId="1BEC0FFC" w14:textId="42618B4C" w:rsidR="0045373A" w:rsidRDefault="0045373A" w:rsidP="00BB7F3B">
            <w:pPr>
              <w:cnfStyle w:val="000000100000" w:firstRow="0" w:lastRow="0" w:firstColumn="0" w:lastColumn="0" w:oddVBand="0" w:evenVBand="0" w:oddHBand="1" w:evenHBand="0" w:firstRowFirstColumn="0" w:firstRowLastColumn="0" w:lastRowFirstColumn="0" w:lastRowLastColumn="0"/>
            </w:pPr>
            <w:proofErr w:type="spellStart"/>
            <w:r>
              <w:t>Bamsec</w:t>
            </w:r>
            <w:proofErr w:type="spellEnd"/>
            <w:r>
              <w:t xml:space="preserve"> Nike 10-k</w:t>
            </w:r>
          </w:p>
        </w:tc>
      </w:tr>
      <w:tr w:rsidR="00764C7F" w14:paraId="4EE037C9" w14:textId="77777777" w:rsidTr="00764C7F">
        <w:tc>
          <w:tcPr>
            <w:cnfStyle w:val="001000000000" w:firstRow="0" w:lastRow="0" w:firstColumn="1" w:lastColumn="0" w:oddVBand="0" w:evenVBand="0" w:oddHBand="0" w:evenHBand="0" w:firstRowFirstColumn="0" w:firstRowLastColumn="0" w:lastRowFirstColumn="0" w:lastRowLastColumn="0"/>
            <w:tcW w:w="2544" w:type="dxa"/>
          </w:tcPr>
          <w:p w14:paraId="6EEF6C49" w14:textId="426DD503" w:rsidR="00764C7F" w:rsidRDefault="00764C7F" w:rsidP="00BB7F3B">
            <w:r>
              <w:t>Total Shares</w:t>
            </w:r>
          </w:p>
        </w:tc>
        <w:tc>
          <w:tcPr>
            <w:tcW w:w="995" w:type="dxa"/>
          </w:tcPr>
          <w:p w14:paraId="721A229B" w14:textId="7BE08F99" w:rsidR="00764C7F" w:rsidRDefault="0078247E" w:rsidP="00BB7F3B">
            <w:pPr>
              <w:cnfStyle w:val="000000000000" w:firstRow="0" w:lastRow="0" w:firstColumn="0" w:lastColumn="0" w:oddVBand="0" w:evenVBand="0" w:oddHBand="0" w:evenHBand="0" w:firstRowFirstColumn="0" w:firstRowLastColumn="0" w:lastRowFirstColumn="0" w:lastRowLastColumn="0"/>
              <w:rPr>
                <w:i/>
                <w:iCs/>
              </w:rPr>
            </w:pPr>
            <w:r>
              <w:rPr>
                <w:i/>
                <w:iCs/>
              </w:rPr>
              <w:t>1485</w:t>
            </w:r>
          </w:p>
        </w:tc>
        <w:tc>
          <w:tcPr>
            <w:tcW w:w="1843" w:type="dxa"/>
          </w:tcPr>
          <w:p w14:paraId="6FAE7856" w14:textId="76C77213" w:rsidR="00764C7F" w:rsidRDefault="0078247E" w:rsidP="00764C7F">
            <w:pPr>
              <w:cnfStyle w:val="000000000000" w:firstRow="0" w:lastRow="0" w:firstColumn="0" w:lastColumn="0" w:oddVBand="0" w:evenVBand="0" w:oddHBand="0" w:evenHBand="0" w:firstRowFirstColumn="0" w:firstRowLastColumn="0" w:lastRowFirstColumn="0" w:lastRowLastColumn="0"/>
            </w:pPr>
            <w:r>
              <w:t>Million shares</w:t>
            </w:r>
          </w:p>
        </w:tc>
        <w:tc>
          <w:tcPr>
            <w:tcW w:w="3634" w:type="dxa"/>
          </w:tcPr>
          <w:p w14:paraId="134B67F7" w14:textId="219257C1" w:rsidR="00764C7F" w:rsidRDefault="005D6FD0" w:rsidP="00BB7F3B">
            <w:pPr>
              <w:cnfStyle w:val="000000000000" w:firstRow="0" w:lastRow="0" w:firstColumn="0" w:lastColumn="0" w:oddVBand="0" w:evenVBand="0" w:oddHBand="0" w:evenHBand="0" w:firstRowFirstColumn="0" w:firstRowLastColumn="0" w:lastRowFirstColumn="0" w:lastRowLastColumn="0"/>
            </w:pPr>
            <w:r>
              <w:t>1476+9.1</w:t>
            </w:r>
          </w:p>
        </w:tc>
      </w:tr>
    </w:tbl>
    <w:p w14:paraId="41B09F32" w14:textId="23CF1017" w:rsidR="00633DD0" w:rsidRDefault="00B91FCF" w:rsidP="00B91FCF">
      <w:pPr>
        <w:pStyle w:val="Caption"/>
      </w:pPr>
      <w:r>
        <w:t xml:space="preserve">Table </w:t>
      </w:r>
      <w:fldSimple w:instr=" SEQ Table \* ARABIC ">
        <w:r w:rsidR="007A23D0">
          <w:rPr>
            <w:noProof/>
          </w:rPr>
          <w:t>2</w:t>
        </w:r>
      </w:fldSimple>
      <w:r>
        <w:t xml:space="preserve"> Data used to compute the diluted share count</w:t>
      </w:r>
    </w:p>
    <w:p w14:paraId="2189CBEF" w14:textId="140B5A23" w:rsidR="008325A7" w:rsidRDefault="008325A7" w:rsidP="00633DD0">
      <w:r>
        <w:t xml:space="preserve">Due to the option having an exercise </w:t>
      </w:r>
      <w:r w:rsidR="002B7EED">
        <w:t xml:space="preserve">price </w:t>
      </w:r>
      <w:r w:rsidR="00F53183">
        <w:t>of $98.10</w:t>
      </w:r>
      <w:r w:rsidR="00CE7CA4">
        <w:t xml:space="preserve"> and the current share price being $60.02 these options are not considered dilutive. </w:t>
      </w:r>
      <w:r w:rsidR="00640B15">
        <w:t>Therefore,</w:t>
      </w:r>
      <w:r w:rsidR="00CE7CA4">
        <w:t xml:space="preserve"> only the </w:t>
      </w:r>
      <w:r w:rsidR="00501CF6">
        <w:t>RSU were used</w:t>
      </w:r>
      <w:r w:rsidR="00764C7F">
        <w:t xml:space="preserve"> to compute the total share count </w:t>
      </w:r>
    </w:p>
    <w:p w14:paraId="5FCFA5D5" w14:textId="0B7D48FF" w:rsidR="00994590" w:rsidRDefault="0063309E" w:rsidP="0063309E">
      <w:pPr>
        <w:pStyle w:val="Heading3"/>
      </w:pPr>
      <w:bookmarkStart w:id="9" w:name="_Toc203646946"/>
      <w:r>
        <w:t>Terminal Value</w:t>
      </w:r>
      <w:bookmarkEnd w:id="9"/>
    </w:p>
    <w:p w14:paraId="4A07CF38" w14:textId="49AA2C00" w:rsidR="0063309E" w:rsidRDefault="0063309E" w:rsidP="0063309E">
      <w:r>
        <w:t xml:space="preserve">For the terminal value </w:t>
      </w:r>
      <w:r w:rsidR="00B17B25">
        <w:t xml:space="preserve">I </w:t>
      </w:r>
      <w:r>
        <w:t xml:space="preserve">utilised the Gordon Growth Model </w:t>
      </w:r>
      <w:r w:rsidR="00B17B25">
        <w:t>assuming the company grows at a constant rate a</w:t>
      </w:r>
      <w:r w:rsidR="0085424C">
        <w:t>fter the forecast period</w:t>
      </w:r>
    </w:p>
    <w:p w14:paraId="713D673A" w14:textId="77777777" w:rsidR="00CB55FC" w:rsidRDefault="00CB55FC" w:rsidP="0063309E"/>
    <w:p w14:paraId="6E2FFE5D" w14:textId="77777777" w:rsidR="00CB55FC" w:rsidRPr="0063309E" w:rsidRDefault="00CB55FC" w:rsidP="0063309E"/>
    <w:p w14:paraId="4A1338CD" w14:textId="24473A99" w:rsidR="003A0691" w:rsidRDefault="003A0691" w:rsidP="003A0691">
      <w:pPr>
        <w:pStyle w:val="Heading3"/>
      </w:pPr>
      <w:bookmarkStart w:id="10" w:name="_Toc203646947"/>
      <w:r>
        <w:lastRenderedPageBreak/>
        <w:t>Equity Value</w:t>
      </w:r>
      <w:bookmarkEnd w:id="10"/>
      <w:r>
        <w:t xml:space="preserve"> </w:t>
      </w:r>
    </w:p>
    <w:tbl>
      <w:tblPr>
        <w:tblStyle w:val="GridTable5Dark-Accent1"/>
        <w:tblW w:w="0" w:type="auto"/>
        <w:tblLook w:val="04A0" w:firstRow="1" w:lastRow="0" w:firstColumn="1" w:lastColumn="0" w:noHBand="0" w:noVBand="1"/>
      </w:tblPr>
      <w:tblGrid>
        <w:gridCol w:w="2575"/>
        <w:gridCol w:w="964"/>
        <w:gridCol w:w="1843"/>
        <w:gridCol w:w="3634"/>
      </w:tblGrid>
      <w:tr w:rsidR="00E763C9" w14:paraId="73A62B04" w14:textId="77777777" w:rsidTr="00764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5" w:type="dxa"/>
          </w:tcPr>
          <w:p w14:paraId="5C5BC379" w14:textId="77777777" w:rsidR="00E763C9" w:rsidRDefault="00E763C9" w:rsidP="00BB7F3B"/>
        </w:tc>
        <w:tc>
          <w:tcPr>
            <w:tcW w:w="964" w:type="dxa"/>
          </w:tcPr>
          <w:p w14:paraId="4766DB0A" w14:textId="77777777" w:rsidR="00E763C9" w:rsidRDefault="00E763C9" w:rsidP="00BB7F3B">
            <w:pPr>
              <w:cnfStyle w:val="100000000000" w:firstRow="1" w:lastRow="0" w:firstColumn="0" w:lastColumn="0" w:oddVBand="0" w:evenVBand="0" w:oddHBand="0" w:evenHBand="0" w:firstRowFirstColumn="0" w:firstRowLastColumn="0" w:lastRowFirstColumn="0" w:lastRowLastColumn="0"/>
            </w:pPr>
            <w:r>
              <w:t xml:space="preserve">Value </w:t>
            </w:r>
          </w:p>
        </w:tc>
        <w:tc>
          <w:tcPr>
            <w:tcW w:w="1843" w:type="dxa"/>
          </w:tcPr>
          <w:p w14:paraId="31E33535" w14:textId="08A081E2" w:rsidR="00E763C9" w:rsidRDefault="00016BF6" w:rsidP="00BB7F3B">
            <w:pPr>
              <w:cnfStyle w:val="100000000000" w:firstRow="1" w:lastRow="0" w:firstColumn="0" w:lastColumn="0" w:oddVBand="0" w:evenVBand="0" w:oddHBand="0" w:evenHBand="0" w:firstRowFirstColumn="0" w:firstRowLastColumn="0" w:lastRowFirstColumn="0" w:lastRowLastColumn="0"/>
            </w:pPr>
            <w:r>
              <w:t>Unit</w:t>
            </w:r>
          </w:p>
        </w:tc>
        <w:tc>
          <w:tcPr>
            <w:tcW w:w="3634" w:type="dxa"/>
          </w:tcPr>
          <w:p w14:paraId="4FEDDF8E" w14:textId="1B126DD6" w:rsidR="00E763C9" w:rsidRDefault="00640B15" w:rsidP="00BB7F3B">
            <w:pPr>
              <w:cnfStyle w:val="100000000000" w:firstRow="1" w:lastRow="0" w:firstColumn="0" w:lastColumn="0" w:oddVBand="0" w:evenVBand="0" w:oddHBand="0" w:evenHBand="0" w:firstRowFirstColumn="0" w:firstRowLastColumn="0" w:lastRowFirstColumn="0" w:lastRowLastColumn="0"/>
            </w:pPr>
            <w:r>
              <w:t>Source</w:t>
            </w:r>
          </w:p>
        </w:tc>
      </w:tr>
      <w:tr w:rsidR="00E763C9" w14:paraId="0396C2F2" w14:textId="77777777" w:rsidTr="00764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5" w:type="dxa"/>
          </w:tcPr>
          <w:p w14:paraId="48CD2FE3" w14:textId="53A1B3D9" w:rsidR="00E763C9" w:rsidRDefault="008B546C" w:rsidP="00BB7F3B">
            <w:r>
              <w:t xml:space="preserve">Short term Investments </w:t>
            </w:r>
          </w:p>
        </w:tc>
        <w:tc>
          <w:tcPr>
            <w:tcW w:w="964" w:type="dxa"/>
          </w:tcPr>
          <w:p w14:paraId="02B305FD" w14:textId="583C723F" w:rsidR="00E763C9" w:rsidRPr="002F7FFA" w:rsidRDefault="008B546C" w:rsidP="00BB7F3B">
            <w:pPr>
              <w:cnfStyle w:val="000000100000" w:firstRow="0" w:lastRow="0" w:firstColumn="0" w:lastColumn="0" w:oddVBand="0" w:evenVBand="0" w:oddHBand="1" w:evenHBand="0" w:firstRowFirstColumn="0" w:firstRowLastColumn="0" w:lastRowFirstColumn="0" w:lastRowLastColumn="0"/>
              <w:rPr>
                <w:i/>
                <w:iCs/>
              </w:rPr>
            </w:pPr>
            <w:r>
              <w:rPr>
                <w:i/>
                <w:iCs/>
              </w:rPr>
              <w:t>1792</w:t>
            </w:r>
          </w:p>
        </w:tc>
        <w:tc>
          <w:tcPr>
            <w:tcW w:w="1843" w:type="dxa"/>
          </w:tcPr>
          <w:p w14:paraId="69286837" w14:textId="00E32F73" w:rsidR="00E763C9" w:rsidRDefault="008B546C" w:rsidP="00764C7F">
            <w:pPr>
              <w:cnfStyle w:val="000000100000" w:firstRow="0" w:lastRow="0" w:firstColumn="0" w:lastColumn="0" w:oddVBand="0" w:evenVBand="0" w:oddHBand="1" w:evenHBand="0" w:firstRowFirstColumn="0" w:firstRowLastColumn="0" w:lastRowFirstColumn="0" w:lastRowLastColumn="0"/>
            </w:pPr>
            <w:r>
              <w:t>USD Million</w:t>
            </w:r>
          </w:p>
        </w:tc>
        <w:tc>
          <w:tcPr>
            <w:tcW w:w="3634" w:type="dxa"/>
          </w:tcPr>
          <w:p w14:paraId="28F96B51" w14:textId="03616041" w:rsidR="00E763C9" w:rsidRDefault="003A0691" w:rsidP="00BB7F3B">
            <w:pPr>
              <w:cnfStyle w:val="000000100000" w:firstRow="0" w:lastRow="0" w:firstColumn="0" w:lastColumn="0" w:oddVBand="0" w:evenVBand="0" w:oddHBand="1" w:evenHBand="0" w:firstRowFirstColumn="0" w:firstRowLastColumn="0" w:lastRowFirstColumn="0" w:lastRowLastColumn="0"/>
            </w:pPr>
            <w:proofErr w:type="spellStart"/>
            <w:r>
              <w:t>Bamsec</w:t>
            </w:r>
            <w:proofErr w:type="spellEnd"/>
            <w:r>
              <w:t xml:space="preserve"> Nike 10-Q</w:t>
            </w:r>
          </w:p>
        </w:tc>
      </w:tr>
      <w:tr w:rsidR="00E763C9" w14:paraId="7FC551BD" w14:textId="77777777" w:rsidTr="00764C7F">
        <w:tc>
          <w:tcPr>
            <w:cnfStyle w:val="001000000000" w:firstRow="0" w:lastRow="0" w:firstColumn="1" w:lastColumn="0" w:oddVBand="0" w:evenVBand="0" w:oddHBand="0" w:evenHBand="0" w:firstRowFirstColumn="0" w:firstRowLastColumn="0" w:lastRowFirstColumn="0" w:lastRowLastColumn="0"/>
            <w:tcW w:w="2575" w:type="dxa"/>
          </w:tcPr>
          <w:p w14:paraId="49C17117" w14:textId="722C52B5" w:rsidR="00E763C9" w:rsidRDefault="008B546C" w:rsidP="00BB7F3B">
            <w:r>
              <w:t>Cash</w:t>
            </w:r>
            <w:r w:rsidR="003A0691">
              <w:t xml:space="preserve"> &amp; Equivalents </w:t>
            </w:r>
          </w:p>
        </w:tc>
        <w:tc>
          <w:tcPr>
            <w:tcW w:w="964" w:type="dxa"/>
          </w:tcPr>
          <w:p w14:paraId="1D1C5B85" w14:textId="7662B0F7" w:rsidR="00E763C9" w:rsidRPr="002F7FFA" w:rsidRDefault="00347C8C" w:rsidP="00BB7F3B">
            <w:pPr>
              <w:cnfStyle w:val="000000000000" w:firstRow="0" w:lastRow="0" w:firstColumn="0" w:lastColumn="0" w:oddVBand="0" w:evenVBand="0" w:oddHBand="0" w:evenHBand="0" w:firstRowFirstColumn="0" w:firstRowLastColumn="0" w:lastRowFirstColumn="0" w:lastRowLastColumn="0"/>
              <w:rPr>
                <w:i/>
                <w:iCs/>
              </w:rPr>
            </w:pPr>
            <w:r>
              <w:rPr>
                <w:i/>
                <w:iCs/>
              </w:rPr>
              <w:t>8601</w:t>
            </w:r>
          </w:p>
        </w:tc>
        <w:tc>
          <w:tcPr>
            <w:tcW w:w="1843" w:type="dxa"/>
          </w:tcPr>
          <w:p w14:paraId="7D045A92" w14:textId="1EAD8076" w:rsidR="00E763C9" w:rsidRDefault="00347C8C" w:rsidP="00764C7F">
            <w:pPr>
              <w:cnfStyle w:val="000000000000" w:firstRow="0" w:lastRow="0" w:firstColumn="0" w:lastColumn="0" w:oddVBand="0" w:evenVBand="0" w:oddHBand="0" w:evenHBand="0" w:firstRowFirstColumn="0" w:firstRowLastColumn="0" w:lastRowFirstColumn="0" w:lastRowLastColumn="0"/>
            </w:pPr>
            <w:r>
              <w:t>USD Million</w:t>
            </w:r>
          </w:p>
        </w:tc>
        <w:tc>
          <w:tcPr>
            <w:tcW w:w="3634" w:type="dxa"/>
          </w:tcPr>
          <w:p w14:paraId="63EFC0D3" w14:textId="34C8DC90" w:rsidR="00E763C9" w:rsidRDefault="00347C8C" w:rsidP="00BB7F3B">
            <w:pPr>
              <w:cnfStyle w:val="000000000000" w:firstRow="0" w:lastRow="0" w:firstColumn="0" w:lastColumn="0" w:oddVBand="0" w:evenVBand="0" w:oddHBand="0" w:evenHBand="0" w:firstRowFirstColumn="0" w:firstRowLastColumn="0" w:lastRowFirstColumn="0" w:lastRowLastColumn="0"/>
            </w:pPr>
            <w:proofErr w:type="spellStart"/>
            <w:r>
              <w:t>Bamsec</w:t>
            </w:r>
            <w:proofErr w:type="spellEnd"/>
            <w:r>
              <w:t xml:space="preserve"> Nike 10-Q</w:t>
            </w:r>
          </w:p>
        </w:tc>
      </w:tr>
    </w:tbl>
    <w:p w14:paraId="5307FEC0" w14:textId="304C0031" w:rsidR="00C60BC2" w:rsidRPr="00633DD0" w:rsidRDefault="007A23D0" w:rsidP="007A23D0">
      <w:pPr>
        <w:pStyle w:val="Caption"/>
      </w:pPr>
      <w:r>
        <w:t xml:space="preserve">Table </w:t>
      </w:r>
      <w:fldSimple w:instr=" SEQ Table \* ARABIC ">
        <w:r>
          <w:rPr>
            <w:noProof/>
          </w:rPr>
          <w:t>3</w:t>
        </w:r>
      </w:fldSimple>
      <w:r>
        <w:t xml:space="preserve"> Data used to compute the equity value</w:t>
      </w:r>
    </w:p>
    <w:p w14:paraId="67CBCA6F" w14:textId="77777777" w:rsidR="00016BF6" w:rsidRDefault="00240D11" w:rsidP="00016BF6">
      <w:pPr>
        <w:pStyle w:val="Heading2"/>
      </w:pPr>
      <w:bookmarkStart w:id="11" w:name="_Toc203646948"/>
      <w:r>
        <w:t>Outcome</w:t>
      </w:r>
      <w:bookmarkEnd w:id="11"/>
      <w:r>
        <w:t xml:space="preserve"> </w:t>
      </w:r>
    </w:p>
    <w:tbl>
      <w:tblPr>
        <w:tblStyle w:val="GridTable5Dark-Accent1"/>
        <w:tblW w:w="0" w:type="auto"/>
        <w:tblLook w:val="04A0" w:firstRow="1" w:lastRow="0" w:firstColumn="1" w:lastColumn="0" w:noHBand="0" w:noVBand="1"/>
      </w:tblPr>
      <w:tblGrid>
        <w:gridCol w:w="2575"/>
        <w:gridCol w:w="2949"/>
        <w:gridCol w:w="3402"/>
      </w:tblGrid>
      <w:tr w:rsidR="00AD6D3B" w14:paraId="6667470C" w14:textId="77777777" w:rsidTr="00FD6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5" w:type="dxa"/>
          </w:tcPr>
          <w:p w14:paraId="2E603C7D" w14:textId="77777777" w:rsidR="00AD6D3B" w:rsidRDefault="00AD6D3B" w:rsidP="002C3510"/>
        </w:tc>
        <w:tc>
          <w:tcPr>
            <w:tcW w:w="2949" w:type="dxa"/>
          </w:tcPr>
          <w:p w14:paraId="3CFD4B85" w14:textId="1BE10C4D" w:rsidR="00AD6D3B" w:rsidRDefault="00AD6D3B" w:rsidP="002C3510">
            <w:pPr>
              <w:cnfStyle w:val="100000000000" w:firstRow="1" w:lastRow="0" w:firstColumn="0" w:lastColumn="0" w:oddVBand="0" w:evenVBand="0" w:oddHBand="0" w:evenHBand="0" w:firstRowFirstColumn="0" w:firstRowLastColumn="0" w:lastRowFirstColumn="0" w:lastRowLastColumn="0"/>
            </w:pPr>
            <w:r>
              <w:t>Low End</w:t>
            </w:r>
          </w:p>
        </w:tc>
        <w:tc>
          <w:tcPr>
            <w:tcW w:w="3402" w:type="dxa"/>
          </w:tcPr>
          <w:p w14:paraId="2C8E33D5" w14:textId="0F8D974B" w:rsidR="00AD6D3B" w:rsidRDefault="00AD6D3B" w:rsidP="002C3510">
            <w:pPr>
              <w:cnfStyle w:val="100000000000" w:firstRow="1" w:lastRow="0" w:firstColumn="0" w:lastColumn="0" w:oddVBand="0" w:evenVBand="0" w:oddHBand="0" w:evenHBand="0" w:firstRowFirstColumn="0" w:firstRowLastColumn="0" w:lastRowFirstColumn="0" w:lastRowLastColumn="0"/>
            </w:pPr>
            <w:r>
              <w:t xml:space="preserve">High </w:t>
            </w:r>
            <w:r w:rsidR="007A23D0">
              <w:t>End</w:t>
            </w:r>
          </w:p>
        </w:tc>
      </w:tr>
      <w:tr w:rsidR="00AD6D3B" w14:paraId="09769C4F" w14:textId="77777777" w:rsidTr="00FD6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5" w:type="dxa"/>
          </w:tcPr>
          <w:p w14:paraId="231D7AF1" w14:textId="6B185A30" w:rsidR="00AD6D3B" w:rsidRDefault="00FD6FF3" w:rsidP="002C3510">
            <w:r>
              <w:t xml:space="preserve">Price Per Share </w:t>
            </w:r>
            <w:r w:rsidR="00794FF5">
              <w:t>($)</w:t>
            </w:r>
            <w:r w:rsidR="00AD6D3B">
              <w:t xml:space="preserve"> </w:t>
            </w:r>
          </w:p>
        </w:tc>
        <w:tc>
          <w:tcPr>
            <w:tcW w:w="2949" w:type="dxa"/>
          </w:tcPr>
          <w:p w14:paraId="3D023263" w14:textId="5B7B9754" w:rsidR="00AD6D3B" w:rsidRPr="002F7FFA" w:rsidRDefault="00794FF5" w:rsidP="002C3510">
            <w:pPr>
              <w:cnfStyle w:val="000000100000" w:firstRow="0" w:lastRow="0" w:firstColumn="0" w:lastColumn="0" w:oddVBand="0" w:evenVBand="0" w:oddHBand="1" w:evenHBand="0" w:firstRowFirstColumn="0" w:firstRowLastColumn="0" w:lastRowFirstColumn="0" w:lastRowLastColumn="0"/>
              <w:rPr>
                <w:i/>
                <w:iCs/>
              </w:rPr>
            </w:pPr>
            <w:r>
              <w:rPr>
                <w:i/>
                <w:iCs/>
              </w:rPr>
              <w:t>56.69</w:t>
            </w:r>
          </w:p>
        </w:tc>
        <w:tc>
          <w:tcPr>
            <w:tcW w:w="3402" w:type="dxa"/>
          </w:tcPr>
          <w:p w14:paraId="63FA03F4" w14:textId="19C316F3" w:rsidR="00AD6D3B" w:rsidRDefault="00794FF5" w:rsidP="002C3510">
            <w:pPr>
              <w:cnfStyle w:val="000000100000" w:firstRow="0" w:lastRow="0" w:firstColumn="0" w:lastColumn="0" w:oddVBand="0" w:evenVBand="0" w:oddHBand="1" w:evenHBand="0" w:firstRowFirstColumn="0" w:firstRowLastColumn="0" w:lastRowFirstColumn="0" w:lastRowLastColumn="0"/>
            </w:pPr>
            <w:r>
              <w:t>87.05</w:t>
            </w:r>
          </w:p>
        </w:tc>
      </w:tr>
      <w:tr w:rsidR="00AD6D3B" w14:paraId="22C97820" w14:textId="77777777" w:rsidTr="00FD6FF3">
        <w:tc>
          <w:tcPr>
            <w:cnfStyle w:val="001000000000" w:firstRow="0" w:lastRow="0" w:firstColumn="1" w:lastColumn="0" w:oddVBand="0" w:evenVBand="0" w:oddHBand="0" w:evenHBand="0" w:firstRowFirstColumn="0" w:firstRowLastColumn="0" w:lastRowFirstColumn="0" w:lastRowLastColumn="0"/>
            <w:tcW w:w="2575" w:type="dxa"/>
          </w:tcPr>
          <w:p w14:paraId="26572F0F" w14:textId="6316D2F1" w:rsidR="00AD6D3B" w:rsidRDefault="00794FF5" w:rsidP="002C3510">
            <w:r>
              <w:t>Upside / Downside</w:t>
            </w:r>
            <w:r w:rsidR="00AD6D3B">
              <w:t xml:space="preserve"> </w:t>
            </w:r>
          </w:p>
        </w:tc>
        <w:tc>
          <w:tcPr>
            <w:tcW w:w="2949" w:type="dxa"/>
          </w:tcPr>
          <w:p w14:paraId="79B51A4D" w14:textId="5C1C37A8" w:rsidR="00AD6D3B" w:rsidRPr="002F7FFA" w:rsidRDefault="00105F99" w:rsidP="002C3510">
            <w:pPr>
              <w:cnfStyle w:val="000000000000" w:firstRow="0" w:lastRow="0" w:firstColumn="0" w:lastColumn="0" w:oddVBand="0" w:evenVBand="0" w:oddHBand="0" w:evenHBand="0" w:firstRowFirstColumn="0" w:firstRowLastColumn="0" w:lastRowFirstColumn="0" w:lastRowLastColumn="0"/>
              <w:rPr>
                <w:i/>
                <w:iCs/>
              </w:rPr>
            </w:pPr>
            <w:r>
              <w:rPr>
                <w:i/>
                <w:iCs/>
              </w:rPr>
              <w:t>-1%</w:t>
            </w:r>
          </w:p>
        </w:tc>
        <w:tc>
          <w:tcPr>
            <w:tcW w:w="3402" w:type="dxa"/>
          </w:tcPr>
          <w:p w14:paraId="41F9AF5E" w14:textId="24FD17CC" w:rsidR="00AD6D3B" w:rsidRDefault="00105F99" w:rsidP="002C3510">
            <w:pPr>
              <w:cnfStyle w:val="000000000000" w:firstRow="0" w:lastRow="0" w:firstColumn="0" w:lastColumn="0" w:oddVBand="0" w:evenVBand="0" w:oddHBand="0" w:evenHBand="0" w:firstRowFirstColumn="0" w:firstRowLastColumn="0" w:lastRowFirstColumn="0" w:lastRowLastColumn="0"/>
            </w:pPr>
            <w:r>
              <w:t>45%</w:t>
            </w:r>
          </w:p>
        </w:tc>
      </w:tr>
    </w:tbl>
    <w:p w14:paraId="24355DE7" w14:textId="52A9A5E7" w:rsidR="00AD6D3B" w:rsidRPr="00AD6D3B" w:rsidRDefault="007A23D0" w:rsidP="007A23D0">
      <w:pPr>
        <w:pStyle w:val="Caption"/>
      </w:pPr>
      <w:bookmarkStart w:id="12" w:name="_Ref203645239"/>
      <w:r>
        <w:t xml:space="preserve">Table </w:t>
      </w:r>
      <w:fldSimple w:instr=" SEQ Table \* ARABIC ">
        <w:r>
          <w:rPr>
            <w:noProof/>
          </w:rPr>
          <w:t>4</w:t>
        </w:r>
      </w:fldSimple>
      <w:bookmarkEnd w:id="12"/>
      <w:r>
        <w:t xml:space="preserve"> </w:t>
      </w:r>
      <w:proofErr w:type="gramStart"/>
      <w:r>
        <w:t>Low and high End</w:t>
      </w:r>
      <w:proofErr w:type="gramEnd"/>
      <w:r>
        <w:t xml:space="preserve"> estimates for Nike Stock value and their upside/downside on current share price</w:t>
      </w:r>
    </w:p>
    <w:p w14:paraId="1026A7F5" w14:textId="0EE298B8" w:rsidR="007F564B" w:rsidRDefault="007F564B" w:rsidP="007F564B">
      <w:r>
        <w:t xml:space="preserve">In our most optimistic scenario, we hold WACC and terminal growth rate at base case levels while increasing the EBIT margin to 13%, consistent with our optimistic assumptions. We also apply the analyst consensus forecast for revenue growth. As shown in </w:t>
      </w:r>
      <w:r w:rsidR="00A8227D">
        <w:fldChar w:fldCharType="begin"/>
      </w:r>
      <w:r w:rsidR="00A8227D">
        <w:instrText xml:space="preserve"> REF _Ref203645239 \h </w:instrText>
      </w:r>
      <w:r w:rsidR="00A8227D">
        <w:fldChar w:fldCharType="separate"/>
      </w:r>
      <w:r w:rsidR="00A8227D">
        <w:t xml:space="preserve">Table </w:t>
      </w:r>
      <w:r w:rsidR="00A8227D">
        <w:rPr>
          <w:noProof/>
        </w:rPr>
        <w:t>4</w:t>
      </w:r>
      <w:r w:rsidR="00A8227D">
        <w:fldChar w:fldCharType="end"/>
      </w:r>
      <w:r>
        <w:t>, this scenario yields an implied share price of $87.05, representing a potential 45% upside from the current market price.</w:t>
      </w:r>
    </w:p>
    <w:p w14:paraId="2410CEBC" w14:textId="4683C9AA" w:rsidR="007F564B" w:rsidRDefault="007F564B" w:rsidP="007F564B">
      <w:r>
        <w:t>Conversely, in the low-end case, which assumes more conservative growth and margin recovery, the model estimates a value of $56.69 per share</w:t>
      </w:r>
      <w:r w:rsidR="00A8227D">
        <w:t xml:space="preserve"> </w:t>
      </w:r>
      <w:r>
        <w:t>implying just a 1% downside. This suggests that downside risk is limited, while upside potential is substantial if Nike executes successfully.</w:t>
      </w:r>
    </w:p>
    <w:p w14:paraId="314EA652" w14:textId="33D7C9B4" w:rsidR="0049460C" w:rsidRDefault="007F564B" w:rsidP="007F564B">
      <w:r>
        <w:t>Given the company’s prolonged decline since its 2021 share price peak, Nike may be poised for a turnaround under new strategic leadership. If operational efficiency improves, tariffs ease, and historical margin levels are restored, the company could be significantly undervalued, offering an attractive long-term investment opportunity.</w:t>
      </w:r>
    </w:p>
    <w:p w14:paraId="1C29CD23" w14:textId="77777777" w:rsidR="000B6ACF" w:rsidRDefault="000B6ACF" w:rsidP="007F564B"/>
    <w:p w14:paraId="0B30B49E" w14:textId="77777777" w:rsidR="000B6ACF" w:rsidRDefault="000B6ACF" w:rsidP="007F564B"/>
    <w:p w14:paraId="67453CDD" w14:textId="77777777" w:rsidR="000B6ACF" w:rsidRDefault="000B6ACF" w:rsidP="007F564B"/>
    <w:p w14:paraId="48F6FADA" w14:textId="77777777" w:rsidR="000B6ACF" w:rsidRDefault="000B6ACF" w:rsidP="007F564B"/>
    <w:p w14:paraId="6175F597" w14:textId="77777777" w:rsidR="000B6ACF" w:rsidRDefault="000B6ACF" w:rsidP="007F564B"/>
    <w:p w14:paraId="21910E3E" w14:textId="77777777" w:rsidR="000B6ACF" w:rsidRDefault="000B6ACF" w:rsidP="007F564B"/>
    <w:p w14:paraId="1E3984A9" w14:textId="77777777" w:rsidR="000B6ACF" w:rsidRDefault="000B6ACF" w:rsidP="007F564B"/>
    <w:p w14:paraId="4C145C73" w14:textId="77777777" w:rsidR="000B6ACF" w:rsidRDefault="000B6ACF" w:rsidP="007F564B"/>
    <w:p w14:paraId="532F868B" w14:textId="77777777" w:rsidR="000B6ACF" w:rsidRDefault="000B6ACF" w:rsidP="007F564B"/>
    <w:p w14:paraId="5A5ED343" w14:textId="77777777" w:rsidR="000B6ACF" w:rsidRDefault="000B6ACF" w:rsidP="007F564B"/>
    <w:p w14:paraId="3BDBD0DB" w14:textId="77777777" w:rsidR="000B6ACF" w:rsidRDefault="000B6ACF" w:rsidP="007F564B"/>
    <w:p w14:paraId="3B8BF199" w14:textId="77777777" w:rsidR="000B6ACF" w:rsidRDefault="000B6ACF" w:rsidP="007F564B"/>
    <w:p w14:paraId="2887787E" w14:textId="77777777" w:rsidR="000B6ACF" w:rsidRDefault="000B6ACF" w:rsidP="007F564B"/>
    <w:p w14:paraId="31B3086F" w14:textId="77777777" w:rsidR="00A46CAD" w:rsidRDefault="00A46CAD" w:rsidP="007F564B"/>
    <w:bookmarkStart w:id="13" w:name="_Toc203646949" w:displacedByCustomXml="next"/>
    <w:sdt>
      <w:sdtPr>
        <w:id w:val="1028607806"/>
        <w:docPartObj>
          <w:docPartGallery w:val="Bibliographies"/>
          <w:docPartUnique/>
        </w:docPartObj>
      </w:sdtPr>
      <w:sdtEndPr>
        <w:rPr>
          <w:rFonts w:asciiTheme="minorHAnsi" w:eastAsiaTheme="minorHAnsi" w:hAnsiTheme="minorHAnsi" w:cstheme="minorBidi"/>
          <w:color w:val="auto"/>
          <w:sz w:val="24"/>
          <w:szCs w:val="24"/>
        </w:rPr>
      </w:sdtEndPr>
      <w:sdtContent>
        <w:p w14:paraId="41943F97" w14:textId="47944856" w:rsidR="00A46CAD" w:rsidRPr="000B6ACF" w:rsidRDefault="00A46CAD">
          <w:pPr>
            <w:pStyle w:val="Heading1"/>
            <w:rPr>
              <w:rStyle w:val="Heading2Char"/>
            </w:rPr>
          </w:pPr>
          <w:r w:rsidRPr="000B6ACF">
            <w:rPr>
              <w:rStyle w:val="Heading2Char"/>
            </w:rPr>
            <w:t>References</w:t>
          </w:r>
          <w:bookmarkEnd w:id="13"/>
        </w:p>
        <w:sdt>
          <w:sdtPr>
            <w:rPr>
              <w:sz w:val="22"/>
              <w:szCs w:val="22"/>
            </w:rPr>
            <w:id w:val="-573587230"/>
            <w:bibliography/>
          </w:sdtPr>
          <w:sdtEndPr>
            <w:rPr>
              <w:sz w:val="24"/>
              <w:szCs w:val="24"/>
            </w:rPr>
          </w:sdtEndPr>
          <w:sdtContent>
            <w:p w14:paraId="7C3B233B" w14:textId="77777777" w:rsidR="00A3279E" w:rsidRPr="00A3279E" w:rsidRDefault="00A46CAD" w:rsidP="00A3279E">
              <w:pPr>
                <w:pStyle w:val="Bibliography"/>
                <w:ind w:left="720" w:hanging="720"/>
                <w:rPr>
                  <w:noProof/>
                  <w:kern w:val="0"/>
                  <w:sz w:val="20"/>
                  <w:szCs w:val="20"/>
                  <w14:ligatures w14:val="none"/>
                </w:rPr>
              </w:pPr>
              <w:r w:rsidRPr="00A3279E">
                <w:rPr>
                  <w:sz w:val="20"/>
                  <w:szCs w:val="20"/>
                </w:rPr>
                <w:fldChar w:fldCharType="begin"/>
              </w:r>
              <w:r w:rsidRPr="00A3279E">
                <w:rPr>
                  <w:sz w:val="20"/>
                  <w:szCs w:val="20"/>
                </w:rPr>
                <w:instrText>BIBLIOGRAPHY</w:instrText>
              </w:r>
              <w:r w:rsidRPr="00A3279E">
                <w:rPr>
                  <w:sz w:val="20"/>
                  <w:szCs w:val="20"/>
                </w:rPr>
                <w:fldChar w:fldCharType="separate"/>
              </w:r>
              <w:r w:rsidR="00A3279E" w:rsidRPr="00A3279E">
                <w:rPr>
                  <w:i/>
                  <w:iCs/>
                  <w:noProof/>
                  <w:sz w:val="20"/>
                  <w:szCs w:val="20"/>
                </w:rPr>
                <w:t>10 - K</w:t>
              </w:r>
              <w:r w:rsidR="00A3279E" w:rsidRPr="00A3279E">
                <w:rPr>
                  <w:noProof/>
                  <w:sz w:val="20"/>
                  <w:szCs w:val="20"/>
                </w:rPr>
                <w:t>. (2025, 05 26). Retrieved from Bamsec.com: https://www.bamsec.com/filing/32018724000044?cik=320187</w:t>
              </w:r>
            </w:p>
            <w:p w14:paraId="03C39263" w14:textId="77777777" w:rsidR="00A3279E" w:rsidRPr="00A3279E" w:rsidRDefault="00A3279E" w:rsidP="00A3279E">
              <w:pPr>
                <w:pStyle w:val="Bibliography"/>
                <w:ind w:left="720" w:hanging="720"/>
                <w:rPr>
                  <w:noProof/>
                  <w:sz w:val="20"/>
                  <w:szCs w:val="20"/>
                </w:rPr>
              </w:pPr>
              <w:r w:rsidRPr="00A3279E">
                <w:rPr>
                  <w:i/>
                  <w:iCs/>
                  <w:noProof/>
                  <w:sz w:val="20"/>
                  <w:szCs w:val="20"/>
                </w:rPr>
                <w:t>10 - Q</w:t>
              </w:r>
              <w:r w:rsidRPr="00A3279E">
                <w:rPr>
                  <w:noProof/>
                  <w:sz w:val="20"/>
                  <w:szCs w:val="20"/>
                </w:rPr>
                <w:t>. (2025, 05 26). Retrieved from Bamsec.com: https://www.bamsec.com/filing/32018725000016?cik=320187</w:t>
              </w:r>
            </w:p>
            <w:p w14:paraId="00D38E80" w14:textId="77777777" w:rsidR="00A3279E" w:rsidRPr="00A3279E" w:rsidRDefault="00A3279E" w:rsidP="00A3279E">
              <w:pPr>
                <w:pStyle w:val="Bibliography"/>
                <w:ind w:left="720" w:hanging="720"/>
                <w:rPr>
                  <w:noProof/>
                  <w:sz w:val="20"/>
                  <w:szCs w:val="20"/>
                </w:rPr>
              </w:pPr>
              <w:r w:rsidRPr="00A3279E">
                <w:rPr>
                  <w:noProof/>
                  <w:sz w:val="20"/>
                  <w:szCs w:val="20"/>
                </w:rPr>
                <w:t>(2025, 05 26). Retrieved from https://www.factset.com/.</w:t>
              </w:r>
            </w:p>
            <w:p w14:paraId="4F0E7042" w14:textId="77777777" w:rsidR="00A3279E" w:rsidRPr="00A3279E" w:rsidRDefault="00A3279E" w:rsidP="00A3279E">
              <w:pPr>
                <w:pStyle w:val="Bibliography"/>
                <w:ind w:left="720" w:hanging="720"/>
                <w:rPr>
                  <w:noProof/>
                  <w:sz w:val="20"/>
                  <w:szCs w:val="20"/>
                </w:rPr>
              </w:pPr>
              <w:r w:rsidRPr="00A3279E">
                <w:rPr>
                  <w:i/>
                  <w:iCs/>
                  <w:noProof/>
                  <w:sz w:val="20"/>
                  <w:szCs w:val="20"/>
                </w:rPr>
                <w:t>Country Default Spreads and Risk Premiums</w:t>
              </w:r>
              <w:r w:rsidRPr="00A3279E">
                <w:rPr>
                  <w:noProof/>
                  <w:sz w:val="20"/>
                  <w:szCs w:val="20"/>
                </w:rPr>
                <w:t>. (2025, 05 26). Retrieved from https://pages.stern.nyu.edu/~adamodar/New_Home_Page/datafile/ctryprem.html</w:t>
              </w:r>
            </w:p>
            <w:p w14:paraId="77F570D0" w14:textId="77777777" w:rsidR="00A3279E" w:rsidRPr="00A3279E" w:rsidRDefault="00A3279E" w:rsidP="00A3279E">
              <w:pPr>
                <w:pStyle w:val="Bibliography"/>
                <w:ind w:left="720" w:hanging="720"/>
                <w:rPr>
                  <w:noProof/>
                  <w:sz w:val="20"/>
                  <w:szCs w:val="20"/>
                </w:rPr>
              </w:pPr>
              <w:r w:rsidRPr="00A3279E">
                <w:rPr>
                  <w:noProof/>
                  <w:sz w:val="20"/>
                  <w:szCs w:val="20"/>
                </w:rPr>
                <w:t xml:space="preserve">Fellman, J. (2025, 02 24). </w:t>
              </w:r>
              <w:r w:rsidRPr="00A3279E">
                <w:rPr>
                  <w:i/>
                  <w:iCs/>
                  <w:noProof/>
                  <w:sz w:val="20"/>
                  <w:szCs w:val="20"/>
                </w:rPr>
                <w:t>Nike stock pops 5% as the new CEO's turnaround plan gets a rave review</w:t>
              </w:r>
              <w:r w:rsidRPr="00A3279E">
                <w:rPr>
                  <w:noProof/>
                  <w:sz w:val="20"/>
                  <w:szCs w:val="20"/>
                </w:rPr>
                <w:t>. Retrieved 07 16, 2025</w:t>
              </w:r>
            </w:p>
            <w:p w14:paraId="1DF5C2E4" w14:textId="77777777" w:rsidR="00A3279E" w:rsidRPr="00A3279E" w:rsidRDefault="00A3279E" w:rsidP="00A3279E">
              <w:pPr>
                <w:pStyle w:val="Bibliography"/>
                <w:ind w:left="720" w:hanging="720"/>
                <w:rPr>
                  <w:noProof/>
                  <w:sz w:val="20"/>
                  <w:szCs w:val="20"/>
                </w:rPr>
              </w:pPr>
              <w:r w:rsidRPr="00A3279E">
                <w:rPr>
                  <w:i/>
                  <w:iCs/>
                  <w:noProof/>
                  <w:sz w:val="20"/>
                  <w:szCs w:val="20"/>
                </w:rPr>
                <w:t>Market Bonds</w:t>
              </w:r>
              <w:r w:rsidRPr="00A3279E">
                <w:rPr>
                  <w:noProof/>
                  <w:sz w:val="20"/>
                  <w:szCs w:val="20"/>
                </w:rPr>
                <w:t>. (2025, 05 26). Retrieved from CNBC.com: https://www.cnbc.com/bonds/?msockid=326d868257c96eb615da909756ee6fab</w:t>
              </w:r>
            </w:p>
            <w:p w14:paraId="78426AE2" w14:textId="77777777" w:rsidR="00A3279E" w:rsidRPr="00A3279E" w:rsidRDefault="00A3279E" w:rsidP="00A3279E">
              <w:pPr>
                <w:pStyle w:val="Bibliography"/>
                <w:ind w:left="720" w:hanging="720"/>
                <w:rPr>
                  <w:noProof/>
                  <w:sz w:val="20"/>
                  <w:szCs w:val="20"/>
                </w:rPr>
              </w:pPr>
              <w:r w:rsidRPr="00A3279E">
                <w:rPr>
                  <w:i/>
                  <w:iCs/>
                  <w:noProof/>
                  <w:sz w:val="20"/>
                  <w:szCs w:val="20"/>
                </w:rPr>
                <w:t>Nike,Inc. (NKE)</w:t>
              </w:r>
              <w:r w:rsidRPr="00A3279E">
                <w:rPr>
                  <w:noProof/>
                  <w:sz w:val="20"/>
                  <w:szCs w:val="20"/>
                </w:rPr>
                <w:t>. (2025, 05 26). Retrieved from finance.yahoo.com: https://finance.yahoo.com/quote/NKE/</w:t>
              </w:r>
            </w:p>
            <w:p w14:paraId="6F5865DC" w14:textId="7CEDBDB8" w:rsidR="00A46CAD" w:rsidRDefault="00A46CAD" w:rsidP="00A3279E">
              <w:r w:rsidRPr="00A3279E">
                <w:rPr>
                  <w:b/>
                  <w:bCs/>
                  <w:sz w:val="20"/>
                  <w:szCs w:val="20"/>
                </w:rPr>
                <w:fldChar w:fldCharType="end"/>
              </w:r>
            </w:p>
          </w:sdtContent>
        </w:sdt>
      </w:sdtContent>
    </w:sdt>
    <w:p w14:paraId="7DE7253B" w14:textId="0CEBA26F" w:rsidR="00A46CAD" w:rsidRPr="0057340F" w:rsidRDefault="00A46CAD" w:rsidP="007F564B"/>
    <w:sectPr w:rsidR="00A46CAD" w:rsidRPr="00573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778AE"/>
    <w:multiLevelType w:val="hybridMultilevel"/>
    <w:tmpl w:val="E1DA18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A70CC5"/>
    <w:multiLevelType w:val="hybridMultilevel"/>
    <w:tmpl w:val="18640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CF7B13"/>
    <w:multiLevelType w:val="hybridMultilevel"/>
    <w:tmpl w:val="4E826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953943">
    <w:abstractNumId w:val="1"/>
  </w:num>
  <w:num w:numId="2" w16cid:durableId="1879733328">
    <w:abstractNumId w:val="2"/>
  </w:num>
  <w:num w:numId="3" w16cid:durableId="1913074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7"/>
    <w:rsid w:val="000063CA"/>
    <w:rsid w:val="00016236"/>
    <w:rsid w:val="00016BF6"/>
    <w:rsid w:val="00040E94"/>
    <w:rsid w:val="00071C05"/>
    <w:rsid w:val="000B462A"/>
    <w:rsid w:val="000B6ACF"/>
    <w:rsid w:val="001011D1"/>
    <w:rsid w:val="00105F99"/>
    <w:rsid w:val="001144D8"/>
    <w:rsid w:val="001A79B4"/>
    <w:rsid w:val="00240D11"/>
    <w:rsid w:val="00254CFA"/>
    <w:rsid w:val="002B67C8"/>
    <w:rsid w:val="002B7EED"/>
    <w:rsid w:val="002E4B4E"/>
    <w:rsid w:val="002F7FFA"/>
    <w:rsid w:val="00347C8C"/>
    <w:rsid w:val="003675F9"/>
    <w:rsid w:val="00375476"/>
    <w:rsid w:val="003970ED"/>
    <w:rsid w:val="003A0691"/>
    <w:rsid w:val="003B1F79"/>
    <w:rsid w:val="003B2FC7"/>
    <w:rsid w:val="003C472B"/>
    <w:rsid w:val="003F2EC1"/>
    <w:rsid w:val="003F3F3E"/>
    <w:rsid w:val="00417457"/>
    <w:rsid w:val="00425438"/>
    <w:rsid w:val="0044645E"/>
    <w:rsid w:val="0045373A"/>
    <w:rsid w:val="004562AF"/>
    <w:rsid w:val="0049460C"/>
    <w:rsid w:val="004F56BD"/>
    <w:rsid w:val="00501CF6"/>
    <w:rsid w:val="0057340F"/>
    <w:rsid w:val="00582D08"/>
    <w:rsid w:val="005D6FD0"/>
    <w:rsid w:val="005F3F24"/>
    <w:rsid w:val="0063309E"/>
    <w:rsid w:val="00633DD0"/>
    <w:rsid w:val="00640B15"/>
    <w:rsid w:val="00653789"/>
    <w:rsid w:val="00673721"/>
    <w:rsid w:val="00697B64"/>
    <w:rsid w:val="007469AE"/>
    <w:rsid w:val="00764C7F"/>
    <w:rsid w:val="0078247E"/>
    <w:rsid w:val="00787071"/>
    <w:rsid w:val="00794FF5"/>
    <w:rsid w:val="007A23D0"/>
    <w:rsid w:val="007F564B"/>
    <w:rsid w:val="00815F1E"/>
    <w:rsid w:val="00821660"/>
    <w:rsid w:val="00827738"/>
    <w:rsid w:val="008325A7"/>
    <w:rsid w:val="008419A3"/>
    <w:rsid w:val="0085424C"/>
    <w:rsid w:val="008B546C"/>
    <w:rsid w:val="008C076C"/>
    <w:rsid w:val="00917ADB"/>
    <w:rsid w:val="00961ABE"/>
    <w:rsid w:val="00994590"/>
    <w:rsid w:val="00A3279E"/>
    <w:rsid w:val="00A46CAD"/>
    <w:rsid w:val="00A6567E"/>
    <w:rsid w:val="00A8227D"/>
    <w:rsid w:val="00AA1B96"/>
    <w:rsid w:val="00AB1C76"/>
    <w:rsid w:val="00AD0547"/>
    <w:rsid w:val="00AD6D3B"/>
    <w:rsid w:val="00AF48ED"/>
    <w:rsid w:val="00B17B25"/>
    <w:rsid w:val="00B60FD1"/>
    <w:rsid w:val="00B91FCF"/>
    <w:rsid w:val="00BD6CA7"/>
    <w:rsid w:val="00BD780B"/>
    <w:rsid w:val="00BF0D4F"/>
    <w:rsid w:val="00C60BC2"/>
    <w:rsid w:val="00C64961"/>
    <w:rsid w:val="00C940A3"/>
    <w:rsid w:val="00CA0717"/>
    <w:rsid w:val="00CB55FC"/>
    <w:rsid w:val="00CE7CA4"/>
    <w:rsid w:val="00CF7134"/>
    <w:rsid w:val="00D144C1"/>
    <w:rsid w:val="00D145D6"/>
    <w:rsid w:val="00D6743A"/>
    <w:rsid w:val="00D73D40"/>
    <w:rsid w:val="00DD056E"/>
    <w:rsid w:val="00E27EA8"/>
    <w:rsid w:val="00E763C9"/>
    <w:rsid w:val="00EC2F4F"/>
    <w:rsid w:val="00EC621C"/>
    <w:rsid w:val="00F24B00"/>
    <w:rsid w:val="00F47449"/>
    <w:rsid w:val="00F53183"/>
    <w:rsid w:val="00F936E3"/>
    <w:rsid w:val="00FD6F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61A7"/>
  <w15:chartTrackingRefBased/>
  <w15:docId w15:val="{48F58335-D9BC-4930-B84D-E863655B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7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07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07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7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7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7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7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7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7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7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07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07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7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7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7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7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7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717"/>
    <w:rPr>
      <w:rFonts w:eastAsiaTheme="majorEastAsia" w:cstheme="majorBidi"/>
      <w:color w:val="272727" w:themeColor="text1" w:themeTint="D8"/>
    </w:rPr>
  </w:style>
  <w:style w:type="paragraph" w:styleId="Title">
    <w:name w:val="Title"/>
    <w:basedOn w:val="Normal"/>
    <w:next w:val="Normal"/>
    <w:link w:val="TitleChar"/>
    <w:uiPriority w:val="10"/>
    <w:qFormat/>
    <w:rsid w:val="00CA07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7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7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7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717"/>
    <w:pPr>
      <w:spacing w:before="160"/>
      <w:jc w:val="center"/>
    </w:pPr>
    <w:rPr>
      <w:i/>
      <w:iCs/>
      <w:color w:val="404040" w:themeColor="text1" w:themeTint="BF"/>
    </w:rPr>
  </w:style>
  <w:style w:type="character" w:customStyle="1" w:styleId="QuoteChar">
    <w:name w:val="Quote Char"/>
    <w:basedOn w:val="DefaultParagraphFont"/>
    <w:link w:val="Quote"/>
    <w:uiPriority w:val="29"/>
    <w:rsid w:val="00CA0717"/>
    <w:rPr>
      <w:i/>
      <w:iCs/>
      <w:color w:val="404040" w:themeColor="text1" w:themeTint="BF"/>
    </w:rPr>
  </w:style>
  <w:style w:type="paragraph" w:styleId="ListParagraph">
    <w:name w:val="List Paragraph"/>
    <w:basedOn w:val="Normal"/>
    <w:uiPriority w:val="34"/>
    <w:qFormat/>
    <w:rsid w:val="00CA0717"/>
    <w:pPr>
      <w:ind w:left="720"/>
      <w:contextualSpacing/>
    </w:pPr>
  </w:style>
  <w:style w:type="character" w:styleId="IntenseEmphasis">
    <w:name w:val="Intense Emphasis"/>
    <w:basedOn w:val="DefaultParagraphFont"/>
    <w:uiPriority w:val="21"/>
    <w:qFormat/>
    <w:rsid w:val="00CA0717"/>
    <w:rPr>
      <w:i/>
      <w:iCs/>
      <w:color w:val="0F4761" w:themeColor="accent1" w:themeShade="BF"/>
    </w:rPr>
  </w:style>
  <w:style w:type="paragraph" w:styleId="IntenseQuote">
    <w:name w:val="Intense Quote"/>
    <w:basedOn w:val="Normal"/>
    <w:next w:val="Normal"/>
    <w:link w:val="IntenseQuoteChar"/>
    <w:uiPriority w:val="30"/>
    <w:qFormat/>
    <w:rsid w:val="00CA07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717"/>
    <w:rPr>
      <w:i/>
      <w:iCs/>
      <w:color w:val="0F4761" w:themeColor="accent1" w:themeShade="BF"/>
    </w:rPr>
  </w:style>
  <w:style w:type="character" w:styleId="IntenseReference">
    <w:name w:val="Intense Reference"/>
    <w:basedOn w:val="DefaultParagraphFont"/>
    <w:uiPriority w:val="32"/>
    <w:qFormat/>
    <w:rsid w:val="00CA0717"/>
    <w:rPr>
      <w:b/>
      <w:bCs/>
      <w:smallCaps/>
      <w:color w:val="0F4761" w:themeColor="accent1" w:themeShade="BF"/>
      <w:spacing w:val="5"/>
    </w:rPr>
  </w:style>
  <w:style w:type="character" w:styleId="Hyperlink">
    <w:name w:val="Hyperlink"/>
    <w:basedOn w:val="DefaultParagraphFont"/>
    <w:uiPriority w:val="99"/>
    <w:unhideWhenUsed/>
    <w:rsid w:val="003F2EC1"/>
    <w:rPr>
      <w:color w:val="467886" w:themeColor="hyperlink"/>
      <w:u w:val="single"/>
    </w:rPr>
  </w:style>
  <w:style w:type="character" w:styleId="UnresolvedMention">
    <w:name w:val="Unresolved Mention"/>
    <w:basedOn w:val="DefaultParagraphFont"/>
    <w:uiPriority w:val="99"/>
    <w:semiHidden/>
    <w:unhideWhenUsed/>
    <w:rsid w:val="003F2EC1"/>
    <w:rPr>
      <w:color w:val="605E5C"/>
      <w:shd w:val="clear" w:color="auto" w:fill="E1DFDD"/>
    </w:rPr>
  </w:style>
  <w:style w:type="table" w:styleId="TableGrid">
    <w:name w:val="Table Grid"/>
    <w:basedOn w:val="TableNormal"/>
    <w:uiPriority w:val="39"/>
    <w:rsid w:val="00573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9460C"/>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49460C"/>
    <w:pPr>
      <w:spacing w:after="100"/>
    </w:pPr>
  </w:style>
  <w:style w:type="paragraph" w:styleId="TOC2">
    <w:name w:val="toc 2"/>
    <w:basedOn w:val="Normal"/>
    <w:next w:val="Normal"/>
    <w:autoRedefine/>
    <w:uiPriority w:val="39"/>
    <w:unhideWhenUsed/>
    <w:rsid w:val="0049460C"/>
    <w:pPr>
      <w:spacing w:after="100"/>
      <w:ind w:left="240"/>
    </w:pPr>
  </w:style>
  <w:style w:type="paragraph" w:styleId="TOC3">
    <w:name w:val="toc 3"/>
    <w:basedOn w:val="Normal"/>
    <w:next w:val="Normal"/>
    <w:autoRedefine/>
    <w:uiPriority w:val="39"/>
    <w:unhideWhenUsed/>
    <w:rsid w:val="0049460C"/>
    <w:pPr>
      <w:spacing w:after="100"/>
      <w:ind w:left="480"/>
    </w:pPr>
  </w:style>
  <w:style w:type="table" w:styleId="GridTable1Light">
    <w:name w:val="Grid Table 1 Light"/>
    <w:basedOn w:val="TableNormal"/>
    <w:uiPriority w:val="46"/>
    <w:rsid w:val="004946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4946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946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PlaceholderText">
    <w:name w:val="Placeholder Text"/>
    <w:basedOn w:val="DefaultParagraphFont"/>
    <w:uiPriority w:val="99"/>
    <w:semiHidden/>
    <w:rsid w:val="00071C05"/>
    <w:rPr>
      <w:color w:val="666666"/>
    </w:rPr>
  </w:style>
  <w:style w:type="paragraph" w:styleId="Caption">
    <w:name w:val="caption"/>
    <w:basedOn w:val="Normal"/>
    <w:next w:val="Normal"/>
    <w:uiPriority w:val="35"/>
    <w:unhideWhenUsed/>
    <w:qFormat/>
    <w:rsid w:val="00425438"/>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A46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9417">
      <w:bodyDiv w:val="1"/>
      <w:marLeft w:val="0"/>
      <w:marRight w:val="0"/>
      <w:marTop w:val="0"/>
      <w:marBottom w:val="0"/>
      <w:divBdr>
        <w:top w:val="none" w:sz="0" w:space="0" w:color="auto"/>
        <w:left w:val="none" w:sz="0" w:space="0" w:color="auto"/>
        <w:bottom w:val="none" w:sz="0" w:space="0" w:color="auto"/>
        <w:right w:val="none" w:sz="0" w:space="0" w:color="auto"/>
      </w:divBdr>
    </w:div>
    <w:div w:id="105319270">
      <w:bodyDiv w:val="1"/>
      <w:marLeft w:val="0"/>
      <w:marRight w:val="0"/>
      <w:marTop w:val="0"/>
      <w:marBottom w:val="0"/>
      <w:divBdr>
        <w:top w:val="none" w:sz="0" w:space="0" w:color="auto"/>
        <w:left w:val="none" w:sz="0" w:space="0" w:color="auto"/>
        <w:bottom w:val="none" w:sz="0" w:space="0" w:color="auto"/>
        <w:right w:val="none" w:sz="0" w:space="0" w:color="auto"/>
      </w:divBdr>
    </w:div>
    <w:div w:id="140926624">
      <w:bodyDiv w:val="1"/>
      <w:marLeft w:val="0"/>
      <w:marRight w:val="0"/>
      <w:marTop w:val="0"/>
      <w:marBottom w:val="0"/>
      <w:divBdr>
        <w:top w:val="none" w:sz="0" w:space="0" w:color="auto"/>
        <w:left w:val="none" w:sz="0" w:space="0" w:color="auto"/>
        <w:bottom w:val="none" w:sz="0" w:space="0" w:color="auto"/>
        <w:right w:val="none" w:sz="0" w:space="0" w:color="auto"/>
      </w:divBdr>
    </w:div>
    <w:div w:id="149102892">
      <w:bodyDiv w:val="1"/>
      <w:marLeft w:val="0"/>
      <w:marRight w:val="0"/>
      <w:marTop w:val="0"/>
      <w:marBottom w:val="0"/>
      <w:divBdr>
        <w:top w:val="none" w:sz="0" w:space="0" w:color="auto"/>
        <w:left w:val="none" w:sz="0" w:space="0" w:color="auto"/>
        <w:bottom w:val="none" w:sz="0" w:space="0" w:color="auto"/>
        <w:right w:val="none" w:sz="0" w:space="0" w:color="auto"/>
      </w:divBdr>
    </w:div>
    <w:div w:id="170528378">
      <w:bodyDiv w:val="1"/>
      <w:marLeft w:val="0"/>
      <w:marRight w:val="0"/>
      <w:marTop w:val="0"/>
      <w:marBottom w:val="0"/>
      <w:divBdr>
        <w:top w:val="none" w:sz="0" w:space="0" w:color="auto"/>
        <w:left w:val="none" w:sz="0" w:space="0" w:color="auto"/>
        <w:bottom w:val="none" w:sz="0" w:space="0" w:color="auto"/>
        <w:right w:val="none" w:sz="0" w:space="0" w:color="auto"/>
      </w:divBdr>
    </w:div>
    <w:div w:id="268513730">
      <w:bodyDiv w:val="1"/>
      <w:marLeft w:val="0"/>
      <w:marRight w:val="0"/>
      <w:marTop w:val="0"/>
      <w:marBottom w:val="0"/>
      <w:divBdr>
        <w:top w:val="none" w:sz="0" w:space="0" w:color="auto"/>
        <w:left w:val="none" w:sz="0" w:space="0" w:color="auto"/>
        <w:bottom w:val="none" w:sz="0" w:space="0" w:color="auto"/>
        <w:right w:val="none" w:sz="0" w:space="0" w:color="auto"/>
      </w:divBdr>
    </w:div>
    <w:div w:id="369720486">
      <w:bodyDiv w:val="1"/>
      <w:marLeft w:val="0"/>
      <w:marRight w:val="0"/>
      <w:marTop w:val="0"/>
      <w:marBottom w:val="0"/>
      <w:divBdr>
        <w:top w:val="none" w:sz="0" w:space="0" w:color="auto"/>
        <w:left w:val="none" w:sz="0" w:space="0" w:color="auto"/>
        <w:bottom w:val="none" w:sz="0" w:space="0" w:color="auto"/>
        <w:right w:val="none" w:sz="0" w:space="0" w:color="auto"/>
      </w:divBdr>
    </w:div>
    <w:div w:id="534198169">
      <w:bodyDiv w:val="1"/>
      <w:marLeft w:val="0"/>
      <w:marRight w:val="0"/>
      <w:marTop w:val="0"/>
      <w:marBottom w:val="0"/>
      <w:divBdr>
        <w:top w:val="none" w:sz="0" w:space="0" w:color="auto"/>
        <w:left w:val="none" w:sz="0" w:space="0" w:color="auto"/>
        <w:bottom w:val="none" w:sz="0" w:space="0" w:color="auto"/>
        <w:right w:val="none" w:sz="0" w:space="0" w:color="auto"/>
      </w:divBdr>
    </w:div>
    <w:div w:id="555626837">
      <w:bodyDiv w:val="1"/>
      <w:marLeft w:val="0"/>
      <w:marRight w:val="0"/>
      <w:marTop w:val="0"/>
      <w:marBottom w:val="0"/>
      <w:divBdr>
        <w:top w:val="none" w:sz="0" w:space="0" w:color="auto"/>
        <w:left w:val="none" w:sz="0" w:space="0" w:color="auto"/>
        <w:bottom w:val="none" w:sz="0" w:space="0" w:color="auto"/>
        <w:right w:val="none" w:sz="0" w:space="0" w:color="auto"/>
      </w:divBdr>
    </w:div>
    <w:div w:id="568004263">
      <w:bodyDiv w:val="1"/>
      <w:marLeft w:val="0"/>
      <w:marRight w:val="0"/>
      <w:marTop w:val="0"/>
      <w:marBottom w:val="0"/>
      <w:divBdr>
        <w:top w:val="none" w:sz="0" w:space="0" w:color="auto"/>
        <w:left w:val="none" w:sz="0" w:space="0" w:color="auto"/>
        <w:bottom w:val="none" w:sz="0" w:space="0" w:color="auto"/>
        <w:right w:val="none" w:sz="0" w:space="0" w:color="auto"/>
      </w:divBdr>
    </w:div>
    <w:div w:id="616058624">
      <w:bodyDiv w:val="1"/>
      <w:marLeft w:val="0"/>
      <w:marRight w:val="0"/>
      <w:marTop w:val="0"/>
      <w:marBottom w:val="0"/>
      <w:divBdr>
        <w:top w:val="none" w:sz="0" w:space="0" w:color="auto"/>
        <w:left w:val="none" w:sz="0" w:space="0" w:color="auto"/>
        <w:bottom w:val="none" w:sz="0" w:space="0" w:color="auto"/>
        <w:right w:val="none" w:sz="0" w:space="0" w:color="auto"/>
      </w:divBdr>
    </w:div>
    <w:div w:id="637950699">
      <w:bodyDiv w:val="1"/>
      <w:marLeft w:val="0"/>
      <w:marRight w:val="0"/>
      <w:marTop w:val="0"/>
      <w:marBottom w:val="0"/>
      <w:divBdr>
        <w:top w:val="none" w:sz="0" w:space="0" w:color="auto"/>
        <w:left w:val="none" w:sz="0" w:space="0" w:color="auto"/>
        <w:bottom w:val="none" w:sz="0" w:space="0" w:color="auto"/>
        <w:right w:val="none" w:sz="0" w:space="0" w:color="auto"/>
      </w:divBdr>
    </w:div>
    <w:div w:id="886180367">
      <w:bodyDiv w:val="1"/>
      <w:marLeft w:val="0"/>
      <w:marRight w:val="0"/>
      <w:marTop w:val="0"/>
      <w:marBottom w:val="0"/>
      <w:divBdr>
        <w:top w:val="none" w:sz="0" w:space="0" w:color="auto"/>
        <w:left w:val="none" w:sz="0" w:space="0" w:color="auto"/>
        <w:bottom w:val="none" w:sz="0" w:space="0" w:color="auto"/>
        <w:right w:val="none" w:sz="0" w:space="0" w:color="auto"/>
      </w:divBdr>
    </w:div>
    <w:div w:id="970402938">
      <w:bodyDiv w:val="1"/>
      <w:marLeft w:val="0"/>
      <w:marRight w:val="0"/>
      <w:marTop w:val="0"/>
      <w:marBottom w:val="0"/>
      <w:divBdr>
        <w:top w:val="none" w:sz="0" w:space="0" w:color="auto"/>
        <w:left w:val="none" w:sz="0" w:space="0" w:color="auto"/>
        <w:bottom w:val="none" w:sz="0" w:space="0" w:color="auto"/>
        <w:right w:val="none" w:sz="0" w:space="0" w:color="auto"/>
      </w:divBdr>
    </w:div>
    <w:div w:id="978415733">
      <w:bodyDiv w:val="1"/>
      <w:marLeft w:val="0"/>
      <w:marRight w:val="0"/>
      <w:marTop w:val="0"/>
      <w:marBottom w:val="0"/>
      <w:divBdr>
        <w:top w:val="none" w:sz="0" w:space="0" w:color="auto"/>
        <w:left w:val="none" w:sz="0" w:space="0" w:color="auto"/>
        <w:bottom w:val="none" w:sz="0" w:space="0" w:color="auto"/>
        <w:right w:val="none" w:sz="0" w:space="0" w:color="auto"/>
      </w:divBdr>
    </w:div>
    <w:div w:id="978920222">
      <w:bodyDiv w:val="1"/>
      <w:marLeft w:val="0"/>
      <w:marRight w:val="0"/>
      <w:marTop w:val="0"/>
      <w:marBottom w:val="0"/>
      <w:divBdr>
        <w:top w:val="none" w:sz="0" w:space="0" w:color="auto"/>
        <w:left w:val="none" w:sz="0" w:space="0" w:color="auto"/>
        <w:bottom w:val="none" w:sz="0" w:space="0" w:color="auto"/>
        <w:right w:val="none" w:sz="0" w:space="0" w:color="auto"/>
      </w:divBdr>
    </w:div>
    <w:div w:id="980690876">
      <w:bodyDiv w:val="1"/>
      <w:marLeft w:val="0"/>
      <w:marRight w:val="0"/>
      <w:marTop w:val="0"/>
      <w:marBottom w:val="0"/>
      <w:divBdr>
        <w:top w:val="none" w:sz="0" w:space="0" w:color="auto"/>
        <w:left w:val="none" w:sz="0" w:space="0" w:color="auto"/>
        <w:bottom w:val="none" w:sz="0" w:space="0" w:color="auto"/>
        <w:right w:val="none" w:sz="0" w:space="0" w:color="auto"/>
      </w:divBdr>
    </w:div>
    <w:div w:id="994916144">
      <w:bodyDiv w:val="1"/>
      <w:marLeft w:val="0"/>
      <w:marRight w:val="0"/>
      <w:marTop w:val="0"/>
      <w:marBottom w:val="0"/>
      <w:divBdr>
        <w:top w:val="none" w:sz="0" w:space="0" w:color="auto"/>
        <w:left w:val="none" w:sz="0" w:space="0" w:color="auto"/>
        <w:bottom w:val="none" w:sz="0" w:space="0" w:color="auto"/>
        <w:right w:val="none" w:sz="0" w:space="0" w:color="auto"/>
      </w:divBdr>
    </w:div>
    <w:div w:id="1014113824">
      <w:bodyDiv w:val="1"/>
      <w:marLeft w:val="0"/>
      <w:marRight w:val="0"/>
      <w:marTop w:val="0"/>
      <w:marBottom w:val="0"/>
      <w:divBdr>
        <w:top w:val="none" w:sz="0" w:space="0" w:color="auto"/>
        <w:left w:val="none" w:sz="0" w:space="0" w:color="auto"/>
        <w:bottom w:val="none" w:sz="0" w:space="0" w:color="auto"/>
        <w:right w:val="none" w:sz="0" w:space="0" w:color="auto"/>
      </w:divBdr>
    </w:div>
    <w:div w:id="1034044336">
      <w:bodyDiv w:val="1"/>
      <w:marLeft w:val="0"/>
      <w:marRight w:val="0"/>
      <w:marTop w:val="0"/>
      <w:marBottom w:val="0"/>
      <w:divBdr>
        <w:top w:val="none" w:sz="0" w:space="0" w:color="auto"/>
        <w:left w:val="none" w:sz="0" w:space="0" w:color="auto"/>
        <w:bottom w:val="none" w:sz="0" w:space="0" w:color="auto"/>
        <w:right w:val="none" w:sz="0" w:space="0" w:color="auto"/>
      </w:divBdr>
    </w:div>
    <w:div w:id="1039664737">
      <w:bodyDiv w:val="1"/>
      <w:marLeft w:val="0"/>
      <w:marRight w:val="0"/>
      <w:marTop w:val="0"/>
      <w:marBottom w:val="0"/>
      <w:divBdr>
        <w:top w:val="none" w:sz="0" w:space="0" w:color="auto"/>
        <w:left w:val="none" w:sz="0" w:space="0" w:color="auto"/>
        <w:bottom w:val="none" w:sz="0" w:space="0" w:color="auto"/>
        <w:right w:val="none" w:sz="0" w:space="0" w:color="auto"/>
      </w:divBdr>
    </w:div>
    <w:div w:id="1070300507">
      <w:bodyDiv w:val="1"/>
      <w:marLeft w:val="0"/>
      <w:marRight w:val="0"/>
      <w:marTop w:val="0"/>
      <w:marBottom w:val="0"/>
      <w:divBdr>
        <w:top w:val="none" w:sz="0" w:space="0" w:color="auto"/>
        <w:left w:val="none" w:sz="0" w:space="0" w:color="auto"/>
        <w:bottom w:val="none" w:sz="0" w:space="0" w:color="auto"/>
        <w:right w:val="none" w:sz="0" w:space="0" w:color="auto"/>
      </w:divBdr>
    </w:div>
    <w:div w:id="1157260526">
      <w:bodyDiv w:val="1"/>
      <w:marLeft w:val="0"/>
      <w:marRight w:val="0"/>
      <w:marTop w:val="0"/>
      <w:marBottom w:val="0"/>
      <w:divBdr>
        <w:top w:val="none" w:sz="0" w:space="0" w:color="auto"/>
        <w:left w:val="none" w:sz="0" w:space="0" w:color="auto"/>
        <w:bottom w:val="none" w:sz="0" w:space="0" w:color="auto"/>
        <w:right w:val="none" w:sz="0" w:space="0" w:color="auto"/>
      </w:divBdr>
    </w:div>
    <w:div w:id="1170684294">
      <w:bodyDiv w:val="1"/>
      <w:marLeft w:val="0"/>
      <w:marRight w:val="0"/>
      <w:marTop w:val="0"/>
      <w:marBottom w:val="0"/>
      <w:divBdr>
        <w:top w:val="none" w:sz="0" w:space="0" w:color="auto"/>
        <w:left w:val="none" w:sz="0" w:space="0" w:color="auto"/>
        <w:bottom w:val="none" w:sz="0" w:space="0" w:color="auto"/>
        <w:right w:val="none" w:sz="0" w:space="0" w:color="auto"/>
      </w:divBdr>
    </w:div>
    <w:div w:id="1380283366">
      <w:bodyDiv w:val="1"/>
      <w:marLeft w:val="0"/>
      <w:marRight w:val="0"/>
      <w:marTop w:val="0"/>
      <w:marBottom w:val="0"/>
      <w:divBdr>
        <w:top w:val="none" w:sz="0" w:space="0" w:color="auto"/>
        <w:left w:val="none" w:sz="0" w:space="0" w:color="auto"/>
        <w:bottom w:val="none" w:sz="0" w:space="0" w:color="auto"/>
        <w:right w:val="none" w:sz="0" w:space="0" w:color="auto"/>
      </w:divBdr>
    </w:div>
    <w:div w:id="1507789441">
      <w:bodyDiv w:val="1"/>
      <w:marLeft w:val="0"/>
      <w:marRight w:val="0"/>
      <w:marTop w:val="0"/>
      <w:marBottom w:val="0"/>
      <w:divBdr>
        <w:top w:val="none" w:sz="0" w:space="0" w:color="auto"/>
        <w:left w:val="none" w:sz="0" w:space="0" w:color="auto"/>
        <w:bottom w:val="none" w:sz="0" w:space="0" w:color="auto"/>
        <w:right w:val="none" w:sz="0" w:space="0" w:color="auto"/>
      </w:divBdr>
    </w:div>
    <w:div w:id="1512800048">
      <w:bodyDiv w:val="1"/>
      <w:marLeft w:val="0"/>
      <w:marRight w:val="0"/>
      <w:marTop w:val="0"/>
      <w:marBottom w:val="0"/>
      <w:divBdr>
        <w:top w:val="none" w:sz="0" w:space="0" w:color="auto"/>
        <w:left w:val="none" w:sz="0" w:space="0" w:color="auto"/>
        <w:bottom w:val="none" w:sz="0" w:space="0" w:color="auto"/>
        <w:right w:val="none" w:sz="0" w:space="0" w:color="auto"/>
      </w:divBdr>
    </w:div>
    <w:div w:id="1548712711">
      <w:bodyDiv w:val="1"/>
      <w:marLeft w:val="0"/>
      <w:marRight w:val="0"/>
      <w:marTop w:val="0"/>
      <w:marBottom w:val="0"/>
      <w:divBdr>
        <w:top w:val="none" w:sz="0" w:space="0" w:color="auto"/>
        <w:left w:val="none" w:sz="0" w:space="0" w:color="auto"/>
        <w:bottom w:val="none" w:sz="0" w:space="0" w:color="auto"/>
        <w:right w:val="none" w:sz="0" w:space="0" w:color="auto"/>
      </w:divBdr>
    </w:div>
    <w:div w:id="1572930457">
      <w:bodyDiv w:val="1"/>
      <w:marLeft w:val="0"/>
      <w:marRight w:val="0"/>
      <w:marTop w:val="0"/>
      <w:marBottom w:val="0"/>
      <w:divBdr>
        <w:top w:val="none" w:sz="0" w:space="0" w:color="auto"/>
        <w:left w:val="none" w:sz="0" w:space="0" w:color="auto"/>
        <w:bottom w:val="none" w:sz="0" w:space="0" w:color="auto"/>
        <w:right w:val="none" w:sz="0" w:space="0" w:color="auto"/>
      </w:divBdr>
    </w:div>
    <w:div w:id="1820919698">
      <w:bodyDiv w:val="1"/>
      <w:marLeft w:val="0"/>
      <w:marRight w:val="0"/>
      <w:marTop w:val="0"/>
      <w:marBottom w:val="0"/>
      <w:divBdr>
        <w:top w:val="none" w:sz="0" w:space="0" w:color="auto"/>
        <w:left w:val="none" w:sz="0" w:space="0" w:color="auto"/>
        <w:bottom w:val="none" w:sz="0" w:space="0" w:color="auto"/>
        <w:right w:val="none" w:sz="0" w:space="0" w:color="auto"/>
      </w:divBdr>
    </w:div>
    <w:div w:id="1892575375">
      <w:bodyDiv w:val="1"/>
      <w:marLeft w:val="0"/>
      <w:marRight w:val="0"/>
      <w:marTop w:val="0"/>
      <w:marBottom w:val="0"/>
      <w:divBdr>
        <w:top w:val="none" w:sz="0" w:space="0" w:color="auto"/>
        <w:left w:val="none" w:sz="0" w:space="0" w:color="auto"/>
        <w:bottom w:val="none" w:sz="0" w:space="0" w:color="auto"/>
        <w:right w:val="none" w:sz="0" w:space="0" w:color="auto"/>
      </w:divBdr>
    </w:div>
    <w:div w:id="1939677327">
      <w:bodyDiv w:val="1"/>
      <w:marLeft w:val="0"/>
      <w:marRight w:val="0"/>
      <w:marTop w:val="0"/>
      <w:marBottom w:val="0"/>
      <w:divBdr>
        <w:top w:val="none" w:sz="0" w:space="0" w:color="auto"/>
        <w:left w:val="none" w:sz="0" w:space="0" w:color="auto"/>
        <w:bottom w:val="none" w:sz="0" w:space="0" w:color="auto"/>
        <w:right w:val="none" w:sz="0" w:space="0" w:color="auto"/>
      </w:divBdr>
    </w:div>
    <w:div w:id="1954894640">
      <w:bodyDiv w:val="1"/>
      <w:marLeft w:val="0"/>
      <w:marRight w:val="0"/>
      <w:marTop w:val="0"/>
      <w:marBottom w:val="0"/>
      <w:divBdr>
        <w:top w:val="none" w:sz="0" w:space="0" w:color="auto"/>
        <w:left w:val="none" w:sz="0" w:space="0" w:color="auto"/>
        <w:bottom w:val="none" w:sz="0" w:space="0" w:color="auto"/>
        <w:right w:val="none" w:sz="0" w:space="0" w:color="auto"/>
      </w:divBdr>
    </w:div>
    <w:div w:id="1996759053">
      <w:bodyDiv w:val="1"/>
      <w:marLeft w:val="0"/>
      <w:marRight w:val="0"/>
      <w:marTop w:val="0"/>
      <w:marBottom w:val="0"/>
      <w:divBdr>
        <w:top w:val="none" w:sz="0" w:space="0" w:color="auto"/>
        <w:left w:val="none" w:sz="0" w:space="0" w:color="auto"/>
        <w:bottom w:val="none" w:sz="0" w:space="0" w:color="auto"/>
        <w:right w:val="none" w:sz="0" w:space="0" w:color="auto"/>
      </w:divBdr>
    </w:div>
    <w:div w:id="2118286296">
      <w:bodyDiv w:val="1"/>
      <w:marLeft w:val="0"/>
      <w:marRight w:val="0"/>
      <w:marTop w:val="0"/>
      <w:marBottom w:val="0"/>
      <w:divBdr>
        <w:top w:val="none" w:sz="0" w:space="0" w:color="auto"/>
        <w:left w:val="none" w:sz="0" w:space="0" w:color="auto"/>
        <w:bottom w:val="none" w:sz="0" w:space="0" w:color="auto"/>
        <w:right w:val="none" w:sz="0" w:space="0" w:color="auto"/>
      </w:divBdr>
    </w:div>
    <w:div w:id="212665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Jos25</b:Tag>
    <b:SourceType>InternetSite</b:SourceType>
    <b:Guid>{3DE93ECD-6F86-49AF-8C64-76BAACE48D28}</b:Guid>
    <b:Title>Nike stock pops 5% as the new CEO's turnaround plan gets a rave review</b:Title>
    <b:Year>2025</b:Year>
    <b:Author>
      <b:Author>
        <b:NameList>
          <b:Person>
            <b:Last>Fellman</b:Last>
            <b:First>Josh</b:First>
          </b:Person>
        </b:NameList>
      </b:Author>
    </b:Author>
    <b:Month>02</b:Month>
    <b:Day>24</b:Day>
    <b:YearAccessed>2025</b:YearAccessed>
    <b:MonthAccessed>07</b:MonthAccessed>
    <b:DayAccessed>16</b:DayAccessed>
    <b:RefOrder>1</b:RefOrder>
  </b:Source>
  <b:Source>
    <b:Tag>10K25</b:Tag>
    <b:SourceType>InternetSite</b:SourceType>
    <b:Guid>{2FF3ED6F-8103-4FC0-8046-930D7CEA246A}</b:Guid>
    <b:Title>10 - K</b:Title>
    <b:InternetSiteTitle>Bamsec.com</b:InternetSiteTitle>
    <b:Year>2025</b:Year>
    <b:Month>05</b:Month>
    <b:Day>26</b:Day>
    <b:URL>https://www.bamsec.com/filing/32018724000044?cik=320187</b:URL>
    <b:RefOrder>4</b:RefOrder>
  </b:Source>
  <b:Source>
    <b:Tag>10Q25</b:Tag>
    <b:SourceType>InternetSite</b:SourceType>
    <b:Guid>{9D7EAA9B-3066-416A-B572-C3C3CE93656E}</b:Guid>
    <b:Title>10 - Q</b:Title>
    <b:InternetSiteTitle>Bamsec.com</b:InternetSiteTitle>
    <b:Year>2025</b:Year>
    <b:Month>05</b:Month>
    <b:Day>26</b:Day>
    <b:URL>https://www.bamsec.com/filing/32018725000016?cik=320187</b:URL>
    <b:RefOrder>5</b:RefOrder>
  </b:Source>
  <b:Source>
    <b:Tag>Cou25</b:Tag>
    <b:SourceType>InternetSite</b:SourceType>
    <b:Guid>{96F59153-387F-4D86-9DF2-EF1CE9A1F3C9}</b:Guid>
    <b:Title>Country Default Spreads and Risk Premiums</b:Title>
    <b:Year>2025</b:Year>
    <b:Month>05</b:Month>
    <b:Day>26</b:Day>
    <b:URL>https://pages.stern.nyu.edu/~adamodar/New_Home_Page/datafile/ctryprem.html</b:URL>
    <b:RefOrder>2</b:RefOrder>
  </b:Source>
  <b:Source>
    <b:Tag>htt</b:Tag>
    <b:SourceType>InternetSite</b:SourceType>
    <b:Guid>{C8D836A9-5F79-42A5-A8D7-DC0CFCCF684D}</b:Guid>
    <b:InternetSiteTitle>https://www.factset.com/</b:InternetSiteTitle>
    <b:Year>2025</b:Year>
    <b:Month>05</b:Month>
    <b:Day>26</b:Day>
    <b:RefOrder>6</b:RefOrder>
  </b:Source>
  <b:Source>
    <b:Tag>Mar25</b:Tag>
    <b:SourceType>InternetSite</b:SourceType>
    <b:Guid>{8893D7B2-E425-42D8-9D21-99B0AD2E5A1F}</b:Guid>
    <b:Title>Market Bonds</b:Title>
    <b:InternetSiteTitle>CNBC.com</b:InternetSiteTitle>
    <b:Year>2025</b:Year>
    <b:Month>05</b:Month>
    <b:Day>26</b:Day>
    <b:URL>https://www.cnbc.com/bonds/?msockid=326d868257c96eb615da909756ee6fab</b:URL>
    <b:RefOrder>7</b:RefOrder>
  </b:Source>
  <b:Source>
    <b:Tag>Nik25</b:Tag>
    <b:SourceType>InternetSite</b:SourceType>
    <b:Guid>{728D501B-72F9-492D-B2DD-752198EB4585}</b:Guid>
    <b:Title>Nike,Inc. (NKE)</b:Title>
    <b:InternetSiteTitle>finance.yahoo.com</b:InternetSiteTitle>
    <b:Year>2025</b:Year>
    <b:Month>05</b:Month>
    <b:Day>26</b:Day>
    <b:URL>https://finance.yahoo.com/quote/NKE/</b:URL>
    <b:RefOrder>3</b:RefOrder>
  </b:Source>
</b:Sources>
</file>

<file path=customXml/itemProps1.xml><?xml version="1.0" encoding="utf-8"?>
<ds:datastoreItem xmlns:ds="http://schemas.openxmlformats.org/officeDocument/2006/customXml" ds:itemID="{9D7AF24C-88B4-4433-A946-09CBEE412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6</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Lock</dc:creator>
  <cp:keywords/>
  <dc:description/>
  <cp:lastModifiedBy>Adam Lock</cp:lastModifiedBy>
  <cp:revision>84</cp:revision>
  <dcterms:created xsi:type="dcterms:W3CDTF">2025-07-16T15:24:00Z</dcterms:created>
  <dcterms:modified xsi:type="dcterms:W3CDTF">2025-07-17T11:25:00Z</dcterms:modified>
</cp:coreProperties>
</file>